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textAlignment w:val="auto"/>
        <w:rPr>
          <w:rFonts w:hint="eastAsia" w:ascii="方正小标宋_GBK" w:hAnsi="方正小标宋_GBK" w:eastAsia="方正小标宋_GBK" w:cs="方正小标宋_GBK"/>
          <w:b w:val="0"/>
          <w:bCs w:val="0"/>
          <w:color w:val="000000"/>
          <w:kern w:val="0"/>
          <w:sz w:val="44"/>
          <w:szCs w:val="44"/>
          <w:lang w:val="en-US" w:eastAsia="zh-CN"/>
        </w:rPr>
      </w:pPr>
      <w:r>
        <w:rPr>
          <w:rFonts w:hint="eastAsia" w:ascii="方正小标宋_GBK" w:hAnsi="方正小标宋_GBK" w:eastAsia="方正小标宋_GBK" w:cs="方正小标宋_GBK"/>
          <w:b w:val="0"/>
          <w:bCs w:val="0"/>
          <w:color w:val="000000"/>
          <w:kern w:val="0"/>
          <w:sz w:val="44"/>
          <w:szCs w:val="44"/>
          <w:lang w:val="en-US" w:eastAsia="zh-CN"/>
        </w:rPr>
        <w:t>2022年太平镇政府信息公开年度报告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根据《中华人民共和国政府信息公开条例》有关规定，及时更新发布《政府信息公开指南》，不断加强政府信息公开工作，坚持以公开为原则，不公开为例外，紧紧围绕区委、区政府中心工作，切实加强政策解读和政务舆情回应，保障人民群众知情权、参与权、表达权和监督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本报告包括总体情况、主动公开政府信息情况、依申请公开政府信息情况、行政复议和行政诉讼情况、存在的主要问题及改进情况、其他需要报告事项等六部分组成。报告中所列数据的统计期限自2022年1月1日起，至2022年12月31日止。本报告公众可在本级政府门户网站信息公开专栏中查看。对本报告如有疑问，请与太平镇综合办公室联系（电话：022-63157781；电子邮箱：bhtpzzhb@tj.gov.cn；邮编：300282）。</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r>
        <w:rPr>
          <w:rFonts w:hint="eastAsia" w:ascii="黑体" w:hAnsi="黑体" w:eastAsia="黑体" w:cs="黑体"/>
          <w:kern w:val="0"/>
          <w:sz w:val="34"/>
          <w:szCs w:val="34"/>
          <w:lang w:val="en-US" w:eastAsia="zh-CN" w:bidi="ar"/>
        </w:rPr>
        <w:t>一、总体情况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推进政府信息公开是贯彻落实《中华人民共和国政府信息公开条例》的重要举措，是深入推行政务公开，转变政府职能，建设人民满意的服务型政府的一项重要工作。镇领导高度重视，把政府信息公开工作列入议事日程，召开政府信息公开专题会议，加强学习和宣传政府信息公开工作精神，充分认识到政务公开工作的重要性，确保按照文件的要求，保证公开文件的数量和质量。政府信息公开工作取得了明显成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r>
        <w:rPr>
          <w:rFonts w:hint="eastAsia" w:ascii="楷体" w:hAnsi="楷体" w:eastAsia="楷体" w:cs="楷体"/>
          <w:kern w:val="0"/>
          <w:sz w:val="34"/>
          <w:szCs w:val="34"/>
          <w:lang w:val="en-US" w:eastAsia="zh-CN" w:bidi="ar"/>
        </w:rPr>
        <w:t>（一）主动公开情况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2022年，我镇着力建立健全政府信息主动公开工作机制和政府信息公开申请受理机制，规范和完善工作流程，明确责任、程序、公开方式和时限要求。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楷体" w:hAnsi="楷体" w:eastAsia="楷体" w:cs="楷体"/>
          <w:kern w:val="0"/>
          <w:sz w:val="34"/>
          <w:szCs w:val="34"/>
          <w:lang w:val="en-US" w:eastAsia="zh-CN" w:bidi="ar"/>
        </w:rPr>
      </w:pPr>
      <w:r>
        <w:rPr>
          <w:rFonts w:hint="eastAsia" w:ascii="楷体" w:hAnsi="楷体" w:eastAsia="楷体" w:cs="楷体"/>
          <w:kern w:val="0"/>
          <w:sz w:val="34"/>
          <w:szCs w:val="34"/>
          <w:lang w:val="en-US" w:eastAsia="zh-CN" w:bidi="ar"/>
        </w:rPr>
        <w:t>（二）重点领域政府信息公开情况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default"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通过区政府网站及时公布2022年太平镇各类工作报告、各部门政策性文件、疫情防控、年度重点工作任务等，并通过线上线下渠道进行宣传展示。丰富网站内容，提高更新率和内容质量，加强政企沟通、政民互动，进一步扩大公众参与，认真听取公众意见，不断提升政务公开工作水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楷体" w:hAnsi="楷体" w:eastAsia="楷体" w:cs="楷体"/>
          <w:kern w:val="0"/>
          <w:sz w:val="34"/>
          <w:szCs w:val="34"/>
          <w:lang w:val="en-US" w:eastAsia="zh-CN" w:bidi="ar"/>
        </w:rPr>
      </w:pPr>
      <w:r>
        <w:rPr>
          <w:rFonts w:hint="eastAsia" w:ascii="楷体" w:hAnsi="楷体" w:eastAsia="楷体" w:cs="楷体"/>
          <w:kern w:val="0"/>
          <w:sz w:val="34"/>
          <w:szCs w:val="34"/>
          <w:lang w:val="en-US" w:eastAsia="zh-CN" w:bidi="ar"/>
        </w:rPr>
        <w:t>（三）依申请公开政府信息情况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完善依申请公开的渠道、认真落实依申请公开办理工作流程，规范依申请政府信息标准化答复文书。明确申请受理、审查、处理、答复等各个环节，严格落实一次性告知制度、首问负责制、限时办结制等制度，认真抓好政府信息发布协调机制建设。2022年共受理政府信息公开申请3件，已全部办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kern w:val="0"/>
          <w:sz w:val="34"/>
          <w:szCs w:val="34"/>
          <w:lang w:val="en-US" w:eastAsia="zh-CN" w:bidi="ar"/>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34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bl>
    <w:p>
      <w:pPr>
        <w:widowControl/>
        <w:shd w:val="clear" w:color="auto" w:fill="FFFFFF"/>
        <w:ind w:firstLine="480"/>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p>
      <w:pPr>
        <w:widowControl/>
        <w:shd w:val="clear" w:color="auto" w:fill="FFFFFF"/>
        <w:ind w:firstLine="480"/>
        <w:rPr>
          <w:rFonts w:hint="eastAsia" w:ascii="宋体" w:hAnsi="宋体" w:eastAsia="宋体" w:cs="宋体"/>
          <w:color w:val="000000"/>
          <w:kern w:val="0"/>
          <w:sz w:val="24"/>
          <w:szCs w:val="24"/>
        </w:rPr>
      </w:pPr>
    </w:p>
    <w:tbl>
      <w:tblPr>
        <w:tblStyle w:val="6"/>
        <w:tblW w:w="9748" w:type="dxa"/>
        <w:jc w:val="center"/>
        <w:tblLayout w:type="autofit"/>
        <w:tblCellMar>
          <w:top w:w="0" w:type="dxa"/>
          <w:left w:w="0" w:type="dxa"/>
          <w:bottom w:w="0" w:type="dxa"/>
          <w:right w:w="0" w:type="dxa"/>
        </w:tblCellMar>
      </w:tblPr>
      <w:tblGrid>
        <w:gridCol w:w="766"/>
        <w:gridCol w:w="942"/>
        <w:gridCol w:w="3216"/>
        <w:gridCol w:w="688"/>
        <w:gridCol w:w="688"/>
        <w:gridCol w:w="688"/>
        <w:gridCol w:w="688"/>
        <w:gridCol w:w="688"/>
        <w:gridCol w:w="688"/>
        <w:gridCol w:w="696"/>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3</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3</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240" w:lineRule="auto"/>
              <w:jc w:val="distribute"/>
              <w:rPr>
                <w:rFonts w:hint="eastAsia" w:ascii="Calibri" w:hAnsi="Calibri" w:cs="宋体"/>
                <w:color w:val="000000"/>
                <w:kern w:val="0"/>
                <w:sz w:val="20"/>
                <w:szCs w:val="20"/>
                <w:lang w:val="en-US" w:eastAsia="zh-CN"/>
              </w:rPr>
            </w:pPr>
          </w:p>
          <w:p>
            <w:pPr>
              <w:widowControl/>
              <w:spacing w:line="240" w:lineRule="auto"/>
              <w:jc w:val="distribute"/>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eastAsia="zh-CN"/>
              </w:rPr>
            </w:pP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eastAsia="zh-CN"/>
              </w:rPr>
            </w:pP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321"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cs="宋体"/>
                <w:color w:val="000000"/>
                <w:kern w:val="0"/>
                <w:sz w:val="20"/>
                <w:szCs w:val="20"/>
                <w:lang w:val="en-US" w:eastAsia="zh-CN"/>
              </w:rPr>
            </w:pPr>
          </w:p>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Calibri" w:hAnsi="Calibri" w:eastAsia="宋体" w:cs="宋体"/>
                <w:color w:val="000000"/>
                <w:kern w:val="0"/>
                <w:sz w:val="20"/>
                <w:szCs w:val="20"/>
              </w:rPr>
            </w:pPr>
          </w:p>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3</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0</w:t>
            </w:r>
          </w:p>
        </w:tc>
      </w:tr>
    </w:tbl>
    <w:p>
      <w:pPr>
        <w:widowControl/>
        <w:shd w:val="clear" w:color="auto" w:fill="FFFFFF"/>
        <w:jc w:val="center"/>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pPr>
        <w:widowControl/>
        <w:shd w:val="clear" w:color="auto" w:fill="FFFFFF"/>
        <w:jc w:val="center"/>
        <w:rPr>
          <w:rFonts w:hint="eastAsia" w:ascii="宋体" w:hAnsi="宋体" w:eastAsia="宋体" w:cs="宋体"/>
          <w:color w:val="000000"/>
          <w:kern w:val="0"/>
          <w:sz w:val="24"/>
          <w:szCs w:val="24"/>
        </w:rPr>
      </w:pP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r>
    </w:tbl>
    <w:p>
      <w:pPr>
        <w:widowControl/>
        <w:jc w:val="left"/>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80" w:firstLineChars="200"/>
        <w:jc w:val="both"/>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2022年，我们在政府信息公开工作虽然取得了一定成效，但与《中华人民共和国政府信息公开条例》要求和公众需求相比还存在一定差距。主要表现在：信息公开的工作制度和程序有待进一步完善，部分领域信息公开还不够全面及时，政府信息公开业务水平还需提高。2023年，我们将从以下几个方面改进：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80" w:firstLineChars="200"/>
        <w:jc w:val="both"/>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（一）加强政府信息公开标准化管理。全面梳理信息公开内容，继续推进信息公开标准化工作，确保各类主动公开内容设置合理、界定清晰、标准明确。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80" w:firstLineChars="200"/>
        <w:jc w:val="both"/>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（二）加大重点领域信息公开力度。围绕社会关注、群众关心的难点、热点，依法、及时、准确地做好重点领域信息公开，切实保障群众的知情权、参与权、监督权和表达权。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80" w:firstLineChars="200"/>
        <w:jc w:val="both"/>
        <w:textAlignment w:val="auto"/>
        <w:rPr>
          <w:rFonts w:hint="eastAsia" w:ascii="仿宋_GB2312" w:hAnsi="仿宋_GB2312" w:eastAsia="仿宋_GB2312" w:cs="仿宋_GB2312"/>
          <w:kern w:val="0"/>
          <w:sz w:val="34"/>
          <w:szCs w:val="34"/>
          <w:lang w:val="en-US" w:eastAsia="zh-CN" w:bidi="ar"/>
        </w:rPr>
      </w:pPr>
      <w:r>
        <w:rPr>
          <w:rFonts w:hint="eastAsia" w:ascii="仿宋_GB2312" w:hAnsi="仿宋_GB2312" w:eastAsia="仿宋_GB2312" w:cs="仿宋_GB2312"/>
          <w:kern w:val="0"/>
          <w:sz w:val="34"/>
          <w:szCs w:val="34"/>
          <w:lang w:val="en-US" w:eastAsia="zh-CN" w:bidi="ar"/>
        </w:rPr>
        <w:t>（三）强化政府信息公开业务培训。定期开展政府信息公开业务知识培训，学习《条例》和上级文件精神，正确把握主动公开、依申请公开的范围和程序，熟练掌握网上公开技能，切实提高工作人员业务水平，促进信息公开工作健康有序开展。 </w:t>
      </w: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ZmYmQ0YmZhNGMyMDBiNGI3MzYzODJlYTYxZjUifQ=="/>
  </w:docVars>
  <w:rsids>
    <w:rsidRoot w:val="00015BB7"/>
    <w:rsid w:val="00015BB7"/>
    <w:rsid w:val="001B5072"/>
    <w:rsid w:val="002B73FD"/>
    <w:rsid w:val="00466BE6"/>
    <w:rsid w:val="00486540"/>
    <w:rsid w:val="005613FF"/>
    <w:rsid w:val="008858CA"/>
    <w:rsid w:val="00BC62C8"/>
    <w:rsid w:val="00C660C3"/>
    <w:rsid w:val="00C85721"/>
    <w:rsid w:val="00DC1DB0"/>
    <w:rsid w:val="00EA2D20"/>
    <w:rsid w:val="00EB41E2"/>
    <w:rsid w:val="00F32B71"/>
    <w:rsid w:val="00F96657"/>
    <w:rsid w:val="09051746"/>
    <w:rsid w:val="0E482CCF"/>
    <w:rsid w:val="117D4B05"/>
    <w:rsid w:val="1425581C"/>
    <w:rsid w:val="1713195E"/>
    <w:rsid w:val="17DF0476"/>
    <w:rsid w:val="1B686F9F"/>
    <w:rsid w:val="1B68711F"/>
    <w:rsid w:val="1CFD6AAF"/>
    <w:rsid w:val="1FB2483B"/>
    <w:rsid w:val="22D3EFE2"/>
    <w:rsid w:val="2B591CE7"/>
    <w:rsid w:val="2C0E2AD1"/>
    <w:rsid w:val="2E221E1D"/>
    <w:rsid w:val="2E4974D5"/>
    <w:rsid w:val="3957205E"/>
    <w:rsid w:val="3AEA4709"/>
    <w:rsid w:val="3BDEA4FA"/>
    <w:rsid w:val="3D468FDB"/>
    <w:rsid w:val="3DC7452D"/>
    <w:rsid w:val="3EC534C3"/>
    <w:rsid w:val="3EFDFDF0"/>
    <w:rsid w:val="455C4456"/>
    <w:rsid w:val="48A67764"/>
    <w:rsid w:val="4A39214E"/>
    <w:rsid w:val="4C45489B"/>
    <w:rsid w:val="4E6F9B11"/>
    <w:rsid w:val="52AC5529"/>
    <w:rsid w:val="57EE3633"/>
    <w:rsid w:val="59DD63C3"/>
    <w:rsid w:val="5F7C99E0"/>
    <w:rsid w:val="6BCF3297"/>
    <w:rsid w:val="6FD77C1E"/>
    <w:rsid w:val="6FFFB462"/>
    <w:rsid w:val="73EDF05D"/>
    <w:rsid w:val="7AA53D29"/>
    <w:rsid w:val="7BFFF2DD"/>
    <w:rsid w:val="7F79212F"/>
    <w:rsid w:val="A7DE5CC8"/>
    <w:rsid w:val="B63F35D1"/>
    <w:rsid w:val="CFFB8345"/>
    <w:rsid w:val="DF7AA9F6"/>
    <w:rsid w:val="E7F5F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autoRedefine/>
    <w:qFormat/>
    <w:uiPriority w:val="0"/>
    <w:rPr>
      <w:color w:val="0000FF"/>
      <w:u w:val="single"/>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页眉 Char"/>
    <w:basedOn w:val="7"/>
    <w:link w:val="4"/>
    <w:autoRedefine/>
    <w:semiHidden/>
    <w:qFormat/>
    <w:uiPriority w:val="99"/>
    <w:rPr>
      <w:rFonts w:ascii="Times New Roman" w:hAnsi="Times New Roman" w:eastAsia="宋体" w:cs="Times New Roman"/>
      <w:sz w:val="18"/>
      <w:szCs w:val="18"/>
    </w:rPr>
  </w:style>
  <w:style w:type="character" w:customStyle="1" w:styleId="12">
    <w:name w:val="页脚 Char"/>
    <w:basedOn w:val="7"/>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2153</Words>
  <Characters>2232</Characters>
  <Lines>41</Lines>
  <Paragraphs>11</Paragraphs>
  <TotalTime>5</TotalTime>
  <ScaleCrop>false</ScaleCrop>
  <LinksUpToDate>false</LinksUpToDate>
  <CharactersWithSpaces>2404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2021-01-13T01:12:00Z</dcterms:created>
  <dc:creator>Windows User</dc:creator>
  <cp:lastModifiedBy>Liu yi</cp:lastModifiedBy>
  <cp:lastPrinted>2023-01-09T01:55:00Z</cp:lastPrinted>
  <dcterms:modified xsi:type="dcterms:W3CDTF">2024-02-01T01:47:36Z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3566249A2D3942AA92F41D7E42CFB63E</vt:lpwstr>
  </property>
</Properties>
</file>