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pPr>
      <w:bookmarkStart w:id="180" w:name="_GoBack"/>
      <w:bookmarkEnd w:id="180"/>
      <w:r>
        <w:rPr>
          <w:rFonts w:hint="eastAsia"/>
        </w:rPr>
        <w:t>预案编号：TJBHXQXBJ/YJYA-002</w:t>
      </w:r>
    </w:p>
    <w:p>
      <w:pPr>
        <w:ind w:firstLine="560"/>
        <w:rPr>
          <w:rFonts w:ascii="仿宋_GB2312"/>
        </w:rPr>
      </w:pPr>
    </w:p>
    <w:p>
      <w:pPr>
        <w:ind w:firstLine="560"/>
        <w:rPr>
          <w:rFonts w:ascii="仿宋_GB2312"/>
        </w:rPr>
      </w:pPr>
    </w:p>
    <w:p>
      <w:pPr>
        <w:ind w:firstLine="560"/>
        <w:rPr>
          <w:rFonts w:ascii="仿宋_GB2312"/>
        </w:rPr>
      </w:pPr>
    </w:p>
    <w:p>
      <w:pPr>
        <w:ind w:firstLine="560"/>
        <w:rPr>
          <w:rFonts w:ascii="仿宋_GB2312"/>
        </w:rPr>
      </w:pPr>
    </w:p>
    <w:p>
      <w:pPr>
        <w:ind w:firstLine="560"/>
        <w:rPr>
          <w:rFonts w:ascii="仿宋_GB2312"/>
        </w:rPr>
      </w:pPr>
    </w:p>
    <w:p>
      <w:pPr>
        <w:pStyle w:val="88"/>
        <w:rPr>
          <w:rFonts w:ascii="仿宋_GB2312"/>
          <w:color w:val="auto"/>
        </w:rPr>
      </w:pPr>
      <w:r>
        <w:rPr>
          <w:rFonts w:hint="eastAsia" w:ascii="仿宋_GB2312"/>
          <w:color w:val="auto"/>
        </w:rPr>
        <w:t>天津市滨海新区人民政府</w:t>
      </w:r>
    </w:p>
    <w:p>
      <w:pPr>
        <w:pStyle w:val="88"/>
        <w:rPr>
          <w:rFonts w:ascii="仿宋_GB2312"/>
        </w:rPr>
      </w:pPr>
      <w:r>
        <w:rPr>
          <w:rFonts w:hint="eastAsia" w:ascii="仿宋_GB2312"/>
        </w:rPr>
        <w:t>新北街道办事处</w:t>
      </w:r>
    </w:p>
    <w:p>
      <w:pPr>
        <w:pStyle w:val="88"/>
        <w:rPr>
          <w:rFonts w:ascii="仿宋_GB2312"/>
          <w:color w:val="auto"/>
        </w:rPr>
      </w:pPr>
      <w:r>
        <w:rPr>
          <w:rFonts w:hint="eastAsia" w:ascii="仿宋_GB2312"/>
          <w:color w:val="000000" w:themeColor="text1"/>
          <w:sz w:val="52"/>
          <w:szCs w:val="52"/>
        </w:rPr>
        <w:t>生产安全事故专项</w:t>
      </w:r>
      <w:r>
        <w:rPr>
          <w:rFonts w:hint="eastAsia" w:ascii="仿宋_GB2312"/>
          <w:color w:val="auto"/>
        </w:rPr>
        <w:t>应急预案</w:t>
      </w:r>
    </w:p>
    <w:p>
      <w:pPr>
        <w:pStyle w:val="88"/>
        <w:rPr>
          <w:rFonts w:ascii="仿宋_GB2312"/>
          <w:color w:val="auto"/>
        </w:rPr>
      </w:pPr>
    </w:p>
    <w:p>
      <w:pPr>
        <w:pStyle w:val="88"/>
        <w:rPr>
          <w:rFonts w:ascii="仿宋_GB2312"/>
          <w:color w:val="auto"/>
        </w:rPr>
      </w:pPr>
    </w:p>
    <w:p>
      <w:pPr>
        <w:pStyle w:val="88"/>
        <w:rPr>
          <w:rFonts w:ascii="仿宋_GB2312"/>
          <w:color w:val="auto"/>
        </w:rPr>
      </w:pPr>
    </w:p>
    <w:p>
      <w:pPr>
        <w:pStyle w:val="88"/>
        <w:rPr>
          <w:rFonts w:ascii="仿宋_GB2312"/>
          <w:color w:val="auto"/>
        </w:rPr>
      </w:pPr>
    </w:p>
    <w:p>
      <w:pPr>
        <w:pStyle w:val="88"/>
        <w:rPr>
          <w:rFonts w:ascii="仿宋_GB2312"/>
          <w:color w:val="auto"/>
        </w:rPr>
      </w:pPr>
    </w:p>
    <w:p>
      <w:pPr>
        <w:pStyle w:val="89"/>
        <w:rPr>
          <w:rFonts w:ascii="仿宋_GB2312"/>
        </w:rPr>
      </w:pPr>
      <w:r>
        <w:rPr>
          <w:rFonts w:hint="eastAsia" w:ascii="仿宋_GB2312"/>
        </w:rPr>
        <w:t>编制：天津市滨海新区新北街道办事处</w:t>
      </w:r>
    </w:p>
    <w:p>
      <w:pPr>
        <w:pStyle w:val="89"/>
        <w:rPr>
          <w:rFonts w:ascii="仿宋_GB2312"/>
        </w:rPr>
      </w:pPr>
      <w:r>
        <w:rPr>
          <w:rFonts w:hint="eastAsia" w:ascii="仿宋_GB2312"/>
        </w:rPr>
        <w:t>2020年9月颁布实施</w:t>
      </w:r>
    </w:p>
    <w:p>
      <w:pPr>
        <w:pStyle w:val="91"/>
        <w:spacing w:before="120" w:after="120"/>
        <w:ind w:left="2150" w:firstLine="140"/>
      </w:pPr>
    </w:p>
    <w:p>
      <w:pPr>
        <w:pStyle w:val="91"/>
        <w:spacing w:before="120" w:after="120"/>
        <w:ind w:left="2150" w:firstLine="140"/>
        <w:sectPr>
          <w:headerReference r:id="rId7" w:type="first"/>
          <w:footerReference r:id="rId10" w:type="first"/>
          <w:headerReference r:id="rId5" w:type="default"/>
          <w:footerReference r:id="rId8" w:type="default"/>
          <w:headerReference r:id="rId6" w:type="even"/>
          <w:footerReference r:id="rId9" w:type="even"/>
          <w:type w:val="nextColumn"/>
          <w:pgSz w:w="11906" w:h="16840"/>
          <w:pgMar w:top="1418" w:right="1134" w:bottom="1134" w:left="1588" w:header="851" w:footer="851" w:gutter="0"/>
          <w:cols w:space="720" w:num="1"/>
          <w:docGrid w:linePitch="536" w:charSpace="0"/>
        </w:sectPr>
      </w:pPr>
    </w:p>
    <w:p>
      <w:pPr>
        <w:ind w:firstLine="0" w:firstLineChars="0"/>
        <w:jc w:val="center"/>
        <w:rPr>
          <w:rFonts w:ascii="仿宋_GB2312"/>
          <w:b/>
          <w:bCs/>
          <w:color w:val="000000" w:themeColor="text1"/>
          <w:sz w:val="36"/>
          <w:szCs w:val="21"/>
        </w:rPr>
      </w:pPr>
      <w:r>
        <w:rPr>
          <w:rFonts w:hint="eastAsia" w:ascii="仿宋_GB2312"/>
          <w:b/>
          <w:bCs/>
          <w:color w:val="000000" w:themeColor="text1"/>
          <w:sz w:val="36"/>
        </w:rPr>
        <w:t xml:space="preserve">目  </w:t>
      </w:r>
      <w:r>
        <w:rPr>
          <w:rFonts w:hint="eastAsia" w:ascii="仿宋_GB2312"/>
          <w:b/>
          <w:bCs/>
          <w:color w:val="000000" w:themeColor="text1"/>
          <w:sz w:val="36"/>
          <w:szCs w:val="21"/>
        </w:rPr>
        <w:t>录</w:t>
      </w:r>
    </w:p>
    <w:p>
      <w:pPr>
        <w:pStyle w:val="24"/>
        <w:tabs>
          <w:tab w:val="right" w:leader="dot" w:pos="9174"/>
        </w:tabs>
        <w:ind w:firstLine="181"/>
        <w:rPr>
          <w:rFonts w:hAnsiTheme="minorHAnsi" w:cstheme="minorBidi"/>
          <w:b w:val="0"/>
          <w:sz w:val="21"/>
          <w:szCs w:val="22"/>
        </w:rPr>
      </w:pPr>
      <w:r>
        <w:rPr>
          <w:rFonts w:hint="eastAsia" w:hAnsi="Times New Roman"/>
          <w:bCs/>
          <w:color w:val="000000" w:themeColor="text1"/>
          <w:sz w:val="36"/>
          <w:szCs w:val="21"/>
        </w:rPr>
        <w:fldChar w:fldCharType="begin"/>
      </w:r>
      <w:r>
        <w:rPr>
          <w:rFonts w:hint="eastAsia" w:hAnsi="Times New Roman"/>
          <w:bCs/>
          <w:color w:val="000000" w:themeColor="text1"/>
          <w:sz w:val="36"/>
          <w:szCs w:val="21"/>
        </w:rPr>
        <w:instrText xml:space="preserve"> TOC \o "1-2" \h \z \u </w:instrText>
      </w:r>
      <w:r>
        <w:rPr>
          <w:rFonts w:hint="eastAsia" w:hAnsi="Times New Roman"/>
          <w:bCs/>
          <w:color w:val="000000" w:themeColor="text1"/>
          <w:sz w:val="36"/>
          <w:szCs w:val="21"/>
        </w:rPr>
        <w:fldChar w:fldCharType="separate"/>
      </w:r>
      <w:r>
        <w:fldChar w:fldCharType="begin"/>
      </w:r>
      <w:r>
        <w:instrText xml:space="preserve"> HYPERLINK \l "_Toc49846930" </w:instrText>
      </w:r>
      <w:r>
        <w:fldChar w:fldCharType="separate"/>
      </w:r>
      <w:r>
        <w:rPr>
          <w:rStyle w:val="40"/>
          <w:rFonts w:hint="eastAsia"/>
        </w:rPr>
        <w:t>1 总则</w:t>
      </w:r>
      <w:r>
        <w:rPr>
          <w:rFonts w:hint="eastAsia"/>
        </w:rPr>
        <w:tab/>
      </w:r>
      <w:r>
        <w:rPr>
          <w:rFonts w:hint="eastAsia"/>
        </w:rPr>
        <w:fldChar w:fldCharType="begin"/>
      </w:r>
      <w:r>
        <w:rPr>
          <w:rFonts w:hint="eastAsia"/>
        </w:rPr>
        <w:instrText xml:space="preserve"> PAGEREF _Toc49846930 \h </w:instrText>
      </w:r>
      <w:r>
        <w:rPr>
          <w:rFonts w:hint="eastAsia"/>
        </w:rPr>
        <w:fldChar w:fldCharType="separate"/>
      </w:r>
      <w:r>
        <w:rPr>
          <w:rFonts w:hint="eastAsia"/>
        </w:rPr>
        <w:t>1</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"_Toc49846931" </w:instrText>
      </w:r>
      <w:r>
        <w:fldChar w:fldCharType="separate"/>
      </w:r>
      <w:r>
        <w:rPr>
          <w:rStyle w:val="40"/>
          <w:rFonts w:hint="eastAsia"/>
        </w:rPr>
        <w:t>1.1编制目的</w:t>
      </w:r>
      <w:r>
        <w:rPr>
          <w:rFonts w:hint="eastAsia"/>
        </w:rPr>
        <w:tab/>
      </w:r>
      <w:r>
        <w:rPr>
          <w:rFonts w:hint="eastAsia"/>
        </w:rPr>
        <w:fldChar w:fldCharType="begin"/>
      </w:r>
      <w:r>
        <w:rPr>
          <w:rFonts w:hint="eastAsia"/>
        </w:rPr>
        <w:instrText xml:space="preserve"> PAGEREF _Toc49846931 \h </w:instrText>
      </w:r>
      <w:r>
        <w:rPr>
          <w:rFonts w:hint="eastAsia"/>
        </w:rPr>
        <w:fldChar w:fldCharType="separate"/>
      </w:r>
      <w:r>
        <w:rPr>
          <w:rFonts w:hint="eastAsia"/>
        </w:rPr>
        <w:t>1</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"_Toc49846932" </w:instrText>
      </w:r>
      <w:r>
        <w:fldChar w:fldCharType="separate"/>
      </w:r>
      <w:r>
        <w:rPr>
          <w:rStyle w:val="40"/>
          <w:rFonts w:hint="eastAsia"/>
        </w:rPr>
        <w:t>1.2编制依据</w:t>
      </w:r>
      <w:r>
        <w:rPr>
          <w:rFonts w:hint="eastAsia"/>
        </w:rPr>
        <w:tab/>
      </w:r>
      <w:r>
        <w:rPr>
          <w:rFonts w:hint="eastAsia"/>
        </w:rPr>
        <w:fldChar w:fldCharType="begin"/>
      </w:r>
      <w:r>
        <w:rPr>
          <w:rFonts w:hint="eastAsia"/>
        </w:rPr>
        <w:instrText xml:space="preserve"> PAGEREF _Toc49846932 \h </w:instrText>
      </w:r>
      <w:r>
        <w:rPr>
          <w:rFonts w:hint="eastAsia"/>
        </w:rPr>
        <w:fldChar w:fldCharType="separate"/>
      </w:r>
      <w:r>
        <w:rPr>
          <w:rFonts w:hint="eastAsia"/>
        </w:rPr>
        <w:t>1</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"_Toc49846933" </w:instrText>
      </w:r>
      <w:r>
        <w:fldChar w:fldCharType="separate"/>
      </w:r>
      <w:r>
        <w:rPr>
          <w:rStyle w:val="40"/>
          <w:rFonts w:hint="eastAsia"/>
        </w:rPr>
        <w:t>1.3事故分级</w:t>
      </w:r>
      <w:r>
        <w:rPr>
          <w:rFonts w:hint="eastAsia"/>
        </w:rPr>
        <w:tab/>
      </w:r>
      <w:r>
        <w:rPr>
          <w:rFonts w:hint="eastAsia"/>
        </w:rPr>
        <w:fldChar w:fldCharType="begin"/>
      </w:r>
      <w:r>
        <w:rPr>
          <w:rFonts w:hint="eastAsia"/>
        </w:rPr>
        <w:instrText xml:space="preserve"> PAGEREF _Toc49846933 \h </w:instrText>
      </w:r>
      <w:r>
        <w:rPr>
          <w:rFonts w:hint="eastAsia"/>
        </w:rPr>
        <w:fldChar w:fldCharType="separate"/>
      </w:r>
      <w:r>
        <w:rPr>
          <w:rFonts w:hint="eastAsia"/>
        </w:rPr>
        <w:t>2</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"_Toc49846934" </w:instrText>
      </w:r>
      <w:r>
        <w:fldChar w:fldCharType="separate"/>
      </w:r>
      <w:r>
        <w:rPr>
          <w:rStyle w:val="40"/>
          <w:rFonts w:hint="eastAsia"/>
        </w:rPr>
        <w:t>1.4适用范围</w:t>
      </w:r>
      <w:r>
        <w:rPr>
          <w:rFonts w:hint="eastAsia"/>
        </w:rPr>
        <w:tab/>
      </w:r>
      <w:r>
        <w:rPr>
          <w:rFonts w:hint="eastAsia"/>
        </w:rPr>
        <w:fldChar w:fldCharType="begin"/>
      </w:r>
      <w:r>
        <w:rPr>
          <w:rFonts w:hint="eastAsia"/>
        </w:rPr>
        <w:instrText xml:space="preserve"> PAGEREF _Toc49846934 \h </w:instrText>
      </w:r>
      <w:r>
        <w:rPr>
          <w:rFonts w:hint="eastAsia"/>
        </w:rPr>
        <w:fldChar w:fldCharType="separate"/>
      </w:r>
      <w:r>
        <w:rPr>
          <w:rFonts w:hint="eastAsia"/>
        </w:rPr>
        <w:t>3</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"_Toc49846935" </w:instrText>
      </w:r>
      <w:r>
        <w:fldChar w:fldCharType="separate"/>
      </w:r>
      <w:r>
        <w:rPr>
          <w:rStyle w:val="40"/>
          <w:rFonts w:hint="eastAsia"/>
        </w:rPr>
        <w:t>1.5工作原则</w:t>
      </w:r>
      <w:r>
        <w:rPr>
          <w:rFonts w:hint="eastAsia"/>
        </w:rPr>
        <w:tab/>
      </w:r>
      <w:r>
        <w:rPr>
          <w:rFonts w:hint="eastAsia"/>
        </w:rPr>
        <w:fldChar w:fldCharType="begin"/>
      </w:r>
      <w:r>
        <w:rPr>
          <w:rFonts w:hint="eastAsia"/>
        </w:rPr>
        <w:instrText xml:space="preserve"> PAGEREF _Toc49846935 \h </w:instrText>
      </w:r>
      <w:r>
        <w:rPr>
          <w:rFonts w:hint="eastAsia"/>
        </w:rPr>
        <w:fldChar w:fldCharType="separate"/>
      </w:r>
      <w:r>
        <w:rPr>
          <w:rFonts w:hint="eastAsia"/>
        </w:rPr>
        <w:t>3</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"_Toc49846936" </w:instrText>
      </w:r>
      <w:r>
        <w:fldChar w:fldCharType="separate"/>
      </w:r>
      <w:r>
        <w:rPr>
          <w:rStyle w:val="40"/>
          <w:rFonts w:hint="eastAsia"/>
        </w:rPr>
        <w:t>1.6应急预案体系</w:t>
      </w:r>
      <w:r>
        <w:rPr>
          <w:rFonts w:hint="eastAsia"/>
        </w:rPr>
        <w:tab/>
      </w:r>
      <w:r>
        <w:rPr>
          <w:rFonts w:hint="eastAsia"/>
        </w:rPr>
        <w:fldChar w:fldCharType="begin"/>
      </w:r>
      <w:r>
        <w:rPr>
          <w:rFonts w:hint="eastAsia"/>
        </w:rPr>
        <w:instrText xml:space="preserve"> PAGEREF _Toc49846936 \h </w:instrText>
      </w:r>
      <w:r>
        <w:rPr>
          <w:rFonts w:hint="eastAsia"/>
        </w:rPr>
        <w:fldChar w:fldCharType="separate"/>
      </w:r>
      <w:r>
        <w:rPr>
          <w:rFonts w:hint="eastAsia"/>
        </w:rPr>
        <w:t>4</w:t>
      </w:r>
      <w:r>
        <w:rPr>
          <w:rFonts w:hint="eastAsia"/>
        </w:rPr>
        <w:fldChar w:fldCharType="end"/>
      </w:r>
      <w:r>
        <w:rPr>
          <w:rFonts w:hint="eastAsia"/>
        </w:rPr>
        <w:fldChar w:fldCharType="end"/>
      </w:r>
    </w:p>
    <w:p>
      <w:pPr>
        <w:pStyle w:val="24"/>
        <w:tabs>
          <w:tab w:val="right" w:leader="dot" w:pos="9174"/>
        </w:tabs>
        <w:ind w:firstLine="141"/>
        <w:rPr>
          <w:rFonts w:hAnsiTheme="minorHAnsi" w:cstheme="minorBidi"/>
          <w:b w:val="0"/>
          <w:sz w:val="21"/>
          <w:szCs w:val="22"/>
        </w:rPr>
      </w:pPr>
      <w:r>
        <w:fldChar w:fldCharType="begin"/>
      </w:r>
      <w:r>
        <w:instrText xml:space="preserve"> HYPERLINK \l "_Toc49846937" </w:instrText>
      </w:r>
      <w:r>
        <w:fldChar w:fldCharType="separate"/>
      </w:r>
      <w:r>
        <w:rPr>
          <w:rStyle w:val="40"/>
          <w:rFonts w:hint="eastAsia"/>
        </w:rPr>
        <w:t>2 组织体系与职责</w:t>
      </w:r>
      <w:r>
        <w:rPr>
          <w:rFonts w:hint="eastAsia"/>
        </w:rPr>
        <w:tab/>
      </w:r>
      <w:r>
        <w:rPr>
          <w:rFonts w:hint="eastAsia"/>
        </w:rPr>
        <w:fldChar w:fldCharType="begin"/>
      </w:r>
      <w:r>
        <w:rPr>
          <w:rFonts w:hint="eastAsia"/>
        </w:rPr>
        <w:instrText xml:space="preserve"> PAGEREF _Toc49846937 \h </w:instrText>
      </w:r>
      <w:r>
        <w:rPr>
          <w:rFonts w:hint="eastAsia"/>
        </w:rPr>
        <w:fldChar w:fldCharType="separate"/>
      </w:r>
      <w:r>
        <w:rPr>
          <w:rFonts w:hint="eastAsia"/>
        </w:rPr>
        <w:t>5</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"_Toc49846938" </w:instrText>
      </w:r>
      <w:r>
        <w:fldChar w:fldCharType="separate"/>
      </w:r>
      <w:r>
        <w:rPr>
          <w:rStyle w:val="40"/>
          <w:rFonts w:hint="eastAsia"/>
        </w:rPr>
        <w:t>2.1领导机构</w:t>
      </w:r>
      <w:r>
        <w:rPr>
          <w:rFonts w:hint="eastAsia"/>
        </w:rPr>
        <w:tab/>
      </w:r>
      <w:r>
        <w:rPr>
          <w:rFonts w:hint="eastAsia"/>
        </w:rPr>
        <w:fldChar w:fldCharType="begin"/>
      </w:r>
      <w:r>
        <w:rPr>
          <w:rFonts w:hint="eastAsia"/>
        </w:rPr>
        <w:instrText xml:space="preserve"> PAGEREF _Toc49846938 \h </w:instrText>
      </w:r>
      <w:r>
        <w:rPr>
          <w:rFonts w:hint="eastAsia"/>
        </w:rPr>
        <w:fldChar w:fldCharType="separate"/>
      </w:r>
      <w:r>
        <w:rPr>
          <w:rFonts w:hint="eastAsia"/>
        </w:rPr>
        <w:t>5</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"_Toc49846939" </w:instrText>
      </w:r>
      <w:r>
        <w:fldChar w:fldCharType="separate"/>
      </w:r>
      <w:r>
        <w:rPr>
          <w:rStyle w:val="40"/>
          <w:rFonts w:hint="eastAsia"/>
        </w:rPr>
        <w:t>2.2组织体系</w:t>
      </w:r>
      <w:r>
        <w:rPr>
          <w:rFonts w:hint="eastAsia"/>
        </w:rPr>
        <w:tab/>
      </w:r>
      <w:r>
        <w:rPr>
          <w:rFonts w:hint="eastAsia"/>
        </w:rPr>
        <w:fldChar w:fldCharType="begin"/>
      </w:r>
      <w:r>
        <w:rPr>
          <w:rFonts w:hint="eastAsia"/>
        </w:rPr>
        <w:instrText xml:space="preserve"> PAGEREF _Toc49846939 \h </w:instrText>
      </w:r>
      <w:r>
        <w:rPr>
          <w:rFonts w:hint="eastAsia"/>
        </w:rPr>
        <w:fldChar w:fldCharType="separate"/>
      </w:r>
      <w:r>
        <w:rPr>
          <w:rFonts w:hint="eastAsia"/>
        </w:rPr>
        <w:t>5</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"_Toc49846940" </w:instrText>
      </w:r>
      <w:r>
        <w:fldChar w:fldCharType="separate"/>
      </w:r>
      <w:r>
        <w:rPr>
          <w:rStyle w:val="40"/>
          <w:rFonts w:hint="eastAsia"/>
        </w:rPr>
        <w:t>2.3办事机构</w:t>
      </w:r>
      <w:r>
        <w:rPr>
          <w:rFonts w:hint="eastAsia"/>
        </w:rPr>
        <w:tab/>
      </w:r>
      <w:r>
        <w:rPr>
          <w:rFonts w:hint="eastAsia"/>
        </w:rPr>
        <w:fldChar w:fldCharType="begin"/>
      </w:r>
      <w:r>
        <w:rPr>
          <w:rFonts w:hint="eastAsia"/>
        </w:rPr>
        <w:instrText xml:space="preserve"> PAGEREF _Toc49846940 \h </w:instrText>
      </w:r>
      <w:r>
        <w:rPr>
          <w:rFonts w:hint="eastAsia"/>
        </w:rPr>
        <w:fldChar w:fldCharType="separate"/>
      </w:r>
      <w:r>
        <w:rPr>
          <w:rFonts w:hint="eastAsia"/>
        </w:rPr>
        <w:t>6</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"_Toc49846941" </w:instrText>
      </w:r>
      <w:r>
        <w:fldChar w:fldCharType="separate"/>
      </w:r>
      <w:r>
        <w:rPr>
          <w:rStyle w:val="40"/>
          <w:rFonts w:hint="eastAsia"/>
        </w:rPr>
        <w:t>2.4成员单位及其职责</w:t>
      </w:r>
      <w:r>
        <w:rPr>
          <w:rFonts w:hint="eastAsia"/>
        </w:rPr>
        <w:tab/>
      </w:r>
      <w:r>
        <w:rPr>
          <w:rFonts w:hint="eastAsia"/>
        </w:rPr>
        <w:fldChar w:fldCharType="begin"/>
      </w:r>
      <w:r>
        <w:rPr>
          <w:rFonts w:hint="eastAsia"/>
        </w:rPr>
        <w:instrText xml:space="preserve"> PAGEREF _Toc49846941 \h </w:instrText>
      </w:r>
      <w:r>
        <w:rPr>
          <w:rFonts w:hint="eastAsia"/>
        </w:rPr>
        <w:fldChar w:fldCharType="separate"/>
      </w:r>
      <w:r>
        <w:rPr>
          <w:rFonts w:hint="eastAsia"/>
        </w:rPr>
        <w:t>7</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"_Toc49846942" </w:instrText>
      </w:r>
      <w:r>
        <w:fldChar w:fldCharType="separate"/>
      </w:r>
      <w:r>
        <w:rPr>
          <w:rStyle w:val="40"/>
          <w:rFonts w:hint="eastAsia"/>
        </w:rPr>
        <w:t>2.5外协单位</w:t>
      </w:r>
      <w:r>
        <w:rPr>
          <w:rFonts w:hint="eastAsia"/>
        </w:rPr>
        <w:tab/>
      </w:r>
      <w:r>
        <w:rPr>
          <w:rFonts w:hint="eastAsia"/>
        </w:rPr>
        <w:fldChar w:fldCharType="begin"/>
      </w:r>
      <w:r>
        <w:rPr>
          <w:rFonts w:hint="eastAsia"/>
        </w:rPr>
        <w:instrText xml:space="preserve"> PAGEREF _Toc49846942 \h </w:instrText>
      </w:r>
      <w:r>
        <w:rPr>
          <w:rFonts w:hint="eastAsia"/>
        </w:rPr>
        <w:fldChar w:fldCharType="separate"/>
      </w:r>
      <w:r>
        <w:rPr>
          <w:rFonts w:hint="eastAsia"/>
        </w:rPr>
        <w:t>9</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"_Toc49846943" </w:instrText>
      </w:r>
      <w:r>
        <w:fldChar w:fldCharType="separate"/>
      </w:r>
      <w:r>
        <w:rPr>
          <w:rStyle w:val="40"/>
          <w:rFonts w:hint="eastAsia"/>
        </w:rPr>
        <w:t>2.6现场指挥部职责</w:t>
      </w:r>
      <w:r>
        <w:rPr>
          <w:rFonts w:hint="eastAsia"/>
        </w:rPr>
        <w:tab/>
      </w:r>
      <w:r>
        <w:rPr>
          <w:rFonts w:hint="eastAsia"/>
        </w:rPr>
        <w:fldChar w:fldCharType="begin"/>
      </w:r>
      <w:r>
        <w:rPr>
          <w:rFonts w:hint="eastAsia"/>
        </w:rPr>
        <w:instrText xml:space="preserve"> PAGEREF _Toc49846943 \h </w:instrText>
      </w:r>
      <w:r>
        <w:rPr>
          <w:rFonts w:hint="eastAsia"/>
        </w:rPr>
        <w:fldChar w:fldCharType="separate"/>
      </w:r>
      <w:r>
        <w:rPr>
          <w:rFonts w:hint="eastAsia"/>
        </w:rPr>
        <w:t>10</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"_Toc49846944" </w:instrText>
      </w:r>
      <w:r>
        <w:fldChar w:fldCharType="separate"/>
      </w:r>
      <w:r>
        <w:rPr>
          <w:rStyle w:val="40"/>
          <w:rFonts w:hint="eastAsia"/>
        </w:rPr>
        <w:t>2.7基层应急指挥机构</w:t>
      </w:r>
      <w:r>
        <w:rPr>
          <w:rFonts w:hint="eastAsia"/>
        </w:rPr>
        <w:tab/>
      </w:r>
      <w:r>
        <w:rPr>
          <w:rFonts w:hint="eastAsia"/>
        </w:rPr>
        <w:fldChar w:fldCharType="begin"/>
      </w:r>
      <w:r>
        <w:rPr>
          <w:rFonts w:hint="eastAsia"/>
        </w:rPr>
        <w:instrText xml:space="preserve"> PAGEREF _Toc49846944 \h </w:instrText>
      </w:r>
      <w:r>
        <w:rPr>
          <w:rFonts w:hint="eastAsia"/>
        </w:rPr>
        <w:fldChar w:fldCharType="separate"/>
      </w:r>
      <w:r>
        <w:rPr>
          <w:rFonts w:hint="eastAsia"/>
        </w:rPr>
        <w:t>12</w:t>
      </w:r>
      <w:r>
        <w:rPr>
          <w:rFonts w:hint="eastAsia"/>
        </w:rPr>
        <w:fldChar w:fldCharType="end"/>
      </w:r>
      <w:r>
        <w:rPr>
          <w:rFonts w:hint="eastAsia"/>
        </w:rPr>
        <w:fldChar w:fldCharType="end"/>
      </w:r>
    </w:p>
    <w:p>
      <w:pPr>
        <w:pStyle w:val="24"/>
        <w:tabs>
          <w:tab w:val="right" w:leader="dot" w:pos="9174"/>
        </w:tabs>
        <w:ind w:firstLine="141"/>
        <w:rPr>
          <w:rFonts w:hAnsiTheme="minorHAnsi" w:cstheme="minorBidi"/>
          <w:b w:val="0"/>
          <w:sz w:val="21"/>
          <w:szCs w:val="22"/>
        </w:rPr>
      </w:pPr>
      <w:r>
        <w:fldChar w:fldCharType="begin"/>
      </w:r>
      <w:r>
        <w:instrText xml:space="preserve"> HYPERLINK \l "_Toc49846945" </w:instrText>
      </w:r>
      <w:r>
        <w:fldChar w:fldCharType="separate"/>
      </w:r>
      <w:r>
        <w:rPr>
          <w:rStyle w:val="40"/>
          <w:rFonts w:hint="eastAsia"/>
        </w:rPr>
        <w:t>3 预防与预警</w:t>
      </w:r>
      <w:r>
        <w:rPr>
          <w:rFonts w:hint="eastAsia"/>
        </w:rPr>
        <w:tab/>
      </w:r>
      <w:r>
        <w:rPr>
          <w:rFonts w:hint="eastAsia"/>
        </w:rPr>
        <w:fldChar w:fldCharType="begin"/>
      </w:r>
      <w:r>
        <w:rPr>
          <w:rFonts w:hint="eastAsia"/>
        </w:rPr>
        <w:instrText xml:space="preserve"> PAGEREF _Toc49846945 \h </w:instrText>
      </w:r>
      <w:r>
        <w:rPr>
          <w:rFonts w:hint="eastAsia"/>
        </w:rPr>
        <w:fldChar w:fldCharType="separate"/>
      </w:r>
      <w:r>
        <w:rPr>
          <w:rFonts w:hint="eastAsia"/>
        </w:rPr>
        <w:t>14</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"_Toc49846946" </w:instrText>
      </w:r>
      <w:r>
        <w:fldChar w:fldCharType="separate"/>
      </w:r>
      <w:r>
        <w:rPr>
          <w:rStyle w:val="40"/>
          <w:rFonts w:hint="eastAsia"/>
        </w:rPr>
        <w:t>3.1隐患排查与治理</w:t>
      </w:r>
      <w:r>
        <w:rPr>
          <w:rFonts w:hint="eastAsia"/>
        </w:rPr>
        <w:tab/>
      </w:r>
      <w:r>
        <w:rPr>
          <w:rFonts w:hint="eastAsia"/>
        </w:rPr>
        <w:fldChar w:fldCharType="begin"/>
      </w:r>
      <w:r>
        <w:rPr>
          <w:rFonts w:hint="eastAsia"/>
        </w:rPr>
        <w:instrText xml:space="preserve"> PAGEREF _Toc49846946 \h </w:instrText>
      </w:r>
      <w:r>
        <w:rPr>
          <w:rFonts w:hint="eastAsia"/>
        </w:rPr>
        <w:fldChar w:fldCharType="separate"/>
      </w:r>
      <w:r>
        <w:rPr>
          <w:rFonts w:hint="eastAsia"/>
        </w:rPr>
        <w:t>14</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"_Toc49846947" </w:instrText>
      </w:r>
      <w:r>
        <w:fldChar w:fldCharType="separate"/>
      </w:r>
      <w:r>
        <w:rPr>
          <w:rStyle w:val="40"/>
          <w:rFonts w:hint="eastAsia"/>
        </w:rPr>
        <w:t>3.2信息报告</w:t>
      </w:r>
      <w:r>
        <w:rPr>
          <w:rFonts w:hint="eastAsia"/>
        </w:rPr>
        <w:tab/>
      </w:r>
      <w:r>
        <w:rPr>
          <w:rFonts w:hint="eastAsia"/>
        </w:rPr>
        <w:fldChar w:fldCharType="begin"/>
      </w:r>
      <w:r>
        <w:rPr>
          <w:rFonts w:hint="eastAsia"/>
        </w:rPr>
        <w:instrText xml:space="preserve"> PAGEREF _Toc49846947 \h </w:instrText>
      </w:r>
      <w:r>
        <w:rPr>
          <w:rFonts w:hint="eastAsia"/>
        </w:rPr>
        <w:fldChar w:fldCharType="separate"/>
      </w:r>
      <w:r>
        <w:rPr>
          <w:rFonts w:hint="eastAsia"/>
        </w:rPr>
        <w:t>14</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"_Toc49846948" </w:instrText>
      </w:r>
      <w:r>
        <w:fldChar w:fldCharType="separate"/>
      </w:r>
      <w:r>
        <w:rPr>
          <w:rStyle w:val="40"/>
          <w:rFonts w:hint="eastAsia"/>
        </w:rPr>
        <w:t>3.3预警行动</w:t>
      </w:r>
      <w:r>
        <w:rPr>
          <w:rFonts w:hint="eastAsia"/>
        </w:rPr>
        <w:tab/>
      </w:r>
      <w:r>
        <w:rPr>
          <w:rFonts w:hint="eastAsia"/>
        </w:rPr>
        <w:fldChar w:fldCharType="begin"/>
      </w:r>
      <w:r>
        <w:rPr>
          <w:rFonts w:hint="eastAsia"/>
        </w:rPr>
        <w:instrText xml:space="preserve"> PAGEREF _Toc49846948 \h </w:instrText>
      </w:r>
      <w:r>
        <w:rPr>
          <w:rFonts w:hint="eastAsia"/>
        </w:rPr>
        <w:fldChar w:fldCharType="separate"/>
      </w:r>
      <w:r>
        <w:rPr>
          <w:rFonts w:hint="eastAsia"/>
        </w:rPr>
        <w:t>16</w:t>
      </w:r>
      <w:r>
        <w:rPr>
          <w:rFonts w:hint="eastAsia"/>
        </w:rPr>
        <w:fldChar w:fldCharType="end"/>
      </w:r>
      <w:r>
        <w:rPr>
          <w:rFonts w:hint="eastAsia"/>
        </w:rPr>
        <w:fldChar w:fldCharType="end"/>
      </w:r>
    </w:p>
    <w:p>
      <w:pPr>
        <w:pStyle w:val="24"/>
        <w:tabs>
          <w:tab w:val="right" w:leader="dot" w:pos="9174"/>
        </w:tabs>
        <w:ind w:firstLine="141"/>
        <w:rPr>
          <w:rFonts w:hAnsiTheme="minorHAnsi" w:cstheme="minorBidi"/>
          <w:b w:val="0"/>
          <w:sz w:val="21"/>
          <w:szCs w:val="22"/>
        </w:rPr>
      </w:pPr>
      <w:r>
        <w:fldChar w:fldCharType="begin"/>
      </w:r>
      <w:r>
        <w:instrText xml:space="preserve"> HYPERLINK \l "_Toc49846949" </w:instrText>
      </w:r>
      <w:r>
        <w:fldChar w:fldCharType="separate"/>
      </w:r>
      <w:r>
        <w:rPr>
          <w:rStyle w:val="40"/>
          <w:rFonts w:hint="eastAsia"/>
        </w:rPr>
        <w:t>4应急响应</w:t>
      </w:r>
      <w:r>
        <w:rPr>
          <w:rFonts w:hint="eastAsia"/>
        </w:rPr>
        <w:tab/>
      </w:r>
      <w:r>
        <w:rPr>
          <w:rFonts w:hint="eastAsia"/>
        </w:rPr>
        <w:fldChar w:fldCharType="begin"/>
      </w:r>
      <w:r>
        <w:rPr>
          <w:rFonts w:hint="eastAsia"/>
        </w:rPr>
        <w:instrText xml:space="preserve"> PAGEREF _Toc49846949 \h </w:instrText>
      </w:r>
      <w:r>
        <w:rPr>
          <w:rFonts w:hint="eastAsia"/>
        </w:rPr>
        <w:fldChar w:fldCharType="separate"/>
      </w:r>
      <w:r>
        <w:rPr>
          <w:rFonts w:hint="eastAsia"/>
        </w:rPr>
        <w:t>20</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"_Toc49846950" </w:instrText>
      </w:r>
      <w:r>
        <w:fldChar w:fldCharType="separate"/>
      </w:r>
      <w:r>
        <w:rPr>
          <w:rStyle w:val="40"/>
          <w:rFonts w:hint="eastAsia"/>
        </w:rPr>
        <w:t>4.1先期处置</w:t>
      </w:r>
      <w:r>
        <w:rPr>
          <w:rFonts w:hint="eastAsia"/>
        </w:rPr>
        <w:tab/>
      </w:r>
      <w:r>
        <w:rPr>
          <w:rFonts w:hint="eastAsia"/>
        </w:rPr>
        <w:fldChar w:fldCharType="begin"/>
      </w:r>
      <w:r>
        <w:rPr>
          <w:rFonts w:hint="eastAsia"/>
        </w:rPr>
        <w:instrText xml:space="preserve"> PAGEREF _Toc49846950 \h </w:instrText>
      </w:r>
      <w:r>
        <w:rPr>
          <w:rFonts w:hint="eastAsia"/>
        </w:rPr>
        <w:fldChar w:fldCharType="separate"/>
      </w:r>
      <w:r>
        <w:rPr>
          <w:rFonts w:hint="eastAsia"/>
        </w:rPr>
        <w:t>20</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"_Toc49846951" </w:instrText>
      </w:r>
      <w:r>
        <w:fldChar w:fldCharType="separate"/>
      </w:r>
      <w:r>
        <w:rPr>
          <w:rStyle w:val="40"/>
          <w:rFonts w:hint="eastAsia"/>
        </w:rPr>
        <w:t>4.2分级响应</w:t>
      </w:r>
      <w:r>
        <w:rPr>
          <w:rFonts w:hint="eastAsia"/>
        </w:rPr>
        <w:tab/>
      </w:r>
      <w:r>
        <w:rPr>
          <w:rFonts w:hint="eastAsia"/>
        </w:rPr>
        <w:fldChar w:fldCharType="begin"/>
      </w:r>
      <w:r>
        <w:rPr>
          <w:rFonts w:hint="eastAsia"/>
        </w:rPr>
        <w:instrText xml:space="preserve"> PAGEREF _Toc49846951 \h </w:instrText>
      </w:r>
      <w:r>
        <w:rPr>
          <w:rFonts w:hint="eastAsia"/>
        </w:rPr>
        <w:fldChar w:fldCharType="separate"/>
      </w:r>
      <w:r>
        <w:rPr>
          <w:rFonts w:hint="eastAsia"/>
        </w:rPr>
        <w:t>20</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"_Toc49846952" </w:instrText>
      </w:r>
      <w:r>
        <w:fldChar w:fldCharType="separate"/>
      </w:r>
      <w:r>
        <w:rPr>
          <w:rStyle w:val="40"/>
          <w:rFonts w:hint="eastAsia"/>
        </w:rPr>
        <w:t>4.3响应程序</w:t>
      </w:r>
      <w:r>
        <w:rPr>
          <w:rFonts w:hint="eastAsia"/>
        </w:rPr>
        <w:tab/>
      </w:r>
      <w:r>
        <w:rPr>
          <w:rFonts w:hint="eastAsia"/>
        </w:rPr>
        <w:fldChar w:fldCharType="begin"/>
      </w:r>
      <w:r>
        <w:rPr>
          <w:rFonts w:hint="eastAsia"/>
        </w:rPr>
        <w:instrText xml:space="preserve"> PAGEREF _Toc49846952 \h </w:instrText>
      </w:r>
      <w:r>
        <w:rPr>
          <w:rFonts w:hint="eastAsia"/>
        </w:rPr>
        <w:fldChar w:fldCharType="separate"/>
      </w:r>
      <w:r>
        <w:rPr>
          <w:rFonts w:hint="eastAsia"/>
        </w:rPr>
        <w:t>21</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"_Toc49846953" </w:instrText>
      </w:r>
      <w:r>
        <w:fldChar w:fldCharType="separate"/>
      </w:r>
      <w:r>
        <w:rPr>
          <w:rStyle w:val="40"/>
          <w:rFonts w:hint="eastAsia"/>
        </w:rPr>
        <w:t>4.4处置措施</w:t>
      </w:r>
      <w:r>
        <w:rPr>
          <w:rFonts w:hint="eastAsia"/>
        </w:rPr>
        <w:tab/>
      </w:r>
      <w:r>
        <w:rPr>
          <w:rFonts w:hint="eastAsia"/>
        </w:rPr>
        <w:fldChar w:fldCharType="begin"/>
      </w:r>
      <w:r>
        <w:rPr>
          <w:rFonts w:hint="eastAsia"/>
        </w:rPr>
        <w:instrText xml:space="preserve"> PAGEREF _Toc49846953 \h </w:instrText>
      </w:r>
      <w:r>
        <w:rPr>
          <w:rFonts w:hint="eastAsia"/>
        </w:rPr>
        <w:fldChar w:fldCharType="separate"/>
      </w:r>
      <w:r>
        <w:rPr>
          <w:rFonts w:hint="eastAsia"/>
        </w:rPr>
        <w:t>22</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"_Toc49846954" </w:instrText>
      </w:r>
      <w:r>
        <w:fldChar w:fldCharType="separate"/>
      </w:r>
      <w:r>
        <w:rPr>
          <w:rStyle w:val="40"/>
          <w:rFonts w:hint="eastAsia"/>
        </w:rPr>
        <w:t>4.5应急结束</w:t>
      </w:r>
      <w:r>
        <w:rPr>
          <w:rFonts w:hint="eastAsia"/>
        </w:rPr>
        <w:tab/>
      </w:r>
      <w:r>
        <w:rPr>
          <w:rFonts w:hint="eastAsia"/>
        </w:rPr>
        <w:fldChar w:fldCharType="begin"/>
      </w:r>
      <w:r>
        <w:rPr>
          <w:rFonts w:hint="eastAsia"/>
        </w:rPr>
        <w:instrText xml:space="preserve"> PAGEREF _Toc49846954 \h </w:instrText>
      </w:r>
      <w:r>
        <w:rPr>
          <w:rFonts w:hint="eastAsia"/>
        </w:rPr>
        <w:fldChar w:fldCharType="separate"/>
      </w:r>
      <w:r>
        <w:rPr>
          <w:rFonts w:hint="eastAsia"/>
        </w:rPr>
        <w:t>24</w:t>
      </w:r>
      <w:r>
        <w:rPr>
          <w:rFonts w:hint="eastAsia"/>
        </w:rPr>
        <w:fldChar w:fldCharType="end"/>
      </w:r>
      <w:r>
        <w:rPr>
          <w:rFonts w:hint="eastAsia"/>
        </w:rPr>
        <w:fldChar w:fldCharType="end"/>
      </w:r>
    </w:p>
    <w:p>
      <w:pPr>
        <w:pStyle w:val="24"/>
        <w:tabs>
          <w:tab w:val="right" w:leader="dot" w:pos="9174"/>
        </w:tabs>
        <w:ind w:firstLine="141"/>
        <w:rPr>
          <w:rFonts w:hAnsiTheme="minorHAnsi" w:cstheme="minorBidi"/>
          <w:b w:val="0"/>
          <w:sz w:val="21"/>
          <w:szCs w:val="22"/>
        </w:rPr>
      </w:pPr>
      <w:r>
        <w:fldChar w:fldCharType="begin"/>
      </w:r>
      <w:r>
        <w:instrText xml:space="preserve"> HYPERLINK \l "_Toc49846955" </w:instrText>
      </w:r>
      <w:r>
        <w:fldChar w:fldCharType="separate"/>
      </w:r>
      <w:r>
        <w:rPr>
          <w:rStyle w:val="40"/>
          <w:rFonts w:hint="eastAsia"/>
        </w:rPr>
        <w:t>5后期处置</w:t>
      </w:r>
      <w:r>
        <w:rPr>
          <w:rFonts w:hint="eastAsia"/>
        </w:rPr>
        <w:tab/>
      </w:r>
      <w:r>
        <w:rPr>
          <w:rFonts w:hint="eastAsia"/>
        </w:rPr>
        <w:fldChar w:fldCharType="begin"/>
      </w:r>
      <w:r>
        <w:rPr>
          <w:rFonts w:hint="eastAsia"/>
        </w:rPr>
        <w:instrText xml:space="preserve"> PAGEREF _Toc49846955 \h </w:instrText>
      </w:r>
      <w:r>
        <w:rPr>
          <w:rFonts w:hint="eastAsia"/>
        </w:rPr>
        <w:fldChar w:fldCharType="separate"/>
      </w:r>
      <w:r>
        <w:rPr>
          <w:rFonts w:hint="eastAsia"/>
        </w:rPr>
        <w:t>25</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"_Toc49846956" </w:instrText>
      </w:r>
      <w:r>
        <w:fldChar w:fldCharType="separate"/>
      </w:r>
      <w:r>
        <w:rPr>
          <w:rStyle w:val="40"/>
          <w:rFonts w:hint="eastAsia"/>
        </w:rPr>
        <w:t>5.1善后处置</w:t>
      </w:r>
      <w:r>
        <w:rPr>
          <w:rFonts w:hint="eastAsia"/>
        </w:rPr>
        <w:tab/>
      </w:r>
      <w:r>
        <w:rPr>
          <w:rFonts w:hint="eastAsia"/>
        </w:rPr>
        <w:fldChar w:fldCharType="begin"/>
      </w:r>
      <w:r>
        <w:rPr>
          <w:rFonts w:hint="eastAsia"/>
        </w:rPr>
        <w:instrText xml:space="preserve"> PAGEREF _Toc49846956 \h </w:instrText>
      </w:r>
      <w:r>
        <w:rPr>
          <w:rFonts w:hint="eastAsia"/>
        </w:rPr>
        <w:fldChar w:fldCharType="separate"/>
      </w:r>
      <w:r>
        <w:rPr>
          <w:rFonts w:hint="eastAsia"/>
        </w:rPr>
        <w:t>25</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"_Toc49846957" </w:instrText>
      </w:r>
      <w:r>
        <w:fldChar w:fldCharType="separate"/>
      </w:r>
      <w:r>
        <w:rPr>
          <w:rStyle w:val="40"/>
          <w:rFonts w:hint="eastAsia"/>
        </w:rPr>
        <w:t>5.2调查与评估</w:t>
      </w:r>
      <w:r>
        <w:rPr>
          <w:rFonts w:hint="eastAsia"/>
        </w:rPr>
        <w:tab/>
      </w:r>
      <w:r>
        <w:rPr>
          <w:rFonts w:hint="eastAsia"/>
        </w:rPr>
        <w:fldChar w:fldCharType="begin"/>
      </w:r>
      <w:r>
        <w:rPr>
          <w:rFonts w:hint="eastAsia"/>
        </w:rPr>
        <w:instrText xml:space="preserve"> PAGEREF _Toc49846957 \h </w:instrText>
      </w:r>
      <w:r>
        <w:rPr>
          <w:rFonts w:hint="eastAsia"/>
        </w:rPr>
        <w:fldChar w:fldCharType="separate"/>
      </w:r>
      <w:r>
        <w:rPr>
          <w:rFonts w:hint="eastAsia"/>
        </w:rPr>
        <w:t>25</w:t>
      </w:r>
      <w:r>
        <w:rPr>
          <w:rFonts w:hint="eastAsia"/>
        </w:rPr>
        <w:fldChar w:fldCharType="end"/>
      </w:r>
      <w:r>
        <w:rPr>
          <w:rFonts w:hint="eastAsia"/>
        </w:rPr>
        <w:fldChar w:fldCharType="end"/>
      </w:r>
    </w:p>
    <w:p>
      <w:pPr>
        <w:pStyle w:val="24"/>
        <w:tabs>
          <w:tab w:val="right" w:leader="dot" w:pos="9174"/>
        </w:tabs>
        <w:ind w:firstLine="141"/>
        <w:rPr>
          <w:rFonts w:hAnsiTheme="minorHAnsi" w:cstheme="minorBidi"/>
          <w:b w:val="0"/>
          <w:sz w:val="21"/>
          <w:szCs w:val="22"/>
        </w:rPr>
      </w:pPr>
      <w:r>
        <w:fldChar w:fldCharType="begin"/>
      </w:r>
      <w:r>
        <w:instrText xml:space="preserve"> HYPERLINK \l "_Toc49846958" </w:instrText>
      </w:r>
      <w:r>
        <w:fldChar w:fldCharType="separate"/>
      </w:r>
      <w:r>
        <w:rPr>
          <w:rStyle w:val="40"/>
          <w:rFonts w:hint="eastAsia"/>
        </w:rPr>
        <w:t>6应急预案管理</w:t>
      </w:r>
      <w:r>
        <w:rPr>
          <w:rFonts w:hint="eastAsia"/>
        </w:rPr>
        <w:tab/>
      </w:r>
      <w:r>
        <w:rPr>
          <w:rFonts w:hint="eastAsia"/>
        </w:rPr>
        <w:fldChar w:fldCharType="begin"/>
      </w:r>
      <w:r>
        <w:rPr>
          <w:rFonts w:hint="eastAsia"/>
        </w:rPr>
        <w:instrText xml:space="preserve"> PAGEREF _Toc49846958 \h </w:instrText>
      </w:r>
      <w:r>
        <w:rPr>
          <w:rFonts w:hint="eastAsia"/>
        </w:rPr>
        <w:fldChar w:fldCharType="separate"/>
      </w:r>
      <w:r>
        <w:rPr>
          <w:rFonts w:hint="eastAsia"/>
        </w:rPr>
        <w:t>26</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"_Toc49846959" </w:instrText>
      </w:r>
      <w:r>
        <w:fldChar w:fldCharType="separate"/>
      </w:r>
      <w:r>
        <w:rPr>
          <w:rStyle w:val="40"/>
          <w:rFonts w:hint="eastAsia"/>
        </w:rPr>
        <w:t>6.1应急演练</w:t>
      </w:r>
      <w:r>
        <w:rPr>
          <w:rFonts w:hint="eastAsia"/>
        </w:rPr>
        <w:tab/>
      </w:r>
      <w:r>
        <w:rPr>
          <w:rFonts w:hint="eastAsia"/>
        </w:rPr>
        <w:fldChar w:fldCharType="begin"/>
      </w:r>
      <w:r>
        <w:rPr>
          <w:rFonts w:hint="eastAsia"/>
        </w:rPr>
        <w:instrText xml:space="preserve"> PAGEREF _Toc49846959 \h </w:instrText>
      </w:r>
      <w:r>
        <w:rPr>
          <w:rFonts w:hint="eastAsia"/>
        </w:rPr>
        <w:fldChar w:fldCharType="separate"/>
      </w:r>
      <w:r>
        <w:rPr>
          <w:rFonts w:hint="eastAsia"/>
        </w:rPr>
        <w:t>26</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"_Toc49846960" </w:instrText>
      </w:r>
      <w:r>
        <w:fldChar w:fldCharType="separate"/>
      </w:r>
      <w:r>
        <w:rPr>
          <w:rStyle w:val="40"/>
          <w:rFonts w:hint="eastAsia"/>
        </w:rPr>
        <w:t>6.2应急预案修订</w:t>
      </w:r>
      <w:r>
        <w:rPr>
          <w:rFonts w:hint="eastAsia"/>
        </w:rPr>
        <w:tab/>
      </w:r>
      <w:r>
        <w:rPr>
          <w:rFonts w:hint="eastAsia"/>
        </w:rPr>
        <w:fldChar w:fldCharType="begin"/>
      </w:r>
      <w:r>
        <w:rPr>
          <w:rFonts w:hint="eastAsia"/>
        </w:rPr>
        <w:instrText xml:space="preserve"> PAGEREF _Toc49846960 \h </w:instrText>
      </w:r>
      <w:r>
        <w:rPr>
          <w:rFonts w:hint="eastAsia"/>
        </w:rPr>
        <w:fldChar w:fldCharType="separate"/>
      </w:r>
      <w:r>
        <w:rPr>
          <w:rFonts w:hint="eastAsia"/>
        </w:rPr>
        <w:t>26</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"_Toc49846961" </w:instrText>
      </w:r>
      <w:r>
        <w:fldChar w:fldCharType="separate"/>
      </w:r>
      <w:r>
        <w:rPr>
          <w:rStyle w:val="40"/>
          <w:rFonts w:hint="eastAsia"/>
        </w:rPr>
        <w:t>6.3应急预案实施</w:t>
      </w:r>
      <w:r>
        <w:rPr>
          <w:rFonts w:hint="eastAsia"/>
        </w:rPr>
        <w:tab/>
      </w:r>
      <w:r>
        <w:rPr>
          <w:rFonts w:hint="eastAsia"/>
        </w:rPr>
        <w:fldChar w:fldCharType="begin"/>
      </w:r>
      <w:r>
        <w:rPr>
          <w:rFonts w:hint="eastAsia"/>
        </w:rPr>
        <w:instrText xml:space="preserve"> PAGEREF _Toc49846961 \h </w:instrText>
      </w:r>
      <w:r>
        <w:rPr>
          <w:rFonts w:hint="eastAsia"/>
        </w:rPr>
        <w:fldChar w:fldCharType="separate"/>
      </w:r>
      <w:r>
        <w:rPr>
          <w:rFonts w:hint="eastAsia"/>
        </w:rPr>
        <w:t>26</w:t>
      </w:r>
      <w:r>
        <w:rPr>
          <w:rFonts w:hint="eastAsia"/>
        </w:rPr>
        <w:fldChar w:fldCharType="end"/>
      </w:r>
      <w:r>
        <w:rPr>
          <w:rFonts w:hint="eastAsia"/>
        </w:rPr>
        <w:fldChar w:fldCharType="end"/>
      </w:r>
    </w:p>
    <w:p>
      <w:pPr>
        <w:pStyle w:val="24"/>
        <w:tabs>
          <w:tab w:val="right" w:leader="dot" w:pos="9174"/>
        </w:tabs>
        <w:ind w:firstLine="141"/>
        <w:rPr>
          <w:rFonts w:hAnsiTheme="minorHAnsi" w:cstheme="minorBidi"/>
          <w:b w:val="0"/>
          <w:sz w:val="21"/>
          <w:szCs w:val="22"/>
        </w:rPr>
      </w:pPr>
      <w:r>
        <w:fldChar w:fldCharType="begin"/>
      </w:r>
      <w:r>
        <w:instrText xml:space="preserve"> HYPERLINK \l "_Toc49846962" </w:instrText>
      </w:r>
      <w:r>
        <w:fldChar w:fldCharType="separate"/>
      </w:r>
      <w:r>
        <w:rPr>
          <w:rStyle w:val="40"/>
          <w:rFonts w:hint="eastAsia"/>
        </w:rPr>
        <w:t>附件</w:t>
      </w:r>
      <w:r>
        <w:rPr>
          <w:rFonts w:hint="eastAsia"/>
        </w:rPr>
        <w:tab/>
      </w:r>
      <w:r>
        <w:rPr>
          <w:rFonts w:hint="eastAsia"/>
        </w:rPr>
        <w:fldChar w:fldCharType="begin"/>
      </w:r>
      <w:r>
        <w:rPr>
          <w:rFonts w:hint="eastAsia"/>
        </w:rPr>
        <w:instrText xml:space="preserve"> PAGEREF _Toc49846962 \h </w:instrText>
      </w:r>
      <w:r>
        <w:rPr>
          <w:rFonts w:hint="eastAsia"/>
        </w:rPr>
        <w:fldChar w:fldCharType="separate"/>
      </w:r>
      <w:r>
        <w:rPr>
          <w:rFonts w:hint="eastAsia"/>
        </w:rPr>
        <w:t>27</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"_Toc49846963" </w:instrText>
      </w:r>
      <w:r>
        <w:fldChar w:fldCharType="separate"/>
      </w:r>
      <w:r>
        <w:rPr>
          <w:rStyle w:val="40"/>
          <w:rFonts w:hint="eastAsia"/>
        </w:rPr>
        <w:t>附件1名词术语定义</w:t>
      </w:r>
      <w:r>
        <w:rPr>
          <w:rFonts w:hint="eastAsia"/>
        </w:rPr>
        <w:tab/>
      </w:r>
      <w:r>
        <w:rPr>
          <w:rFonts w:hint="eastAsia"/>
        </w:rPr>
        <w:fldChar w:fldCharType="begin"/>
      </w:r>
      <w:r>
        <w:rPr>
          <w:rFonts w:hint="eastAsia"/>
        </w:rPr>
        <w:instrText xml:space="preserve"> PAGEREF _Toc49846963 \h </w:instrText>
      </w:r>
      <w:r>
        <w:rPr>
          <w:rFonts w:hint="eastAsia"/>
        </w:rPr>
        <w:fldChar w:fldCharType="separate"/>
      </w:r>
      <w:r>
        <w:rPr>
          <w:rFonts w:hint="eastAsia"/>
        </w:rPr>
        <w:t>28</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"_Toc49846964" </w:instrText>
      </w:r>
      <w:r>
        <w:fldChar w:fldCharType="separate"/>
      </w:r>
      <w:r>
        <w:rPr>
          <w:rStyle w:val="40"/>
          <w:rFonts w:hint="eastAsia"/>
        </w:rPr>
        <w:t>附件2危险性分析</w:t>
      </w:r>
      <w:r>
        <w:rPr>
          <w:rFonts w:hint="eastAsia"/>
        </w:rPr>
        <w:tab/>
      </w:r>
      <w:r>
        <w:rPr>
          <w:rFonts w:hint="eastAsia"/>
        </w:rPr>
        <w:fldChar w:fldCharType="begin"/>
      </w:r>
      <w:r>
        <w:rPr>
          <w:rFonts w:hint="eastAsia"/>
        </w:rPr>
        <w:instrText xml:space="preserve"> PAGEREF _Toc49846964 \h </w:instrText>
      </w:r>
      <w:r>
        <w:rPr>
          <w:rFonts w:hint="eastAsia"/>
        </w:rPr>
        <w:fldChar w:fldCharType="separate"/>
      </w:r>
      <w:r>
        <w:rPr>
          <w:rFonts w:hint="eastAsia"/>
        </w:rPr>
        <w:t>30</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"_Toc49846965" </w:instrText>
      </w:r>
      <w:r>
        <w:fldChar w:fldCharType="separate"/>
      </w:r>
      <w:r>
        <w:rPr>
          <w:rStyle w:val="40"/>
          <w:rFonts w:hint="eastAsia"/>
        </w:rPr>
        <w:t>附件3应急指挥部名单</w:t>
      </w:r>
      <w:r>
        <w:rPr>
          <w:rFonts w:hint="eastAsia"/>
        </w:rPr>
        <w:tab/>
      </w:r>
      <w:r>
        <w:rPr>
          <w:rFonts w:hint="eastAsia"/>
        </w:rPr>
        <w:fldChar w:fldCharType="begin"/>
      </w:r>
      <w:r>
        <w:rPr>
          <w:rFonts w:hint="eastAsia"/>
        </w:rPr>
        <w:instrText xml:space="preserve"> PAGEREF _Toc49846965 \h </w:instrText>
      </w:r>
      <w:r>
        <w:rPr>
          <w:rFonts w:hint="eastAsia"/>
        </w:rPr>
        <w:fldChar w:fldCharType="separate"/>
      </w:r>
      <w:r>
        <w:rPr>
          <w:rFonts w:hint="eastAsia"/>
        </w:rPr>
        <w:t>35</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"_Toc49846966" </w:instrText>
      </w:r>
      <w:r>
        <w:fldChar w:fldCharType="separate"/>
      </w:r>
      <w:r>
        <w:rPr>
          <w:rStyle w:val="40"/>
          <w:rFonts w:hint="eastAsia"/>
        </w:rPr>
        <w:t>附件4资源调集与援助联络表</w:t>
      </w:r>
      <w:r>
        <w:rPr>
          <w:rFonts w:hint="eastAsia"/>
        </w:rPr>
        <w:tab/>
      </w:r>
      <w:r>
        <w:rPr>
          <w:rFonts w:hint="eastAsia"/>
        </w:rPr>
        <w:fldChar w:fldCharType="begin"/>
      </w:r>
      <w:r>
        <w:rPr>
          <w:rFonts w:hint="eastAsia"/>
        </w:rPr>
        <w:instrText xml:space="preserve"> PAGEREF _Toc49846966 \h </w:instrText>
      </w:r>
      <w:r>
        <w:rPr>
          <w:rFonts w:hint="eastAsia"/>
        </w:rPr>
        <w:fldChar w:fldCharType="separate"/>
      </w:r>
      <w:r>
        <w:rPr>
          <w:rFonts w:hint="eastAsia"/>
        </w:rPr>
        <w:t>37</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"_Toc49846967" </w:instrText>
      </w:r>
      <w:r>
        <w:fldChar w:fldCharType="separate"/>
      </w:r>
      <w:r>
        <w:rPr>
          <w:rStyle w:val="40"/>
          <w:rFonts w:hint="eastAsia"/>
        </w:rPr>
        <w:t>附件5应急避难场所</w:t>
      </w:r>
      <w:r>
        <w:rPr>
          <w:rFonts w:hint="eastAsia"/>
        </w:rPr>
        <w:tab/>
      </w:r>
      <w:r>
        <w:rPr>
          <w:rFonts w:hint="eastAsia"/>
        </w:rPr>
        <w:fldChar w:fldCharType="begin"/>
      </w:r>
      <w:r>
        <w:rPr>
          <w:rFonts w:hint="eastAsia"/>
        </w:rPr>
        <w:instrText xml:space="preserve"> PAGEREF _Toc49846967 \h </w:instrText>
      </w:r>
      <w:r>
        <w:rPr>
          <w:rFonts w:hint="eastAsia"/>
        </w:rPr>
        <w:fldChar w:fldCharType="separate"/>
      </w:r>
      <w:r>
        <w:rPr>
          <w:rFonts w:hint="eastAsia"/>
        </w:rPr>
        <w:t>38</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"_Toc49846968" </w:instrText>
      </w:r>
      <w:r>
        <w:fldChar w:fldCharType="separate"/>
      </w:r>
      <w:r>
        <w:rPr>
          <w:rStyle w:val="40"/>
          <w:rFonts w:hint="eastAsia"/>
        </w:rPr>
        <w:t>附件6医疗资源</w:t>
      </w:r>
      <w:r>
        <w:rPr>
          <w:rFonts w:hint="eastAsia"/>
        </w:rPr>
        <w:tab/>
      </w:r>
      <w:r>
        <w:rPr>
          <w:rFonts w:hint="eastAsia"/>
        </w:rPr>
        <w:fldChar w:fldCharType="begin"/>
      </w:r>
      <w:r>
        <w:rPr>
          <w:rFonts w:hint="eastAsia"/>
        </w:rPr>
        <w:instrText xml:space="preserve"> PAGEREF _Toc49846968 \h </w:instrText>
      </w:r>
      <w:r>
        <w:rPr>
          <w:rFonts w:hint="eastAsia"/>
        </w:rPr>
        <w:fldChar w:fldCharType="separate"/>
      </w:r>
      <w:r>
        <w:rPr>
          <w:rFonts w:hint="eastAsia"/>
        </w:rPr>
        <w:t>39</w:t>
      </w:r>
      <w:r>
        <w:rPr>
          <w:rFonts w:hint="eastAsia"/>
        </w:rPr>
        <w:fldChar w:fldCharType="end"/>
      </w:r>
      <w:r>
        <w:rPr>
          <w:rFonts w:hint="eastAsia"/>
        </w:rPr>
        <w:fldChar w:fldCharType="end"/>
      </w:r>
    </w:p>
    <w:p>
      <w:pPr>
        <w:pStyle w:val="28"/>
        <w:tabs>
          <w:tab w:val="right" w:leader="dot" w:pos="9174"/>
        </w:tabs>
        <w:ind w:firstLine="420"/>
        <w:rPr>
          <w:rFonts w:hAnsiTheme="minorHAnsi" w:cstheme="minorBidi"/>
          <w:sz w:val="21"/>
          <w:szCs w:val="22"/>
        </w:rPr>
      </w:pPr>
      <w:r>
        <w:fldChar w:fldCharType="begin"/>
      </w:r>
      <w:r>
        <w:instrText xml:space="preserve"> HYPERLINK \l "_Toc49846969" </w:instrText>
      </w:r>
      <w:r>
        <w:fldChar w:fldCharType="separate"/>
      </w:r>
      <w:r>
        <w:rPr>
          <w:rStyle w:val="40"/>
          <w:rFonts w:hint="eastAsia"/>
        </w:rPr>
        <w:t>附件7应急物资储备情况表</w:t>
      </w:r>
      <w:r>
        <w:rPr>
          <w:rFonts w:hint="eastAsia"/>
        </w:rPr>
        <w:tab/>
      </w:r>
      <w:r>
        <w:rPr>
          <w:rFonts w:hint="eastAsia"/>
        </w:rPr>
        <w:fldChar w:fldCharType="begin"/>
      </w:r>
      <w:r>
        <w:rPr>
          <w:rFonts w:hint="eastAsia"/>
        </w:rPr>
        <w:instrText xml:space="preserve"> PAGEREF _Toc49846969 \h </w:instrText>
      </w:r>
      <w:r>
        <w:rPr>
          <w:rFonts w:hint="eastAsia"/>
        </w:rPr>
        <w:fldChar w:fldCharType="separate"/>
      </w:r>
      <w:r>
        <w:rPr>
          <w:rFonts w:hint="eastAsia"/>
        </w:rPr>
        <w:t>40</w:t>
      </w:r>
      <w:r>
        <w:rPr>
          <w:rFonts w:hint="eastAsia"/>
        </w:rPr>
        <w:fldChar w:fldCharType="end"/>
      </w:r>
      <w:r>
        <w:rPr>
          <w:rFonts w:hint="eastAsia"/>
        </w:rPr>
        <w:fldChar w:fldCharType="end"/>
      </w:r>
    </w:p>
    <w:p>
      <w:pPr>
        <w:ind w:firstLine="720"/>
        <w:jc w:val="center"/>
        <w:rPr>
          <w:rFonts w:ascii="仿宋_GB2312"/>
          <w:b/>
          <w:bCs/>
          <w:color w:val="000000" w:themeColor="text1"/>
          <w:sz w:val="36"/>
          <w:szCs w:val="21"/>
        </w:rPr>
      </w:pPr>
      <w:r>
        <w:rPr>
          <w:rFonts w:hint="eastAsia" w:ascii="仿宋_GB2312" w:hAnsi="Times New Roman" w:cs="仿宋_GB2312"/>
          <w:bCs/>
          <w:color w:val="000000" w:themeColor="text1"/>
          <w:sz w:val="36"/>
          <w:szCs w:val="21"/>
        </w:rPr>
        <w:fldChar w:fldCharType="end"/>
      </w:r>
    </w:p>
    <w:p>
      <w:pPr>
        <w:ind w:firstLine="562"/>
        <w:rPr>
          <w:rFonts w:ascii="仿宋_GB2312"/>
          <w:b/>
          <w:bCs/>
          <w:color w:val="000000" w:themeColor="text1"/>
          <w:szCs w:val="21"/>
        </w:rPr>
        <w:sectPr>
          <w:headerReference r:id="rId11" w:type="default"/>
          <w:pgSz w:w="11906" w:h="16838"/>
          <w:pgMar w:top="1418" w:right="1134" w:bottom="1134" w:left="1588" w:header="850" w:footer="851" w:gutter="0"/>
          <w:cols w:space="720" w:num="1"/>
          <w:docGrid w:linePitch="634" w:charSpace="0"/>
        </w:sectPr>
      </w:pPr>
    </w:p>
    <w:p>
      <w:pPr>
        <w:pStyle w:val="2"/>
        <w:ind w:firstLine="161"/>
      </w:pPr>
      <w:bookmarkStart w:id="0" w:name="_1__总则"/>
      <w:bookmarkEnd w:id="0"/>
      <w:bookmarkStart w:id="1" w:name="_Toc49846930"/>
      <w:bookmarkStart w:id="2" w:name="_Toc25573"/>
      <w:r>
        <w:rPr>
          <w:rFonts w:hint="eastAsia"/>
        </w:rPr>
        <w:t>1 总则</w:t>
      </w:r>
      <w:bookmarkEnd w:id="1"/>
      <w:bookmarkEnd w:id="2"/>
    </w:p>
    <w:p>
      <w:pPr>
        <w:pStyle w:val="3"/>
        <w:ind w:firstLine="301"/>
      </w:pPr>
      <w:bookmarkStart w:id="3" w:name="_1.1_编制目的"/>
      <w:bookmarkEnd w:id="3"/>
      <w:bookmarkStart w:id="4" w:name="_Toc49846931"/>
      <w:bookmarkStart w:id="5" w:name="_Toc31433"/>
      <w:r>
        <w:rPr>
          <w:rFonts w:hint="eastAsia"/>
        </w:rPr>
        <w:t>1.1编制目的</w:t>
      </w:r>
      <w:bookmarkEnd w:id="4"/>
      <w:bookmarkEnd w:id="5"/>
    </w:p>
    <w:p>
      <w:pPr>
        <w:ind w:firstLine="560"/>
        <w:rPr>
          <w:rFonts w:ascii="仿宋_GB2312"/>
        </w:rPr>
      </w:pPr>
      <w:r>
        <w:rPr>
          <w:rFonts w:hint="eastAsia" w:ascii="仿宋_GB2312"/>
        </w:rPr>
        <w:t>为贯彻十九大“坚决遏制重特大安全事故，提升防灾减灾救灾能力”的精神，规范天津市滨海新区新北街街道生产安全事故应急管理和应急响应程序，建立统一领导、分级负责、反应快捷的应急工作机制，有效预防、及时快速处理和救援生产安全事故，最大程度减少人员伤亡和财产损失，特制定本预案。</w:t>
      </w:r>
    </w:p>
    <w:p>
      <w:pPr>
        <w:pStyle w:val="3"/>
        <w:ind w:firstLine="301"/>
      </w:pPr>
      <w:bookmarkStart w:id="6" w:name="_Toc462410566"/>
      <w:bookmarkStart w:id="7" w:name="_Toc458440268"/>
      <w:bookmarkStart w:id="8" w:name="_Toc49846932"/>
      <w:bookmarkStart w:id="9" w:name="_Toc459034191"/>
      <w:bookmarkStart w:id="10" w:name="_Toc459795098"/>
      <w:bookmarkStart w:id="11" w:name="_Toc8111657"/>
      <w:bookmarkStart w:id="12" w:name="_Toc459017496"/>
      <w:r>
        <w:rPr>
          <w:rFonts w:hint="eastAsia"/>
        </w:rPr>
        <w:t>1.2编制依据</w:t>
      </w:r>
      <w:bookmarkEnd w:id="6"/>
      <w:bookmarkEnd w:id="7"/>
      <w:bookmarkEnd w:id="8"/>
      <w:bookmarkEnd w:id="9"/>
      <w:bookmarkEnd w:id="10"/>
      <w:bookmarkEnd w:id="11"/>
      <w:bookmarkEnd w:id="12"/>
    </w:p>
    <w:p>
      <w:pPr>
        <w:pStyle w:val="4"/>
        <w:ind w:firstLine="394"/>
      </w:pPr>
      <w:bookmarkStart w:id="13" w:name="_Toc8111658"/>
      <w:bookmarkStart w:id="14" w:name="_Toc462410567"/>
      <w:r>
        <w:rPr>
          <w:rFonts w:hint="eastAsia"/>
        </w:rPr>
        <w:t>1.2.1法律、法规</w:t>
      </w:r>
      <w:bookmarkEnd w:id="13"/>
      <w:bookmarkEnd w:id="14"/>
    </w:p>
    <w:p>
      <w:pPr>
        <w:ind w:firstLine="560"/>
        <w:rPr>
          <w:rFonts w:ascii="仿宋_GB2312" w:hAnsi="Times New Roman"/>
        </w:rPr>
      </w:pPr>
      <w:r>
        <w:rPr>
          <w:rFonts w:hint="eastAsia" w:ascii="仿宋_GB2312"/>
        </w:rPr>
        <w:t>1.《中华人民共和国安全生产法》</w:t>
      </w:r>
      <w:r>
        <w:rPr>
          <w:rFonts w:hint="eastAsia" w:ascii="仿宋_GB2312"/>
          <w:kern w:val="0"/>
        </w:rPr>
        <w:t>（中华人民共和国主席令</w:t>
      </w:r>
      <w:r>
        <w:rPr>
          <w:rFonts w:hint="eastAsia" w:ascii="仿宋_GB2312" w:hAnsi="Times New Roman"/>
          <w:kern w:val="0"/>
        </w:rPr>
        <w:t>[2014]</w:t>
      </w:r>
      <w:r>
        <w:rPr>
          <w:rFonts w:hint="eastAsia" w:ascii="仿宋_GB2312"/>
          <w:kern w:val="0"/>
        </w:rPr>
        <w:t>第十三号,自</w:t>
      </w:r>
      <w:r>
        <w:rPr>
          <w:rFonts w:hint="eastAsia" w:ascii="仿宋_GB2312" w:hAnsi="Times New Roman"/>
          <w:kern w:val="0"/>
        </w:rPr>
        <w:t>2014</w:t>
      </w:r>
      <w:r>
        <w:rPr>
          <w:rFonts w:hint="eastAsia" w:ascii="仿宋_GB2312"/>
          <w:kern w:val="0"/>
        </w:rPr>
        <w:t>年</w:t>
      </w:r>
      <w:r>
        <w:rPr>
          <w:rFonts w:hint="eastAsia" w:ascii="仿宋_GB2312" w:hAnsi="Times New Roman"/>
          <w:kern w:val="0"/>
        </w:rPr>
        <w:t>12</w:t>
      </w:r>
      <w:r>
        <w:rPr>
          <w:rFonts w:hint="eastAsia" w:ascii="仿宋_GB2312"/>
          <w:kern w:val="0"/>
        </w:rPr>
        <w:t>月</w:t>
      </w:r>
      <w:r>
        <w:rPr>
          <w:rFonts w:hint="eastAsia" w:ascii="仿宋_GB2312" w:hAnsi="Times New Roman"/>
          <w:kern w:val="0"/>
        </w:rPr>
        <w:t>1</w:t>
      </w:r>
      <w:r>
        <w:rPr>
          <w:rFonts w:hint="eastAsia" w:ascii="仿宋_GB2312"/>
          <w:kern w:val="0"/>
        </w:rPr>
        <w:t>日起施行）</w:t>
      </w:r>
    </w:p>
    <w:p>
      <w:pPr>
        <w:ind w:firstLine="560"/>
        <w:rPr>
          <w:rFonts w:ascii="仿宋_GB2312" w:hAnsi="Times New Roman"/>
        </w:rPr>
      </w:pPr>
      <w:r>
        <w:rPr>
          <w:rFonts w:hint="eastAsia" w:ascii="仿宋_GB2312"/>
        </w:rPr>
        <w:t>2.《中华人民共和国突发事件应对法》（中华人民共和国主席令</w:t>
      </w:r>
      <w:r>
        <w:rPr>
          <w:rFonts w:hint="eastAsia" w:ascii="仿宋_GB2312" w:hAnsi="Times New Roman"/>
        </w:rPr>
        <w:t>[2007]</w:t>
      </w:r>
      <w:r>
        <w:rPr>
          <w:rFonts w:hint="eastAsia" w:ascii="仿宋_GB2312"/>
        </w:rPr>
        <w:t>第六十九号，</w:t>
      </w:r>
      <w:r>
        <w:rPr>
          <w:rFonts w:hint="eastAsia" w:ascii="仿宋_GB2312" w:hAnsi="Times New Roman"/>
        </w:rPr>
        <w:t>2007</w:t>
      </w:r>
      <w:r>
        <w:rPr>
          <w:rFonts w:hint="eastAsia" w:ascii="仿宋_GB2312"/>
        </w:rPr>
        <w:t>年</w:t>
      </w:r>
      <w:r>
        <w:rPr>
          <w:rFonts w:hint="eastAsia" w:ascii="仿宋_GB2312" w:hAnsi="Times New Roman"/>
        </w:rPr>
        <w:t>11</w:t>
      </w:r>
      <w:r>
        <w:rPr>
          <w:rFonts w:hint="eastAsia" w:ascii="仿宋_GB2312"/>
        </w:rPr>
        <w:t>月</w:t>
      </w:r>
      <w:r>
        <w:rPr>
          <w:rFonts w:hint="eastAsia" w:ascii="仿宋_GB2312" w:hAnsi="Times New Roman"/>
        </w:rPr>
        <w:t>1</w:t>
      </w:r>
      <w:r>
        <w:rPr>
          <w:rFonts w:hint="eastAsia" w:ascii="仿宋_GB2312"/>
        </w:rPr>
        <w:t>日实施）</w:t>
      </w:r>
    </w:p>
    <w:p>
      <w:pPr>
        <w:ind w:firstLine="560"/>
        <w:rPr>
          <w:rFonts w:ascii="仿宋_GB2312" w:hAnsi="Times New Roman"/>
        </w:rPr>
      </w:pPr>
      <w:r>
        <w:rPr>
          <w:rFonts w:hint="eastAsia" w:ascii="仿宋_GB2312"/>
        </w:rPr>
        <w:t>3.《中华人民共和国消防法》（中华人民共和国主席令第二十九号，自</w:t>
      </w:r>
      <w:r>
        <w:rPr>
          <w:rFonts w:hint="eastAsia" w:ascii="仿宋_GB2312" w:hAnsi="Times New Roman"/>
        </w:rPr>
        <w:t>2019</w:t>
      </w:r>
      <w:r>
        <w:rPr>
          <w:rFonts w:hint="eastAsia" w:ascii="仿宋_GB2312"/>
        </w:rPr>
        <w:t>年</w:t>
      </w:r>
      <w:r>
        <w:rPr>
          <w:rFonts w:hint="eastAsia" w:ascii="仿宋_GB2312" w:hAnsi="Times New Roman"/>
        </w:rPr>
        <w:t>4</w:t>
      </w:r>
      <w:r>
        <w:rPr>
          <w:rFonts w:hint="eastAsia" w:ascii="仿宋_GB2312"/>
        </w:rPr>
        <w:t>月</w:t>
      </w:r>
      <w:r>
        <w:rPr>
          <w:rFonts w:hint="eastAsia" w:ascii="仿宋_GB2312" w:hAnsi="Times New Roman"/>
        </w:rPr>
        <w:t>23</w:t>
      </w:r>
      <w:r>
        <w:rPr>
          <w:rFonts w:hint="eastAsia" w:ascii="仿宋_GB2312"/>
        </w:rPr>
        <w:t>日起施行）</w:t>
      </w:r>
    </w:p>
    <w:p>
      <w:pPr>
        <w:ind w:firstLine="560"/>
        <w:rPr>
          <w:rFonts w:ascii="仿宋_GB2312" w:hAnsi="Times New Roman"/>
        </w:rPr>
      </w:pPr>
      <w:r>
        <w:rPr>
          <w:rFonts w:hint="eastAsia" w:ascii="仿宋_GB2312"/>
          <w:bCs/>
        </w:rPr>
        <w:t>4.《中华人民共和国特种设备安全法》（中华人民共和国主席令</w:t>
      </w:r>
      <w:r>
        <w:rPr>
          <w:rFonts w:hint="eastAsia" w:ascii="仿宋_GB2312" w:hAnsi="Times New Roman"/>
          <w:bCs/>
        </w:rPr>
        <w:t>[2013]</w:t>
      </w:r>
      <w:r>
        <w:rPr>
          <w:rFonts w:hint="eastAsia" w:ascii="仿宋_GB2312"/>
          <w:bCs/>
        </w:rPr>
        <w:t>第四号，自</w:t>
      </w:r>
      <w:r>
        <w:rPr>
          <w:rFonts w:hint="eastAsia" w:ascii="仿宋_GB2312" w:hAnsi="Times New Roman"/>
          <w:bCs/>
        </w:rPr>
        <w:t>2014</w:t>
      </w:r>
      <w:r>
        <w:rPr>
          <w:rFonts w:hint="eastAsia" w:ascii="仿宋_GB2312"/>
          <w:bCs/>
        </w:rPr>
        <w:t>年</w:t>
      </w:r>
      <w:r>
        <w:rPr>
          <w:rFonts w:hint="eastAsia" w:ascii="仿宋_GB2312" w:hAnsi="Times New Roman"/>
          <w:bCs/>
        </w:rPr>
        <w:t>1</w:t>
      </w:r>
      <w:r>
        <w:rPr>
          <w:rFonts w:hint="eastAsia" w:ascii="仿宋_GB2312"/>
          <w:bCs/>
        </w:rPr>
        <w:t>月</w:t>
      </w:r>
      <w:r>
        <w:rPr>
          <w:rFonts w:hint="eastAsia" w:ascii="仿宋_GB2312" w:hAnsi="Times New Roman"/>
          <w:bCs/>
        </w:rPr>
        <w:t>1</w:t>
      </w:r>
      <w:r>
        <w:rPr>
          <w:rFonts w:hint="eastAsia" w:ascii="仿宋_GB2312"/>
          <w:bCs/>
        </w:rPr>
        <w:t>日起施行）</w:t>
      </w:r>
    </w:p>
    <w:p>
      <w:pPr>
        <w:ind w:firstLine="560"/>
        <w:rPr>
          <w:rFonts w:ascii="仿宋_GB2312" w:hAnsi="Times New Roman"/>
        </w:rPr>
      </w:pPr>
      <w:r>
        <w:rPr>
          <w:rFonts w:hint="eastAsia" w:ascii="仿宋_GB2312"/>
        </w:rPr>
        <w:t>5.《生产安全事故报告和调查处理条例》（中华人民共和国国务院令第</w:t>
      </w:r>
      <w:r>
        <w:rPr>
          <w:rFonts w:hint="eastAsia" w:ascii="仿宋_GB2312" w:hAnsi="Times New Roman"/>
        </w:rPr>
        <w:t>493</w:t>
      </w:r>
      <w:r>
        <w:rPr>
          <w:rFonts w:hint="eastAsia" w:ascii="仿宋_GB2312"/>
        </w:rPr>
        <w:t>号）</w:t>
      </w:r>
    </w:p>
    <w:p>
      <w:pPr>
        <w:ind w:firstLine="560"/>
        <w:rPr>
          <w:rFonts w:ascii="仿宋_GB2312" w:hAnsi="Times New Roman"/>
        </w:rPr>
      </w:pPr>
      <w:r>
        <w:rPr>
          <w:rFonts w:hint="eastAsia" w:ascii="仿宋_GB2312"/>
        </w:rPr>
        <w:t>6.《生产安全事故应急条例》（中华人民共和国国务院令第</w:t>
      </w:r>
      <w:r>
        <w:rPr>
          <w:rFonts w:hint="eastAsia" w:ascii="仿宋_GB2312" w:hAnsi="Times New Roman"/>
        </w:rPr>
        <w:t>708</w:t>
      </w:r>
      <w:r>
        <w:rPr>
          <w:rFonts w:hint="eastAsia" w:ascii="仿宋_GB2312"/>
        </w:rPr>
        <w:t>号）</w:t>
      </w:r>
    </w:p>
    <w:p>
      <w:pPr>
        <w:ind w:firstLine="560"/>
        <w:rPr>
          <w:rFonts w:ascii="仿宋_GB2312" w:hAnsi="Times New Roman"/>
        </w:rPr>
      </w:pPr>
      <w:r>
        <w:rPr>
          <w:rFonts w:hint="eastAsia" w:ascii="仿宋_GB2312"/>
        </w:rPr>
        <w:t>7.《危险化学品安全管理条例》（中华人民共和国国务院令第</w:t>
      </w:r>
      <w:r>
        <w:rPr>
          <w:rFonts w:hint="eastAsia" w:ascii="仿宋_GB2312" w:hAnsi="Times New Roman"/>
        </w:rPr>
        <w:t>591</w:t>
      </w:r>
      <w:r>
        <w:rPr>
          <w:rFonts w:hint="eastAsia" w:ascii="仿宋_GB2312"/>
        </w:rPr>
        <w:t>号）</w:t>
      </w:r>
    </w:p>
    <w:p>
      <w:pPr>
        <w:ind w:firstLine="560"/>
        <w:rPr>
          <w:rFonts w:ascii="仿宋_GB2312" w:hAnsi="Times New Roman"/>
        </w:rPr>
      </w:pPr>
      <w:r>
        <w:rPr>
          <w:rFonts w:hint="eastAsia" w:ascii="仿宋_GB2312"/>
        </w:rPr>
        <w:t>8.《特种设备安全监察管理条例》（中华人民共和国国务院令第</w:t>
      </w:r>
      <w:r>
        <w:rPr>
          <w:rFonts w:hint="eastAsia" w:ascii="仿宋_GB2312" w:hAnsi="Times New Roman"/>
        </w:rPr>
        <w:t>549</w:t>
      </w:r>
      <w:r>
        <w:rPr>
          <w:rFonts w:hint="eastAsia" w:ascii="仿宋_GB2312"/>
        </w:rPr>
        <w:t>号）</w:t>
      </w:r>
    </w:p>
    <w:p>
      <w:pPr>
        <w:ind w:firstLine="560"/>
        <w:rPr>
          <w:rFonts w:ascii="仿宋_GB2312" w:hAnsi="Times New Roman"/>
        </w:rPr>
      </w:pPr>
      <w:r>
        <w:rPr>
          <w:rFonts w:hint="eastAsia" w:ascii="仿宋_GB2312"/>
        </w:rPr>
        <w:t>9.《天津市生产安全条例》（</w:t>
      </w:r>
      <w:r>
        <w:rPr>
          <w:rFonts w:hint="eastAsia" w:ascii="仿宋_GB2312"/>
          <w:kern w:val="0"/>
        </w:rPr>
        <w:t>天津市人民代表大会常务委员会公告第</w:t>
      </w:r>
      <w:r>
        <w:rPr>
          <w:rFonts w:hint="eastAsia" w:ascii="仿宋_GB2312" w:hAnsi="Times New Roman"/>
          <w:kern w:val="0"/>
        </w:rPr>
        <w:t>20</w:t>
      </w:r>
      <w:r>
        <w:rPr>
          <w:rFonts w:hint="eastAsia" w:ascii="仿宋_GB2312"/>
          <w:kern w:val="0"/>
        </w:rPr>
        <w:t>号，</w:t>
      </w:r>
      <w:r>
        <w:rPr>
          <w:rFonts w:hint="eastAsia" w:ascii="仿宋_GB2312" w:hAnsi="Times New Roman"/>
          <w:kern w:val="0"/>
        </w:rPr>
        <w:t>2016</w:t>
      </w:r>
      <w:r>
        <w:rPr>
          <w:rFonts w:hint="eastAsia" w:ascii="仿宋_GB2312"/>
          <w:kern w:val="0"/>
        </w:rPr>
        <w:t>年</w:t>
      </w:r>
      <w:r>
        <w:rPr>
          <w:rFonts w:hint="eastAsia" w:ascii="仿宋_GB2312" w:hAnsi="Times New Roman"/>
          <w:kern w:val="0"/>
        </w:rPr>
        <w:t>11</w:t>
      </w:r>
      <w:r>
        <w:rPr>
          <w:rFonts w:hint="eastAsia" w:ascii="仿宋_GB2312"/>
          <w:kern w:val="0"/>
        </w:rPr>
        <w:t>月</w:t>
      </w:r>
      <w:r>
        <w:rPr>
          <w:rFonts w:hint="eastAsia" w:ascii="仿宋_GB2312" w:hAnsi="Times New Roman"/>
          <w:kern w:val="0"/>
        </w:rPr>
        <w:t>18</w:t>
      </w:r>
      <w:r>
        <w:rPr>
          <w:rFonts w:hint="eastAsia" w:ascii="仿宋_GB2312"/>
          <w:kern w:val="0"/>
        </w:rPr>
        <w:t>日天津市第十六届人民代表大会常务委员会第三十一次会议修改</w:t>
      </w:r>
      <w:r>
        <w:rPr>
          <w:rFonts w:hint="eastAsia" w:ascii="仿宋_GB2312"/>
        </w:rPr>
        <w:t>）；</w:t>
      </w:r>
    </w:p>
    <w:p>
      <w:pPr>
        <w:ind w:firstLine="560"/>
        <w:rPr>
          <w:rFonts w:ascii="仿宋_GB2312" w:hAnsi="Times New Roman"/>
        </w:rPr>
      </w:pPr>
      <w:r>
        <w:rPr>
          <w:rFonts w:hint="eastAsia" w:ascii="仿宋_GB2312"/>
        </w:rPr>
        <w:t>10.《天津市实施《中华人民共和国突发事件应对法》办法》（天津市人大常委会第</w:t>
      </w:r>
      <w:r>
        <w:rPr>
          <w:rFonts w:hint="eastAsia" w:ascii="仿宋_GB2312" w:hAnsi="Times New Roman"/>
        </w:rPr>
        <w:t>30</w:t>
      </w:r>
      <w:r>
        <w:rPr>
          <w:rFonts w:hint="eastAsia" w:ascii="仿宋_GB2312"/>
        </w:rPr>
        <w:t>号〔</w:t>
      </w:r>
      <w:r>
        <w:rPr>
          <w:rFonts w:hint="eastAsia" w:ascii="仿宋_GB2312" w:hAnsi="Times New Roman"/>
        </w:rPr>
        <w:t>2015</w:t>
      </w:r>
      <w:r>
        <w:rPr>
          <w:rFonts w:hint="eastAsia" w:ascii="仿宋_GB2312"/>
        </w:rPr>
        <w:t>〕）</w:t>
      </w:r>
    </w:p>
    <w:p>
      <w:pPr>
        <w:pStyle w:val="4"/>
        <w:ind w:firstLine="394"/>
      </w:pPr>
      <w:bookmarkStart w:id="15" w:name="_Toc8111659"/>
      <w:bookmarkStart w:id="16" w:name="_Toc462410568"/>
      <w:r>
        <w:rPr>
          <w:rFonts w:hint="eastAsia"/>
        </w:rPr>
        <w:t>1.2.2部门规章</w:t>
      </w:r>
      <w:bookmarkEnd w:id="15"/>
      <w:bookmarkEnd w:id="16"/>
    </w:p>
    <w:p>
      <w:pPr>
        <w:ind w:firstLine="560"/>
        <w:rPr>
          <w:rFonts w:ascii="仿宋_GB2312" w:hAnsi="Times New Roman"/>
        </w:rPr>
      </w:pPr>
      <w:r>
        <w:rPr>
          <w:rFonts w:hint="eastAsia" w:ascii="仿宋_GB2312"/>
        </w:rPr>
        <w:t>1.《国家安全监管总局办公厅关于印发安全监管部门应急预案框架指南的通知》（安监厅应急〔</w:t>
      </w:r>
      <w:r>
        <w:rPr>
          <w:rFonts w:hint="eastAsia" w:ascii="仿宋_GB2312" w:hAnsi="Times New Roman"/>
        </w:rPr>
        <w:t>2011</w:t>
      </w:r>
      <w:r>
        <w:rPr>
          <w:rFonts w:hint="eastAsia" w:ascii="仿宋_GB2312"/>
        </w:rPr>
        <w:t>〕</w:t>
      </w:r>
      <w:r>
        <w:rPr>
          <w:rFonts w:hint="eastAsia" w:ascii="仿宋_GB2312" w:hAnsi="Times New Roman"/>
        </w:rPr>
        <w:t>222</w:t>
      </w:r>
      <w:r>
        <w:rPr>
          <w:rFonts w:hint="eastAsia" w:ascii="仿宋_GB2312"/>
        </w:rPr>
        <w:t>号）</w:t>
      </w:r>
    </w:p>
    <w:p>
      <w:pPr>
        <w:ind w:firstLine="560"/>
        <w:rPr>
          <w:rFonts w:ascii="仿宋_GB2312" w:hAnsi="Times New Roman"/>
        </w:rPr>
      </w:pPr>
      <w:r>
        <w:rPr>
          <w:rFonts w:hint="eastAsia" w:ascii="仿宋_GB2312"/>
        </w:rPr>
        <w:t>2.《生产经营单位生产安全事故应急预案评审指南（试行）》</w:t>
      </w:r>
      <w:r>
        <w:rPr>
          <w:rFonts w:hint="eastAsia" w:ascii="仿宋_GB2312" w:hAnsi="Times New Roman"/>
        </w:rPr>
        <w:t>(</w:t>
      </w:r>
      <w:r>
        <w:rPr>
          <w:rFonts w:hint="eastAsia" w:ascii="仿宋_GB2312"/>
        </w:rPr>
        <w:t>安监总厅应急【</w:t>
      </w:r>
      <w:r>
        <w:rPr>
          <w:rFonts w:hint="eastAsia" w:ascii="仿宋_GB2312" w:hAnsi="Times New Roman"/>
        </w:rPr>
        <w:t>2009</w:t>
      </w:r>
      <w:r>
        <w:rPr>
          <w:rFonts w:hint="eastAsia" w:ascii="仿宋_GB2312"/>
        </w:rPr>
        <w:t>】</w:t>
      </w:r>
      <w:r>
        <w:rPr>
          <w:rFonts w:hint="eastAsia" w:ascii="仿宋_GB2312" w:hAnsi="Times New Roman"/>
        </w:rPr>
        <w:t>73</w:t>
      </w:r>
      <w:r>
        <w:rPr>
          <w:rFonts w:hint="eastAsia" w:ascii="仿宋_GB2312"/>
        </w:rPr>
        <w:t>号</w:t>
      </w:r>
      <w:r>
        <w:rPr>
          <w:rFonts w:hint="eastAsia" w:ascii="仿宋_GB2312" w:hAnsi="Times New Roman"/>
        </w:rPr>
        <w:t>)</w:t>
      </w:r>
    </w:p>
    <w:p>
      <w:pPr>
        <w:ind w:firstLine="560"/>
        <w:rPr>
          <w:rFonts w:ascii="仿宋_GB2312" w:hAnsi="Times New Roman"/>
        </w:rPr>
      </w:pPr>
      <w:r>
        <w:rPr>
          <w:rFonts w:hint="eastAsia" w:ascii="仿宋_GB2312"/>
          <w:bCs/>
        </w:rPr>
        <w:t>3.《国务院关于全面加强应急管理工作的意见》（国发〔</w:t>
      </w:r>
      <w:r>
        <w:rPr>
          <w:rFonts w:hint="eastAsia" w:ascii="仿宋_GB2312" w:hAnsi="Times New Roman"/>
          <w:bCs/>
        </w:rPr>
        <w:t>2006</w:t>
      </w:r>
      <w:r>
        <w:rPr>
          <w:rFonts w:hint="eastAsia" w:ascii="仿宋_GB2312"/>
          <w:bCs/>
        </w:rPr>
        <w:t>〕</w:t>
      </w:r>
      <w:r>
        <w:rPr>
          <w:rFonts w:hint="eastAsia" w:ascii="仿宋_GB2312" w:hAnsi="Times New Roman"/>
          <w:bCs/>
        </w:rPr>
        <w:t>24</w:t>
      </w:r>
      <w:r>
        <w:rPr>
          <w:rFonts w:hint="eastAsia" w:ascii="仿宋_GB2312"/>
          <w:bCs/>
        </w:rPr>
        <w:t>号）</w:t>
      </w:r>
    </w:p>
    <w:p>
      <w:pPr>
        <w:ind w:firstLine="560"/>
        <w:rPr>
          <w:rFonts w:ascii="仿宋_GB2312" w:hAnsi="Times New Roman"/>
        </w:rPr>
      </w:pPr>
      <w:r>
        <w:rPr>
          <w:rFonts w:hint="eastAsia" w:ascii="仿宋_GB2312"/>
        </w:rPr>
        <w:t>4.《生产安全事故应急预案管理办法》（中华人民共和国应急管理部令第</w:t>
      </w:r>
      <w:r>
        <w:rPr>
          <w:rFonts w:hint="eastAsia" w:ascii="仿宋_GB2312" w:hAnsi="Times New Roman"/>
        </w:rPr>
        <w:t>2</w:t>
      </w:r>
      <w:r>
        <w:rPr>
          <w:rFonts w:hint="eastAsia" w:ascii="仿宋_GB2312"/>
        </w:rPr>
        <w:t>号）</w:t>
      </w:r>
    </w:p>
    <w:p>
      <w:pPr>
        <w:ind w:firstLine="560"/>
        <w:rPr>
          <w:rFonts w:ascii="仿宋_GB2312" w:hAnsi="Times New Roman"/>
        </w:rPr>
      </w:pPr>
      <w:r>
        <w:rPr>
          <w:rFonts w:hint="eastAsia" w:ascii="仿宋_GB2312"/>
        </w:rPr>
        <w:t>5.《突发事件应急演练指南》</w:t>
      </w:r>
      <w:r>
        <w:rPr>
          <w:rFonts w:hint="eastAsia" w:ascii="仿宋_GB2312" w:hAnsi="Times New Roman"/>
        </w:rPr>
        <w:t>(</w:t>
      </w:r>
      <w:r>
        <w:rPr>
          <w:rFonts w:hint="eastAsia" w:ascii="仿宋_GB2312"/>
        </w:rPr>
        <w:t>应急办函〔</w:t>
      </w:r>
      <w:r>
        <w:rPr>
          <w:rFonts w:hint="eastAsia" w:ascii="仿宋_GB2312" w:hAnsi="Times New Roman"/>
        </w:rPr>
        <w:t>2009</w:t>
      </w:r>
      <w:r>
        <w:rPr>
          <w:rFonts w:hint="eastAsia" w:ascii="仿宋_GB2312"/>
        </w:rPr>
        <w:t>〕</w:t>
      </w:r>
      <w:r>
        <w:rPr>
          <w:rFonts w:hint="eastAsia" w:ascii="仿宋_GB2312" w:hAnsi="Times New Roman"/>
        </w:rPr>
        <w:t>62</w:t>
      </w:r>
      <w:r>
        <w:rPr>
          <w:rFonts w:hint="eastAsia" w:ascii="仿宋_GB2312"/>
        </w:rPr>
        <w:t>号</w:t>
      </w:r>
      <w:r>
        <w:rPr>
          <w:rFonts w:hint="eastAsia" w:ascii="仿宋_GB2312" w:hAnsi="Times New Roman"/>
        </w:rPr>
        <w:t>)</w:t>
      </w:r>
    </w:p>
    <w:p>
      <w:pPr>
        <w:ind w:firstLine="560"/>
        <w:rPr>
          <w:rFonts w:ascii="仿宋_GB2312"/>
        </w:rPr>
      </w:pPr>
      <w:r>
        <w:rPr>
          <w:rFonts w:hint="eastAsia" w:ascii="仿宋_GB2312"/>
        </w:rPr>
        <w:t>6.《天津市滨海新区突发事件总体应急预案》（津滨政发〔2014〕23号）</w:t>
      </w:r>
    </w:p>
    <w:p>
      <w:pPr>
        <w:ind w:firstLine="560"/>
        <w:rPr>
          <w:rFonts w:ascii="仿宋_GB2312" w:hAnsi="Times New Roman"/>
        </w:rPr>
      </w:pPr>
      <w:r>
        <w:rPr>
          <w:rFonts w:hint="eastAsia" w:ascii="仿宋_GB2312"/>
        </w:rPr>
        <w:t>7.《天津市滨海新区生产安全事故综合应急预案》</w:t>
      </w:r>
    </w:p>
    <w:p>
      <w:pPr>
        <w:pStyle w:val="4"/>
        <w:ind w:firstLine="394"/>
      </w:pPr>
      <w:bookmarkStart w:id="17" w:name="_Toc8111660"/>
      <w:r>
        <w:rPr>
          <w:rFonts w:hint="eastAsia"/>
        </w:rPr>
        <w:t>1.2.3标准规范</w:t>
      </w:r>
      <w:bookmarkEnd w:id="17"/>
    </w:p>
    <w:p>
      <w:pPr>
        <w:ind w:firstLine="560"/>
        <w:rPr>
          <w:rFonts w:ascii="仿宋_GB2312" w:hAnsi="Times New Roman"/>
        </w:rPr>
      </w:pPr>
      <w:r>
        <w:rPr>
          <w:rFonts w:hint="eastAsia" w:ascii="仿宋_GB2312"/>
        </w:rPr>
        <w:t>1.《生产安全事故应急演练基本规范》</w:t>
      </w:r>
      <w:r>
        <w:rPr>
          <w:rFonts w:hint="eastAsia" w:ascii="仿宋_GB2312" w:hAnsi="Times New Roman"/>
        </w:rPr>
        <w:t>(AQ/T9007-2019)</w:t>
      </w:r>
    </w:p>
    <w:p>
      <w:pPr>
        <w:ind w:firstLine="560"/>
        <w:rPr>
          <w:rFonts w:ascii="仿宋_GB2312" w:hAnsi="Times New Roman"/>
        </w:rPr>
      </w:pPr>
      <w:r>
        <w:rPr>
          <w:rFonts w:hint="eastAsia" w:ascii="仿宋_GB2312"/>
        </w:rPr>
        <w:t>2.《危险化学品事故应急救援指挥导则》（</w:t>
      </w:r>
      <w:r>
        <w:rPr>
          <w:rFonts w:hint="eastAsia" w:ascii="仿宋_GB2312" w:hAnsi="Times New Roman"/>
        </w:rPr>
        <w:t>AQ/T3052-2015</w:t>
      </w:r>
      <w:r>
        <w:rPr>
          <w:rFonts w:hint="eastAsia" w:ascii="仿宋_GB2312"/>
        </w:rPr>
        <w:t>）</w:t>
      </w:r>
    </w:p>
    <w:p>
      <w:pPr>
        <w:ind w:firstLine="560"/>
        <w:rPr>
          <w:rFonts w:ascii="仿宋_GB2312" w:hAnsi="Times New Roman"/>
        </w:rPr>
      </w:pPr>
      <w:r>
        <w:rPr>
          <w:rFonts w:hint="eastAsia" w:ascii="仿宋_GB2312" w:hAnsi="Times New Roman"/>
        </w:rPr>
        <w:t>3.《危险化学品应急救援管理人员培训及考核要求》AQ/T3043-2013</w:t>
      </w:r>
    </w:p>
    <w:p>
      <w:pPr>
        <w:pStyle w:val="3"/>
        <w:ind w:firstLine="301"/>
      </w:pPr>
      <w:bookmarkStart w:id="18" w:name="_Toc49846933"/>
      <w:bookmarkStart w:id="19" w:name="_Toc8111661"/>
      <w:r>
        <w:rPr>
          <w:rFonts w:hint="eastAsia"/>
        </w:rPr>
        <w:t>1.3事故分级</w:t>
      </w:r>
      <w:bookmarkEnd w:id="18"/>
    </w:p>
    <w:p>
      <w:pPr>
        <w:ind w:firstLine="560"/>
        <w:rPr>
          <w:rFonts w:ascii="仿宋_GB2312"/>
          <w:color w:val="000000" w:themeColor="text1"/>
        </w:rPr>
      </w:pPr>
      <w:r>
        <w:rPr>
          <w:rFonts w:hint="eastAsia" w:ascii="仿宋_GB2312"/>
          <w:color w:val="000000" w:themeColor="text1"/>
        </w:rPr>
        <w:t>按照事故的可控性、严重程度和影响范围，生产安全事故一般分为：</w:t>
      </w:r>
    </w:p>
    <w:p>
      <w:pPr>
        <w:pStyle w:val="4"/>
        <w:ind w:firstLine="394"/>
      </w:pPr>
      <w:bookmarkStart w:id="20" w:name="_Toc8111669"/>
      <w:r>
        <w:rPr>
          <w:rFonts w:hint="eastAsia"/>
        </w:rPr>
        <w:t>1.3.1Ⅰ级（特别重大）生产安全事故</w:t>
      </w:r>
      <w:bookmarkEnd w:id="20"/>
    </w:p>
    <w:p>
      <w:pPr>
        <w:ind w:firstLine="560"/>
        <w:rPr>
          <w:rFonts w:ascii="仿宋_GB2312" w:hAnsi="Times New Roman"/>
        </w:rPr>
      </w:pPr>
      <w:bookmarkStart w:id="21" w:name="_Toc8111670"/>
      <w:r>
        <w:rPr>
          <w:rFonts w:hint="eastAsia" w:ascii="仿宋_GB2312"/>
        </w:rPr>
        <w:t>Ⅰ级生产安全事故，是指造成</w:t>
      </w:r>
      <w:r>
        <w:rPr>
          <w:rFonts w:hint="eastAsia" w:ascii="仿宋_GB2312" w:hAnsi="Times New Roman"/>
        </w:rPr>
        <w:t>30</w:t>
      </w:r>
      <w:r>
        <w:rPr>
          <w:rFonts w:hint="eastAsia" w:ascii="仿宋_GB2312"/>
        </w:rPr>
        <w:t>人以上死亡，或者</w:t>
      </w:r>
      <w:r>
        <w:rPr>
          <w:rFonts w:hint="eastAsia" w:ascii="仿宋_GB2312" w:hAnsi="Times New Roman"/>
        </w:rPr>
        <w:t>100</w:t>
      </w:r>
      <w:r>
        <w:rPr>
          <w:rFonts w:hint="eastAsia" w:ascii="仿宋_GB2312"/>
        </w:rPr>
        <w:t>人以上重伤</w:t>
      </w:r>
      <w:r>
        <w:rPr>
          <w:rFonts w:hint="eastAsia" w:ascii="仿宋_GB2312" w:hAnsi="Times New Roman"/>
        </w:rPr>
        <w:t>(</w:t>
      </w:r>
      <w:r>
        <w:rPr>
          <w:rFonts w:hint="eastAsia" w:ascii="仿宋_GB2312"/>
        </w:rPr>
        <w:t>包括急性工业中毒，下同</w:t>
      </w:r>
      <w:r>
        <w:rPr>
          <w:rFonts w:hint="eastAsia" w:ascii="仿宋_GB2312" w:hAnsi="Times New Roman"/>
        </w:rPr>
        <w:t>)</w:t>
      </w:r>
      <w:r>
        <w:rPr>
          <w:rFonts w:hint="eastAsia" w:ascii="仿宋_GB2312"/>
        </w:rPr>
        <w:t>，或者</w:t>
      </w:r>
      <w:r>
        <w:rPr>
          <w:rFonts w:hint="eastAsia" w:ascii="仿宋_GB2312" w:hAnsi="Times New Roman"/>
        </w:rPr>
        <w:t>1亿元</w:t>
      </w:r>
      <w:r>
        <w:rPr>
          <w:rFonts w:hint="eastAsia" w:ascii="仿宋_GB2312"/>
        </w:rPr>
        <w:t>以上直接经济损失的事故。</w:t>
      </w:r>
    </w:p>
    <w:p>
      <w:pPr>
        <w:pStyle w:val="4"/>
        <w:ind w:firstLine="394"/>
      </w:pPr>
      <w:r>
        <w:rPr>
          <w:rFonts w:hint="eastAsia"/>
        </w:rPr>
        <w:t>1.3.2Ⅱ级（重大）生产安全事故</w:t>
      </w:r>
      <w:bookmarkEnd w:id="21"/>
    </w:p>
    <w:p>
      <w:pPr>
        <w:ind w:firstLine="560"/>
        <w:rPr>
          <w:rFonts w:ascii="仿宋_GB2312" w:hAnsi="Times New Roman"/>
        </w:rPr>
      </w:pPr>
      <w:bookmarkStart w:id="22" w:name="_Toc8111671"/>
      <w:r>
        <w:rPr>
          <w:rFonts w:hint="eastAsia" w:ascii="仿宋_GB2312"/>
        </w:rPr>
        <w:t>Ⅱ级生产安全事故，是指造成</w:t>
      </w:r>
      <w:r>
        <w:rPr>
          <w:rFonts w:hint="eastAsia" w:ascii="仿宋_GB2312" w:hAnsi="Times New Roman"/>
        </w:rPr>
        <w:t>10</w:t>
      </w:r>
      <w:r>
        <w:rPr>
          <w:rFonts w:hint="eastAsia" w:ascii="仿宋_GB2312"/>
        </w:rPr>
        <w:t>人以上</w:t>
      </w:r>
      <w:r>
        <w:rPr>
          <w:rFonts w:hint="eastAsia" w:ascii="仿宋_GB2312" w:hAnsi="Times New Roman"/>
        </w:rPr>
        <w:t>30</w:t>
      </w:r>
      <w:r>
        <w:rPr>
          <w:rFonts w:hint="eastAsia" w:ascii="仿宋_GB2312"/>
        </w:rPr>
        <w:t>人以下死亡，或者50人以上100人以下重伤，或者</w:t>
      </w:r>
      <w:r>
        <w:rPr>
          <w:rFonts w:hint="eastAsia" w:ascii="仿宋_GB2312" w:hAnsi="Times New Roman"/>
        </w:rPr>
        <w:t>5000</w:t>
      </w:r>
      <w:r>
        <w:rPr>
          <w:rFonts w:hint="eastAsia" w:ascii="仿宋_GB2312"/>
        </w:rPr>
        <w:t>万元以上</w:t>
      </w:r>
      <w:r>
        <w:rPr>
          <w:rFonts w:hint="eastAsia" w:ascii="仿宋_GB2312" w:hAnsi="Times New Roman"/>
        </w:rPr>
        <w:t>1亿</w:t>
      </w:r>
      <w:r>
        <w:rPr>
          <w:rFonts w:hint="eastAsia" w:ascii="仿宋_GB2312"/>
        </w:rPr>
        <w:t>元以下直接经济损失的事故。</w:t>
      </w:r>
    </w:p>
    <w:p>
      <w:pPr>
        <w:pStyle w:val="4"/>
        <w:ind w:firstLine="394"/>
      </w:pPr>
      <w:r>
        <w:rPr>
          <w:rFonts w:hint="eastAsia"/>
        </w:rPr>
        <w:t>1.3.3Ⅲ级（较大）生产安全事故</w:t>
      </w:r>
      <w:bookmarkEnd w:id="22"/>
    </w:p>
    <w:p>
      <w:pPr>
        <w:ind w:firstLine="560"/>
        <w:rPr>
          <w:rFonts w:ascii="仿宋_GB2312"/>
        </w:rPr>
      </w:pPr>
      <w:r>
        <w:rPr>
          <w:rFonts w:hint="eastAsia" w:ascii="仿宋_GB2312"/>
        </w:rPr>
        <w:t>Ⅲ级生产安全事故，是指造成</w:t>
      </w:r>
      <w:r>
        <w:rPr>
          <w:rFonts w:hint="eastAsia" w:ascii="仿宋_GB2312" w:hAnsi="Times New Roman"/>
        </w:rPr>
        <w:t>3</w:t>
      </w:r>
      <w:r>
        <w:rPr>
          <w:rFonts w:hint="eastAsia" w:ascii="仿宋_GB2312"/>
        </w:rPr>
        <w:t>人以上</w:t>
      </w:r>
      <w:r>
        <w:rPr>
          <w:rFonts w:hint="eastAsia" w:ascii="仿宋_GB2312" w:hAnsi="Times New Roman"/>
        </w:rPr>
        <w:t>10</w:t>
      </w:r>
      <w:r>
        <w:rPr>
          <w:rFonts w:hint="eastAsia" w:ascii="仿宋_GB2312"/>
        </w:rPr>
        <w:t>人以下死亡，或者</w:t>
      </w:r>
      <w:r>
        <w:rPr>
          <w:rFonts w:hint="eastAsia" w:ascii="仿宋_GB2312" w:hAnsi="Times New Roman"/>
        </w:rPr>
        <w:t>10</w:t>
      </w:r>
      <w:r>
        <w:rPr>
          <w:rFonts w:hint="eastAsia" w:ascii="仿宋_GB2312"/>
        </w:rPr>
        <w:t>人以下重伤，或者</w:t>
      </w:r>
      <w:r>
        <w:rPr>
          <w:rFonts w:hint="eastAsia" w:ascii="仿宋_GB2312" w:hAnsi="Times New Roman"/>
        </w:rPr>
        <w:t>1000</w:t>
      </w:r>
      <w:r>
        <w:rPr>
          <w:rFonts w:hint="eastAsia" w:ascii="仿宋_GB2312"/>
        </w:rPr>
        <w:t>万元以下直接经济损失的事故。</w:t>
      </w:r>
    </w:p>
    <w:p>
      <w:pPr>
        <w:pStyle w:val="4"/>
        <w:ind w:firstLine="394"/>
      </w:pPr>
      <w:r>
        <w:rPr>
          <w:rFonts w:hint="eastAsia"/>
        </w:rPr>
        <w:t>1.3.4Ⅳ级（一般）生产安全事故</w:t>
      </w:r>
    </w:p>
    <w:p>
      <w:pPr>
        <w:ind w:firstLine="560"/>
        <w:rPr>
          <w:rFonts w:ascii="仿宋_GB2312"/>
        </w:rPr>
      </w:pPr>
      <w:r>
        <w:rPr>
          <w:rFonts w:hint="eastAsia" w:ascii="仿宋_GB2312"/>
        </w:rPr>
        <w:t>Ⅳ级生产安全事故，是指造成3人以下死亡，或者10人以下重伤，或者1000万元以下直接经济损失的事故。</w:t>
      </w:r>
    </w:p>
    <w:p>
      <w:pPr>
        <w:ind w:firstLine="560"/>
        <w:rPr>
          <w:rFonts w:ascii="仿宋_GB2312" w:hAnsi="Times New Roman"/>
        </w:rPr>
      </w:pPr>
      <w:r>
        <w:rPr>
          <w:rFonts w:hint="eastAsia" w:ascii="仿宋_GB2312" w:hAnsi="Times New Roman"/>
        </w:rPr>
        <w:t>本预案中所称“以上”包括本数，所称“以下”不包括本数。</w:t>
      </w:r>
    </w:p>
    <w:p>
      <w:pPr>
        <w:pStyle w:val="3"/>
        <w:ind w:firstLine="301"/>
      </w:pPr>
      <w:bookmarkStart w:id="23" w:name="_Toc49846934"/>
      <w:r>
        <w:rPr>
          <w:rFonts w:hint="eastAsia"/>
        </w:rPr>
        <w:t>1.4适用范围</w:t>
      </w:r>
      <w:bookmarkEnd w:id="23"/>
    </w:p>
    <w:p>
      <w:pPr>
        <w:ind w:firstLine="560"/>
        <w:rPr>
          <w:rFonts w:ascii="仿宋_GB2312"/>
        </w:rPr>
      </w:pPr>
      <w:r>
        <w:rPr>
          <w:rFonts w:hint="eastAsia" w:ascii="仿宋_GB2312"/>
        </w:rPr>
        <w:t>本预案是天津市滨海新区新北街道办事处应对生产安全事故的专项应急预案，适用于新北街道辖区范围内超出各企业自身应急处置能力，需新北街道办事处处置或参与处置的各类生产安全事故。</w:t>
      </w:r>
    </w:p>
    <w:bookmarkEnd w:id="19"/>
    <w:p>
      <w:pPr>
        <w:pStyle w:val="3"/>
        <w:ind w:firstLine="301"/>
      </w:pPr>
      <w:bookmarkStart w:id="24" w:name="_Toc20738583"/>
      <w:bookmarkStart w:id="25" w:name="_Toc20737996"/>
      <w:bookmarkStart w:id="26" w:name="_Toc49846935"/>
      <w:bookmarkStart w:id="27" w:name="_Toc19891533"/>
      <w:bookmarkStart w:id="28" w:name="_Toc20228"/>
      <w:r>
        <w:rPr>
          <w:rFonts w:hint="eastAsia"/>
        </w:rPr>
        <w:t>1.5工作原则</w:t>
      </w:r>
      <w:bookmarkEnd w:id="24"/>
      <w:bookmarkEnd w:id="25"/>
      <w:bookmarkEnd w:id="26"/>
      <w:bookmarkEnd w:id="27"/>
      <w:bookmarkEnd w:id="28"/>
    </w:p>
    <w:p>
      <w:pPr>
        <w:pStyle w:val="4"/>
        <w:ind w:firstLine="394"/>
      </w:pPr>
      <w:bookmarkStart w:id="29" w:name="_Toc8111663"/>
      <w:r>
        <w:rPr>
          <w:rFonts w:hint="eastAsia"/>
        </w:rPr>
        <w:t>1.5.1以人为本，安全第一</w:t>
      </w:r>
      <w:bookmarkEnd w:id="29"/>
    </w:p>
    <w:p>
      <w:pPr>
        <w:ind w:firstLine="560"/>
        <w:rPr>
          <w:rFonts w:ascii="仿宋_GB2312"/>
        </w:rPr>
      </w:pPr>
      <w:r>
        <w:rPr>
          <w:rFonts w:hint="eastAsia" w:ascii="仿宋_GB2312"/>
        </w:rPr>
        <w:t>把保障人民群众生命财产安全放在首位，切实加强应急救援安全防护，最大限度地预防和减少各类生产安全事故造成的人员伤亡及财产损失。</w:t>
      </w:r>
    </w:p>
    <w:p>
      <w:pPr>
        <w:pStyle w:val="4"/>
        <w:ind w:firstLine="394"/>
      </w:pPr>
      <w:bookmarkStart w:id="30" w:name="_Toc8111664"/>
      <w:r>
        <w:rPr>
          <w:rFonts w:hint="eastAsia"/>
        </w:rPr>
        <w:t>1.5.2统一指挥，分级负责</w:t>
      </w:r>
      <w:bookmarkEnd w:id="30"/>
    </w:p>
    <w:p>
      <w:pPr>
        <w:ind w:firstLine="560"/>
        <w:rPr>
          <w:rFonts w:ascii="仿宋_GB2312"/>
        </w:rPr>
      </w:pPr>
      <w:r>
        <w:rPr>
          <w:rFonts w:hint="eastAsia" w:ascii="仿宋_GB2312"/>
        </w:rPr>
        <w:t>在滨海新区人民政府的领导下，构建新北街道应急组织指挥体系，按照统一指挥、分级负责、条块结合、属地管理、高效处置的原则，开展新北街道生产安全事故的预防和应急工作。各类生产经营单位要认真履行安全生产主体责任，建立健全安全生产应急管理工作机制。</w:t>
      </w:r>
    </w:p>
    <w:p>
      <w:pPr>
        <w:pStyle w:val="4"/>
        <w:ind w:firstLine="394"/>
      </w:pPr>
      <w:bookmarkStart w:id="31" w:name="_Toc8111665"/>
      <w:r>
        <w:rPr>
          <w:rFonts w:hint="eastAsia"/>
        </w:rPr>
        <w:t>1.5.3</w:t>
      </w:r>
      <w:bookmarkEnd w:id="31"/>
      <w:r>
        <w:rPr>
          <w:rFonts w:hint="eastAsia"/>
        </w:rPr>
        <w:t>依法规范，加强管理</w:t>
      </w:r>
    </w:p>
    <w:p>
      <w:pPr>
        <w:ind w:firstLine="560"/>
        <w:rPr>
          <w:rFonts w:ascii="仿宋_GB2312"/>
        </w:rPr>
      </w:pPr>
      <w:r>
        <w:rPr>
          <w:rFonts w:hint="eastAsia" w:ascii="仿宋_GB2312"/>
        </w:rPr>
        <w:t>依据有关法律和行政法规，加强应急管理，维护公众的合法权益，使应对突发生产安全事故的工作规范化、制度化、法制化。</w:t>
      </w:r>
    </w:p>
    <w:p>
      <w:pPr>
        <w:pStyle w:val="4"/>
        <w:ind w:firstLine="394"/>
      </w:pPr>
      <w:bookmarkStart w:id="32" w:name="_Toc8111666"/>
      <w:r>
        <w:rPr>
          <w:rFonts w:hint="eastAsia"/>
        </w:rPr>
        <w:t>1.5.4依法依规，科学施救</w:t>
      </w:r>
      <w:bookmarkEnd w:id="32"/>
    </w:p>
    <w:p>
      <w:pPr>
        <w:ind w:firstLine="560"/>
        <w:rPr>
          <w:rFonts w:ascii="仿宋_GB2312"/>
        </w:rPr>
      </w:pPr>
      <w:r>
        <w:rPr>
          <w:rFonts w:hint="eastAsia" w:ascii="仿宋_GB2312"/>
        </w:rPr>
        <w:t>严格按照法律、法规、预案等要求组织开展应急救援工作，不断提高应急救援能力。充分发挥安全生产应急救援专家的技术支持作用，合理利用救援技术和装备，实现科学施救。</w:t>
      </w:r>
    </w:p>
    <w:p>
      <w:pPr>
        <w:pStyle w:val="4"/>
        <w:ind w:firstLine="394"/>
      </w:pPr>
      <w:bookmarkStart w:id="33" w:name="_Toc8111667"/>
      <w:r>
        <w:rPr>
          <w:rFonts w:hint="eastAsia"/>
        </w:rPr>
        <w:t>1.5.5预防为主，平战结合</w:t>
      </w:r>
      <w:bookmarkEnd w:id="33"/>
    </w:p>
    <w:p>
      <w:pPr>
        <w:ind w:firstLine="560"/>
        <w:rPr>
          <w:rFonts w:ascii="仿宋_GB2312"/>
          <w:color w:val="000000" w:themeColor="text1"/>
        </w:rPr>
      </w:pPr>
      <w:r>
        <w:rPr>
          <w:rFonts w:hint="eastAsia" w:ascii="仿宋_GB2312"/>
        </w:rPr>
        <w:t>以“安全第一、预防为主、综合治理”的方针为指导，坚持事故预防与应急救援相结合。规范预测、预防、预警工作程序，组织协调各下辖单位做好危险源监控、应急培训、物资储备、队伍建设和预案演练等</w:t>
      </w:r>
      <w:r>
        <w:rPr>
          <w:rFonts w:hint="eastAsia" w:ascii="仿宋_GB2312"/>
          <w:color w:val="000000" w:themeColor="text1"/>
        </w:rPr>
        <w:t>工作。</w:t>
      </w:r>
    </w:p>
    <w:p>
      <w:pPr>
        <w:pStyle w:val="3"/>
        <w:ind w:firstLine="301"/>
      </w:pPr>
      <w:bookmarkStart w:id="34" w:name="_Toc8111672"/>
      <w:bookmarkStart w:id="35" w:name="_Toc49846936"/>
      <w:r>
        <w:rPr>
          <w:rFonts w:hint="eastAsia"/>
        </w:rPr>
        <w:t>1.6应急预案体系</w:t>
      </w:r>
      <w:bookmarkEnd w:id="34"/>
      <w:bookmarkEnd w:id="35"/>
    </w:p>
    <w:p>
      <w:pPr>
        <w:ind w:firstLine="560"/>
        <w:rPr>
          <w:rFonts w:ascii="仿宋_GB2312"/>
          <w:b/>
        </w:rPr>
      </w:pPr>
      <w:r>
        <w:rPr>
          <w:rFonts w:hint="eastAsia" w:ascii="仿宋_GB2312"/>
        </w:rPr>
        <w:t>新北街道生产安全事故应急预案体系由天津市滨海新区新北街道办事处生产安全事故应急预案和生产经营单位生产安全事故应急预案构成。新北街道生产安全事故应急预案体系如下图。</w:t>
      </w:r>
    </w:p>
    <w:p>
      <w:pPr>
        <w:pStyle w:val="76"/>
        <w:rPr>
          <w:rFonts w:ascii="仿宋_GB2312"/>
          <w:color w:val="000000" w:themeColor="text1"/>
        </w:rPr>
      </w:pPr>
      <w:r>
        <w:rPr>
          <w:rFonts w:hint="eastAsia" w:ascii="仿宋_GB2312"/>
          <w:color w:val="000000" w:themeColor="text1"/>
        </w:rPr>
        <w:object>
          <v:shape id="_x0000_i1025" o:spt="75" type="#_x0000_t75" style="height:206.8pt;width:304.7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pStyle w:val="77"/>
        <w:spacing w:before="314" w:after="314"/>
      </w:pPr>
      <w:r>
        <w:rPr>
          <w:rFonts w:hint="eastAsia"/>
        </w:rPr>
        <w:t>图</w:t>
      </w:r>
      <w:r>
        <w:rPr>
          <w:rFonts w:hint="eastAsia"/>
          <w:szCs w:val="18"/>
        </w:rPr>
        <w:t>1</w:t>
      </w:r>
      <w:r>
        <w:rPr>
          <w:rFonts w:hint="eastAsia"/>
        </w:rPr>
        <w:t>-1 新北街道办事处生产安全事故应急预案体系图</w:t>
      </w:r>
    </w:p>
    <w:p>
      <w:pPr>
        <w:pStyle w:val="2"/>
        <w:ind w:firstLine="161"/>
      </w:pPr>
      <w:r>
        <w:rPr>
          <w:rFonts w:hint="eastAsia"/>
        </w:rPr>
        <w:br w:type="page"/>
      </w:r>
      <w:bookmarkStart w:id="36" w:name="_Toc8111673"/>
      <w:bookmarkStart w:id="37" w:name="_Toc49846937"/>
      <w:r>
        <w:rPr>
          <w:rFonts w:hint="eastAsia"/>
        </w:rPr>
        <w:t>2 组织</w:t>
      </w:r>
      <w:bookmarkEnd w:id="36"/>
      <w:r>
        <w:rPr>
          <w:rFonts w:hint="eastAsia"/>
        </w:rPr>
        <w:t>体系与职责</w:t>
      </w:r>
      <w:bookmarkEnd w:id="37"/>
    </w:p>
    <w:p>
      <w:pPr>
        <w:pStyle w:val="3"/>
        <w:ind w:firstLine="301"/>
      </w:pPr>
      <w:bookmarkStart w:id="38" w:name="_Toc49846938"/>
      <w:r>
        <w:rPr>
          <w:rFonts w:hint="eastAsia"/>
        </w:rPr>
        <w:t>2.1领导机构</w:t>
      </w:r>
      <w:bookmarkEnd w:id="38"/>
    </w:p>
    <w:p>
      <w:pPr>
        <w:ind w:firstLine="560"/>
        <w:rPr>
          <w:rFonts w:ascii="仿宋_GB2312"/>
        </w:rPr>
      </w:pPr>
      <w:r>
        <w:rPr>
          <w:rFonts w:hint="eastAsia" w:ascii="仿宋_GB2312"/>
        </w:rPr>
        <w:t>1.新北街道办事处设立天津市滨海新区新北街道办事处生产安全事故专项应急指挥部（以下简称应急指挥部），统一领导指挥新北街道生产安全事故的预防与应急处置工作。</w:t>
      </w:r>
    </w:p>
    <w:p>
      <w:pPr>
        <w:ind w:firstLine="560"/>
        <w:rPr>
          <w:rFonts w:ascii="仿宋_GB2312"/>
        </w:rPr>
      </w:pPr>
      <w:r>
        <w:rPr>
          <w:rFonts w:hint="eastAsia" w:ascii="仿宋_GB2312"/>
        </w:rPr>
        <w:t>2.应急指挥部总指挥由街道办事处主任担任，副总指挥由街道办事处分管安全副主任担任。</w:t>
      </w:r>
    </w:p>
    <w:p>
      <w:pPr>
        <w:ind w:firstLine="560"/>
        <w:rPr>
          <w:rFonts w:ascii="仿宋_GB2312"/>
        </w:rPr>
      </w:pPr>
      <w:r>
        <w:rPr>
          <w:rFonts w:hint="eastAsia" w:ascii="仿宋_GB2312"/>
        </w:rPr>
        <w:t>生产安全事故应急指挥部主要职责：</w:t>
      </w:r>
    </w:p>
    <w:p>
      <w:pPr>
        <w:ind w:firstLine="560"/>
        <w:rPr>
          <w:rFonts w:ascii="仿宋_GB2312"/>
        </w:rPr>
      </w:pPr>
      <w:r>
        <w:rPr>
          <w:rFonts w:hint="eastAsia" w:ascii="仿宋_GB2312"/>
        </w:rPr>
        <w:t>（</w:t>
      </w:r>
      <w:r>
        <w:rPr>
          <w:rFonts w:hint="eastAsia" w:ascii="仿宋_GB2312" w:hAnsi="Times New Roman" w:cs="Times New Roman"/>
        </w:rPr>
        <w:t>1</w:t>
      </w:r>
      <w:r>
        <w:rPr>
          <w:rFonts w:hint="eastAsia" w:ascii="仿宋_GB2312"/>
        </w:rPr>
        <w:t>）贯彻落实安全生产的法律法规及上级部门关于生产安全事故应对工作的决策部署；</w:t>
      </w:r>
    </w:p>
    <w:p>
      <w:pPr>
        <w:ind w:firstLine="560"/>
        <w:rPr>
          <w:rFonts w:ascii="仿宋_GB2312"/>
        </w:rPr>
      </w:pPr>
      <w:r>
        <w:rPr>
          <w:rFonts w:hint="eastAsia" w:ascii="仿宋_GB2312"/>
        </w:rPr>
        <w:t>（</w:t>
      </w:r>
      <w:r>
        <w:rPr>
          <w:rFonts w:hint="eastAsia" w:ascii="仿宋_GB2312" w:hAnsi="Times New Roman" w:cs="Times New Roman"/>
        </w:rPr>
        <w:t>2</w:t>
      </w:r>
      <w:r>
        <w:rPr>
          <w:rFonts w:hint="eastAsia" w:ascii="仿宋_GB2312"/>
        </w:rPr>
        <w:t>）根据应急响应级别组织、指导或配合做好街道安全监管区域内发生的的一般及以上生产安全事故应急处置工作；</w:t>
      </w:r>
    </w:p>
    <w:p>
      <w:pPr>
        <w:ind w:firstLine="560"/>
        <w:rPr>
          <w:rFonts w:ascii="仿宋_GB2312"/>
        </w:rPr>
      </w:pPr>
      <w:r>
        <w:rPr>
          <w:rFonts w:hint="eastAsia" w:ascii="仿宋_GB2312"/>
        </w:rPr>
        <w:t>（</w:t>
      </w:r>
      <w:r>
        <w:rPr>
          <w:rFonts w:hint="eastAsia" w:ascii="仿宋_GB2312" w:hAnsi="Times New Roman" w:cs="Times New Roman"/>
        </w:rPr>
        <w:t>3</w:t>
      </w:r>
      <w:r>
        <w:rPr>
          <w:rFonts w:hint="eastAsia" w:ascii="仿宋_GB2312"/>
        </w:rPr>
        <w:t>）负责检查、指导本安全监管区域内生产安全事故应急资金、队伍、物资的管理工作。</w:t>
      </w:r>
    </w:p>
    <w:p>
      <w:pPr>
        <w:pStyle w:val="3"/>
        <w:ind w:firstLine="301"/>
      </w:pPr>
      <w:bookmarkStart w:id="39" w:name="_Toc49846939"/>
      <w:r>
        <w:rPr>
          <w:rFonts w:hint="eastAsia"/>
        </w:rPr>
        <w:t>2.2组织体系</w:t>
      </w:r>
      <w:bookmarkEnd w:id="39"/>
    </w:p>
    <w:p>
      <w:pPr>
        <w:ind w:firstLine="560"/>
        <w:rPr>
          <w:rFonts w:ascii="仿宋_GB2312"/>
        </w:rPr>
      </w:pPr>
      <w:r>
        <w:rPr>
          <w:rFonts w:hint="eastAsia" w:ascii="仿宋_GB2312"/>
        </w:rPr>
        <w:t>生产安全事故应急组织体系由街道生产安全事故专项应急指挥部及其下设的生产安全事故应急办公室、生产安全事故现场指挥部和五个工作小组，即施救处置组、疏散警戒组、后勤保障组、信息发布组、专家组（见图2-1）。</w:t>
      </w:r>
    </w:p>
    <w:p>
      <w:pPr>
        <w:pStyle w:val="76"/>
        <w:rPr>
          <w:rFonts w:ascii="仿宋_GB2312"/>
          <w:color w:val="000000" w:themeColor="text1"/>
        </w:rPr>
      </w:pPr>
      <w:r>
        <w:rPr>
          <w:rFonts w:hint="eastAsia" w:ascii="仿宋_GB2312"/>
          <w:color w:val="000000" w:themeColor="text1"/>
        </w:rPr>
        <w:object>
          <v:shape id="_x0000_i1026" o:spt="75" type="#_x0000_t75" style="height:241.1pt;width:308.1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p>
      <w:pPr>
        <w:pStyle w:val="77"/>
        <w:spacing w:before="314" w:after="314"/>
        <w:rPr>
          <w:color w:val="000000" w:themeColor="text1"/>
        </w:rPr>
      </w:pPr>
      <w:r>
        <w:rPr>
          <w:rFonts w:hint="eastAsia"/>
          <w:color w:val="000000" w:themeColor="text1"/>
        </w:rPr>
        <w:t>图2-1 应急组织体系图</w:t>
      </w:r>
    </w:p>
    <w:p>
      <w:pPr>
        <w:pStyle w:val="3"/>
        <w:ind w:firstLine="301"/>
      </w:pPr>
      <w:bookmarkStart w:id="40" w:name="_Toc49846940"/>
      <w:r>
        <w:rPr>
          <w:rFonts w:hint="eastAsia"/>
        </w:rPr>
        <w:t>2.3办事机构</w:t>
      </w:r>
      <w:bookmarkEnd w:id="40"/>
    </w:p>
    <w:p>
      <w:pPr>
        <w:ind w:firstLine="560"/>
        <w:rPr>
          <w:rFonts w:ascii="仿宋_GB2312"/>
        </w:rPr>
      </w:pPr>
      <w:r>
        <w:rPr>
          <w:rFonts w:hint="eastAsia" w:ascii="仿宋_GB2312"/>
        </w:rPr>
        <w:t>1.应急指挥部设立新北街道办事处生产安全事故应急办公室（以下简称应急办公室），承担新北街道生产安全事故的应急综合协调工作。应急办公室设在街安委会办公室，应急办公室主任由新北街道分管安全工作领导担任。</w:t>
      </w:r>
    </w:p>
    <w:p>
      <w:pPr>
        <w:ind w:firstLine="560"/>
        <w:rPr>
          <w:rFonts w:ascii="仿宋_GB2312"/>
        </w:rPr>
      </w:pPr>
      <w:r>
        <w:rPr>
          <w:rFonts w:hint="eastAsia" w:ascii="仿宋_GB2312"/>
        </w:rPr>
        <w:t>2.应急办公室主要职责：</w:t>
      </w:r>
    </w:p>
    <w:p>
      <w:pPr>
        <w:ind w:firstLine="560"/>
        <w:rPr>
          <w:rFonts w:ascii="仿宋_GB2312"/>
          <w:color w:val="000000" w:themeColor="text1"/>
          <w:szCs w:val="18"/>
        </w:rPr>
      </w:pPr>
      <w:r>
        <w:rPr>
          <w:rFonts w:hint="eastAsia" w:ascii="仿宋_GB2312"/>
          <w:color w:val="000000" w:themeColor="text1"/>
          <w:szCs w:val="18"/>
        </w:rPr>
        <w:t>（1）负责新北街生产安全事故应急指挥部日常工作，起草应急指挥部有关文件，组织落实应急指挥部各项工作部署；</w:t>
      </w:r>
    </w:p>
    <w:p>
      <w:pPr>
        <w:ind w:firstLine="560"/>
        <w:rPr>
          <w:rFonts w:ascii="仿宋_GB2312"/>
          <w:color w:val="000000" w:themeColor="text1"/>
          <w:szCs w:val="18"/>
        </w:rPr>
      </w:pPr>
      <w:r>
        <w:rPr>
          <w:rFonts w:hint="eastAsia" w:ascii="仿宋_GB2312"/>
          <w:color w:val="000000" w:themeColor="text1"/>
          <w:szCs w:val="18"/>
        </w:rPr>
        <w:t>（2）组织编制、修订新北街生产安全事故的应急预案，开展应急安全宣传教育、培训和应急演练。</w:t>
      </w:r>
    </w:p>
    <w:p>
      <w:pPr>
        <w:ind w:firstLine="560"/>
        <w:rPr>
          <w:rFonts w:ascii="仿宋_GB2312"/>
          <w:color w:val="000000" w:themeColor="text1"/>
          <w:szCs w:val="18"/>
        </w:rPr>
      </w:pPr>
      <w:r>
        <w:rPr>
          <w:rFonts w:hint="eastAsia" w:ascii="仿宋_GB2312"/>
          <w:color w:val="000000" w:themeColor="text1"/>
          <w:szCs w:val="18"/>
        </w:rPr>
        <w:t>（3）承担新北街安全生产领域应急信息报送、预警发布和协调联络工作；负责生产安全事故信息的收集、汇总、报送工作；承办应急指挥部交办的其他工作。</w:t>
      </w:r>
    </w:p>
    <w:p>
      <w:pPr>
        <w:ind w:firstLine="560"/>
        <w:rPr>
          <w:rFonts w:ascii="仿宋_GB2312"/>
          <w:color w:val="000000" w:themeColor="text1"/>
          <w:szCs w:val="18"/>
        </w:rPr>
      </w:pPr>
      <w:r>
        <w:rPr>
          <w:rFonts w:hint="eastAsia" w:ascii="仿宋_GB2312"/>
          <w:color w:val="000000" w:themeColor="text1"/>
          <w:szCs w:val="18"/>
        </w:rPr>
        <w:t>（4）负责新北街生产安全事故的综合协调，传达贯彻落实滨海新区人民政府、应急指挥部对事故救援处置的批示指示要求；协调相关安全应急救援力量，全力开展应急救援工作；组织、协调、配合相关部门进行现场勘察、取证，开展对事故的调查处理工作。</w:t>
      </w:r>
    </w:p>
    <w:p>
      <w:pPr>
        <w:pStyle w:val="3"/>
        <w:ind w:firstLine="301"/>
      </w:pPr>
      <w:bookmarkStart w:id="41" w:name="_Toc49846941"/>
      <w:r>
        <w:rPr>
          <w:rFonts w:hint="eastAsia"/>
        </w:rPr>
        <w:t>2.4成员单位及其职责</w:t>
      </w:r>
      <w:bookmarkEnd w:id="41"/>
    </w:p>
    <w:p>
      <w:pPr>
        <w:pStyle w:val="4"/>
        <w:ind w:firstLine="394"/>
      </w:pPr>
      <w:r>
        <w:rPr>
          <w:rFonts w:hint="eastAsia"/>
        </w:rPr>
        <w:t>2.4.1公共安全办公室职责</w:t>
      </w:r>
    </w:p>
    <w:p>
      <w:pPr>
        <w:numPr>
          <w:ilvl w:val="2"/>
          <w:numId w:val="1"/>
        </w:numPr>
        <w:ind w:firstLineChars="0"/>
        <w:rPr>
          <w:rFonts w:ascii="仿宋_GB2312"/>
          <w:color w:val="000000" w:themeColor="text1"/>
        </w:rPr>
      </w:pPr>
      <w:r>
        <w:rPr>
          <w:rFonts w:hint="eastAsia" w:ascii="仿宋_GB2312"/>
          <w:color w:val="000000" w:themeColor="text1"/>
        </w:rPr>
        <w:t>履行应急办工作职责，负责街道应急管理日常工作；</w:t>
      </w:r>
    </w:p>
    <w:p>
      <w:pPr>
        <w:numPr>
          <w:ilvl w:val="2"/>
          <w:numId w:val="1"/>
        </w:numPr>
        <w:ind w:firstLineChars="0"/>
        <w:rPr>
          <w:rFonts w:ascii="仿宋_GB2312"/>
          <w:color w:val="000000" w:themeColor="text1"/>
        </w:rPr>
      </w:pPr>
      <w:r>
        <w:rPr>
          <w:rFonts w:hint="eastAsia" w:ascii="仿宋_GB2312"/>
          <w:color w:val="000000" w:themeColor="text1"/>
        </w:rPr>
        <w:t>对</w:t>
      </w:r>
      <w:r>
        <w:rPr>
          <w:rFonts w:hint="eastAsia" w:ascii="仿宋_GB2312"/>
          <w:bCs/>
          <w:color w:val="000000" w:themeColor="text1"/>
        </w:rPr>
        <w:t>本安全监管区生产经营单位安全生产状况进行监督检查；</w:t>
      </w:r>
    </w:p>
    <w:p>
      <w:pPr>
        <w:numPr>
          <w:ilvl w:val="2"/>
          <w:numId w:val="1"/>
        </w:numPr>
        <w:ind w:firstLineChars="0"/>
        <w:rPr>
          <w:rFonts w:ascii="仿宋_GB2312"/>
          <w:color w:val="000000" w:themeColor="text1"/>
        </w:rPr>
      </w:pPr>
      <w:r>
        <w:rPr>
          <w:rFonts w:hint="eastAsia" w:ascii="仿宋_GB2312"/>
          <w:color w:val="000000" w:themeColor="text1"/>
        </w:rPr>
        <w:t>及时到达事故现场，协调相关部门封锁危险区域、设立隔离区，协助</w:t>
      </w:r>
      <w:r>
        <w:rPr>
          <w:rFonts w:hint="eastAsia" w:ascii="仿宋_GB2312"/>
          <w:bCs/>
          <w:color w:val="000000" w:themeColor="text1"/>
        </w:rPr>
        <w:t>开展疏散救援、控制现场等先期工作，组织安排事故现场人员、单位开展自救互救，配合专业应急救援力量开展工作，向街道应急指挥部报告事故情况；</w:t>
      </w:r>
    </w:p>
    <w:p>
      <w:pPr>
        <w:numPr>
          <w:ilvl w:val="2"/>
          <w:numId w:val="1"/>
        </w:numPr>
        <w:ind w:firstLineChars="0"/>
        <w:rPr>
          <w:rFonts w:ascii="仿宋_GB2312"/>
          <w:color w:val="000000" w:themeColor="text1"/>
        </w:rPr>
      </w:pPr>
      <w:r>
        <w:rPr>
          <w:rFonts w:hint="eastAsia" w:ascii="仿宋_GB2312"/>
          <w:color w:val="000000" w:themeColor="text1"/>
        </w:rPr>
        <w:t>协调相关部门、力量，全力开展应急救援工作；</w:t>
      </w:r>
    </w:p>
    <w:p>
      <w:pPr>
        <w:numPr>
          <w:ilvl w:val="2"/>
          <w:numId w:val="1"/>
        </w:numPr>
        <w:ind w:firstLineChars="0"/>
        <w:rPr>
          <w:rFonts w:ascii="仿宋_GB2312"/>
          <w:color w:val="000000" w:themeColor="text1"/>
        </w:rPr>
      </w:pPr>
      <w:r>
        <w:rPr>
          <w:rFonts w:hint="eastAsia" w:ascii="仿宋_GB2312"/>
          <w:color w:val="000000" w:themeColor="text1"/>
        </w:rPr>
        <w:t>配合上级有关部门开展事故调查工作；</w:t>
      </w:r>
    </w:p>
    <w:p>
      <w:pPr>
        <w:numPr>
          <w:ilvl w:val="2"/>
          <w:numId w:val="1"/>
        </w:numPr>
        <w:ind w:firstLineChars="0"/>
        <w:rPr>
          <w:rFonts w:ascii="仿宋_GB2312"/>
          <w:color w:val="000000" w:themeColor="text1"/>
        </w:rPr>
      </w:pPr>
      <w:r>
        <w:rPr>
          <w:rFonts w:hint="eastAsia" w:ascii="仿宋_GB2312"/>
          <w:color w:val="000000" w:themeColor="text1"/>
        </w:rPr>
        <w:t>负责确定临时应急避难安置场所，配合做好相关人员转移安置工作；</w:t>
      </w:r>
    </w:p>
    <w:p>
      <w:pPr>
        <w:numPr>
          <w:ilvl w:val="2"/>
          <w:numId w:val="1"/>
        </w:numPr>
        <w:ind w:firstLineChars="0"/>
        <w:rPr>
          <w:rFonts w:ascii="仿宋_GB2312"/>
          <w:color w:val="000000" w:themeColor="text1"/>
        </w:rPr>
      </w:pPr>
      <w:r>
        <w:rPr>
          <w:rFonts w:hint="eastAsia" w:ascii="仿宋_GB2312"/>
          <w:color w:val="000000" w:themeColor="text1"/>
        </w:rPr>
        <w:t>协调组织危险化学品事故废弃污染物后续处置工作，对环境恢复、生态修复提出意见建议；</w:t>
      </w:r>
    </w:p>
    <w:p>
      <w:pPr>
        <w:numPr>
          <w:ilvl w:val="2"/>
          <w:numId w:val="1"/>
        </w:numPr>
        <w:ind w:firstLineChars="0"/>
        <w:rPr>
          <w:rFonts w:ascii="仿宋_GB2312"/>
          <w:color w:val="000000" w:themeColor="text1"/>
        </w:rPr>
      </w:pPr>
      <w:r>
        <w:rPr>
          <w:rFonts w:hint="eastAsia" w:ascii="仿宋_GB2312" w:cs="Times New Roman"/>
          <w:color w:val="000000" w:themeColor="text1"/>
        </w:rPr>
        <w:t>承办街道和上级应急指挥部交办的其他应急工作。</w:t>
      </w:r>
    </w:p>
    <w:p>
      <w:pPr>
        <w:pStyle w:val="4"/>
        <w:ind w:firstLine="394"/>
      </w:pPr>
      <w:r>
        <w:rPr>
          <w:rFonts w:hint="eastAsia"/>
        </w:rPr>
        <w:t>2.4.2综合办公室</w:t>
      </w:r>
    </w:p>
    <w:p>
      <w:pPr>
        <w:numPr>
          <w:ilvl w:val="2"/>
          <w:numId w:val="2"/>
        </w:numPr>
        <w:ind w:firstLineChars="0"/>
        <w:rPr>
          <w:rFonts w:ascii="仿宋_GB2312"/>
          <w:color w:val="000000" w:themeColor="text1"/>
        </w:rPr>
      </w:pPr>
      <w:r>
        <w:rPr>
          <w:rFonts w:hint="eastAsia" w:ascii="仿宋_GB2312"/>
          <w:color w:val="000000" w:themeColor="text1"/>
        </w:rPr>
        <w:t>按照《国务院信息公开条例》配合网信办做好生产安全事故、应急救援信息的公开工作；</w:t>
      </w:r>
    </w:p>
    <w:p>
      <w:pPr>
        <w:numPr>
          <w:ilvl w:val="2"/>
          <w:numId w:val="2"/>
        </w:numPr>
        <w:ind w:firstLineChars="0"/>
        <w:rPr>
          <w:rFonts w:ascii="仿宋_GB2312"/>
          <w:color w:val="000000" w:themeColor="text1"/>
        </w:rPr>
      </w:pPr>
      <w:r>
        <w:rPr>
          <w:rFonts w:hint="eastAsia" w:ascii="仿宋_GB2312"/>
          <w:color w:val="000000" w:themeColor="text1"/>
        </w:rPr>
        <w:t>会同相关部门，保障生产安全事故所需的燃料、食品、药品、饮用水等生活必需品供应和救援人员基本生活品保障工作；</w:t>
      </w:r>
    </w:p>
    <w:p>
      <w:pPr>
        <w:numPr>
          <w:ilvl w:val="2"/>
          <w:numId w:val="2"/>
        </w:numPr>
        <w:ind w:firstLineChars="0"/>
        <w:rPr>
          <w:rFonts w:ascii="仿宋_GB2312"/>
          <w:color w:val="000000" w:themeColor="text1"/>
        </w:rPr>
      </w:pPr>
      <w:r>
        <w:rPr>
          <w:rFonts w:hint="eastAsia" w:ascii="仿宋_GB2312"/>
          <w:color w:val="000000" w:themeColor="text1"/>
        </w:rPr>
        <w:t>做好应急车辆的管理工作；</w:t>
      </w:r>
    </w:p>
    <w:p>
      <w:pPr>
        <w:numPr>
          <w:ilvl w:val="2"/>
          <w:numId w:val="2"/>
        </w:numPr>
        <w:ind w:firstLineChars="0"/>
        <w:rPr>
          <w:rFonts w:ascii="仿宋_GB2312"/>
          <w:color w:val="000000" w:themeColor="text1"/>
        </w:rPr>
      </w:pPr>
      <w:r>
        <w:rPr>
          <w:rFonts w:hint="eastAsia" w:ascii="仿宋_GB2312"/>
          <w:color w:val="000000" w:themeColor="text1"/>
        </w:rPr>
        <w:t>配合有关部门接收和管理社会各界的救援捐赠；</w:t>
      </w:r>
    </w:p>
    <w:p>
      <w:pPr>
        <w:numPr>
          <w:ilvl w:val="2"/>
          <w:numId w:val="2"/>
        </w:numPr>
        <w:ind w:firstLineChars="0"/>
        <w:rPr>
          <w:rFonts w:ascii="仿宋_GB2312"/>
          <w:color w:val="000000" w:themeColor="text1"/>
        </w:rPr>
      </w:pPr>
      <w:r>
        <w:rPr>
          <w:rFonts w:hint="eastAsia" w:ascii="仿宋_GB2312"/>
          <w:color w:val="000000" w:themeColor="text1"/>
        </w:rPr>
        <w:t>负责对外联系，协调有关科室，联系电力、通信、燃气等部门配合开展应急救援工作；</w:t>
      </w:r>
    </w:p>
    <w:p>
      <w:pPr>
        <w:numPr>
          <w:ilvl w:val="2"/>
          <w:numId w:val="2"/>
        </w:numPr>
        <w:ind w:firstLineChars="0"/>
        <w:rPr>
          <w:rFonts w:ascii="仿宋_GB2312"/>
          <w:color w:val="000000" w:themeColor="text1"/>
        </w:rPr>
      </w:pPr>
      <w:r>
        <w:rPr>
          <w:rFonts w:hint="eastAsia" w:ascii="仿宋_GB2312" w:cs="Times New Roman"/>
          <w:color w:val="000000" w:themeColor="text1"/>
        </w:rPr>
        <w:t>完成街应急指挥部交办的其他应急安全工作任务</w:t>
      </w:r>
      <w:r>
        <w:rPr>
          <w:rFonts w:hint="eastAsia" w:ascii="仿宋_GB2312"/>
          <w:color w:val="000000" w:themeColor="text1"/>
        </w:rPr>
        <w:t>。</w:t>
      </w:r>
    </w:p>
    <w:p>
      <w:pPr>
        <w:pStyle w:val="4"/>
        <w:ind w:firstLine="394"/>
      </w:pPr>
      <w:r>
        <w:rPr>
          <w:rFonts w:hint="eastAsia"/>
        </w:rPr>
        <w:t>2.4.3党建办公室（网信办）</w:t>
      </w:r>
    </w:p>
    <w:p>
      <w:pPr>
        <w:numPr>
          <w:ilvl w:val="0"/>
          <w:numId w:val="3"/>
        </w:numPr>
        <w:ind w:firstLineChars="0"/>
        <w:rPr>
          <w:rFonts w:ascii="仿宋_GB2312"/>
          <w:color w:val="000000" w:themeColor="text1"/>
        </w:rPr>
      </w:pPr>
      <w:r>
        <w:rPr>
          <w:rFonts w:hint="eastAsia" w:ascii="仿宋_GB2312"/>
          <w:color w:val="000000" w:themeColor="text1"/>
        </w:rPr>
        <w:t>协助处置生产安全事故的网络舆情，加强正面引导，及时发布应急处置工作信息，妥善处置负面报道</w:t>
      </w:r>
      <w:r>
        <w:rPr>
          <w:rFonts w:hint="eastAsia" w:ascii="仿宋_GB2312"/>
          <w:bCs/>
          <w:color w:val="000000" w:themeColor="text1"/>
        </w:rPr>
        <w:t>；</w:t>
      </w:r>
    </w:p>
    <w:p>
      <w:pPr>
        <w:numPr>
          <w:ilvl w:val="0"/>
          <w:numId w:val="3"/>
        </w:numPr>
        <w:ind w:firstLineChars="0"/>
        <w:rPr>
          <w:rFonts w:ascii="仿宋_GB2312"/>
          <w:color w:val="000000" w:themeColor="text1"/>
        </w:rPr>
      </w:pPr>
      <w:r>
        <w:rPr>
          <w:rFonts w:hint="eastAsia" w:ascii="仿宋_GB2312" w:cs="Times New Roman"/>
          <w:color w:val="000000" w:themeColor="text1"/>
        </w:rPr>
        <w:t>完成应急指挥部交办的其他应急安全工作任务。</w:t>
      </w:r>
    </w:p>
    <w:p>
      <w:pPr>
        <w:pStyle w:val="4"/>
        <w:ind w:firstLine="394"/>
      </w:pPr>
      <w:r>
        <w:rPr>
          <w:rFonts w:hint="eastAsia"/>
        </w:rPr>
        <w:t>2.4.4公共服务办公室</w:t>
      </w:r>
    </w:p>
    <w:p>
      <w:pPr>
        <w:numPr>
          <w:ilvl w:val="2"/>
          <w:numId w:val="4"/>
        </w:numPr>
        <w:ind w:firstLineChars="0"/>
        <w:rPr>
          <w:rFonts w:ascii="仿宋_GB2312"/>
          <w:color w:val="000000" w:themeColor="text1"/>
        </w:rPr>
      </w:pPr>
      <w:r>
        <w:rPr>
          <w:rFonts w:hint="eastAsia" w:ascii="仿宋_GB2312"/>
          <w:color w:val="000000" w:themeColor="text1"/>
        </w:rPr>
        <w:t>协调医务人员开展现场救护工作；</w:t>
      </w:r>
    </w:p>
    <w:p>
      <w:pPr>
        <w:numPr>
          <w:ilvl w:val="2"/>
          <w:numId w:val="4"/>
        </w:numPr>
        <w:ind w:firstLineChars="0"/>
        <w:rPr>
          <w:rFonts w:ascii="仿宋_GB2312"/>
          <w:color w:val="000000" w:themeColor="text1"/>
        </w:rPr>
      </w:pPr>
      <w:r>
        <w:rPr>
          <w:rFonts w:hint="eastAsia" w:ascii="仿宋_GB2312"/>
          <w:color w:val="000000" w:themeColor="text1"/>
        </w:rPr>
        <w:t>配合后勤保障组协调做好安置点人员的医疗救护工作；</w:t>
      </w:r>
    </w:p>
    <w:p>
      <w:pPr>
        <w:numPr>
          <w:ilvl w:val="2"/>
          <w:numId w:val="4"/>
        </w:numPr>
        <w:ind w:firstLineChars="0"/>
        <w:rPr>
          <w:rFonts w:ascii="仿宋_GB2312"/>
          <w:color w:val="000000" w:themeColor="text1"/>
        </w:rPr>
      </w:pPr>
      <w:r>
        <w:rPr>
          <w:rFonts w:hint="eastAsia" w:ascii="仿宋_GB2312" w:cs="Times New Roman"/>
          <w:color w:val="000000" w:themeColor="text1"/>
        </w:rPr>
        <w:t>完成街应急指挥部交办的其他应急安全工作任务。</w:t>
      </w:r>
    </w:p>
    <w:p>
      <w:pPr>
        <w:pStyle w:val="4"/>
        <w:ind w:firstLine="394"/>
      </w:pPr>
      <w:r>
        <w:rPr>
          <w:rFonts w:hint="eastAsia"/>
        </w:rPr>
        <w:t>2.4.5公共管理办公室</w:t>
      </w:r>
    </w:p>
    <w:p>
      <w:pPr>
        <w:numPr>
          <w:ilvl w:val="0"/>
          <w:numId w:val="5"/>
        </w:numPr>
        <w:adjustRightInd w:val="0"/>
        <w:ind w:firstLineChars="0"/>
        <w:rPr>
          <w:rFonts w:ascii="仿宋_GB2312"/>
          <w:color w:val="000000" w:themeColor="text1"/>
          <w:szCs w:val="21"/>
        </w:rPr>
      </w:pPr>
      <w:r>
        <w:rPr>
          <w:rFonts w:hint="eastAsia" w:ascii="仿宋_GB2312"/>
          <w:color w:val="000000" w:themeColor="text1"/>
          <w:szCs w:val="21"/>
        </w:rPr>
        <w:t>配合有关部门协调做好受损供热等公共设施的抢修工作；</w:t>
      </w:r>
    </w:p>
    <w:p>
      <w:pPr>
        <w:numPr>
          <w:ilvl w:val="0"/>
          <w:numId w:val="5"/>
        </w:numPr>
        <w:adjustRightInd w:val="0"/>
        <w:ind w:firstLineChars="0"/>
        <w:rPr>
          <w:rFonts w:ascii="仿宋_GB2312"/>
          <w:color w:val="000000" w:themeColor="text1"/>
          <w:szCs w:val="21"/>
        </w:rPr>
      </w:pPr>
      <w:r>
        <w:rPr>
          <w:rFonts w:hint="eastAsia" w:ascii="仿宋_GB2312"/>
          <w:color w:val="000000" w:themeColor="text1"/>
          <w:szCs w:val="21"/>
        </w:rPr>
        <w:t>参与本行业安全事故调查处理工作；</w:t>
      </w:r>
    </w:p>
    <w:p>
      <w:pPr>
        <w:numPr>
          <w:ilvl w:val="0"/>
          <w:numId w:val="5"/>
        </w:numPr>
        <w:ind w:firstLineChars="0"/>
        <w:rPr>
          <w:rFonts w:ascii="仿宋_GB2312"/>
          <w:color w:val="000000" w:themeColor="text1"/>
          <w:szCs w:val="21"/>
        </w:rPr>
      </w:pPr>
      <w:r>
        <w:rPr>
          <w:rFonts w:hint="eastAsia" w:ascii="仿宋_GB2312" w:cs="Times New Roman"/>
          <w:color w:val="000000" w:themeColor="text1"/>
        </w:rPr>
        <w:t>配合滨海新区有关部门做好生产安全事故及其次生灾害区域环境质量检测、危废处理等工作；</w:t>
      </w:r>
    </w:p>
    <w:p>
      <w:pPr>
        <w:numPr>
          <w:ilvl w:val="0"/>
          <w:numId w:val="5"/>
        </w:numPr>
        <w:ind w:firstLineChars="0"/>
        <w:rPr>
          <w:rFonts w:ascii="仿宋_GB2312"/>
          <w:color w:val="000000" w:themeColor="text1"/>
          <w:szCs w:val="21"/>
        </w:rPr>
      </w:pPr>
      <w:r>
        <w:rPr>
          <w:rFonts w:hint="eastAsia" w:ascii="仿宋_GB2312" w:cs="Times New Roman"/>
          <w:color w:val="000000" w:themeColor="text1"/>
        </w:rPr>
        <w:t>完成街道应急指挥部交办的其他应急安全工作任务。</w:t>
      </w:r>
    </w:p>
    <w:p>
      <w:pPr>
        <w:pStyle w:val="4"/>
        <w:ind w:firstLine="394"/>
      </w:pPr>
      <w:r>
        <w:rPr>
          <w:rFonts w:hint="eastAsia"/>
        </w:rPr>
        <w:t>2.4.6社区建设办公室</w:t>
      </w:r>
    </w:p>
    <w:p>
      <w:pPr>
        <w:numPr>
          <w:ilvl w:val="0"/>
          <w:numId w:val="6"/>
        </w:numPr>
        <w:ind w:firstLineChars="0"/>
        <w:rPr>
          <w:rFonts w:ascii="仿宋_GB2312"/>
          <w:color w:val="000000" w:themeColor="text1"/>
        </w:rPr>
      </w:pPr>
      <w:r>
        <w:rPr>
          <w:rFonts w:hint="eastAsia" w:ascii="仿宋_GB2312"/>
          <w:color w:val="000000" w:themeColor="text1"/>
        </w:rPr>
        <w:t>在街道应急指挥部的统一领导下，配合做好应急避难人员安置工作；</w:t>
      </w:r>
    </w:p>
    <w:p>
      <w:pPr>
        <w:numPr>
          <w:ilvl w:val="0"/>
          <w:numId w:val="6"/>
        </w:numPr>
        <w:ind w:firstLineChars="0"/>
        <w:rPr>
          <w:rFonts w:ascii="仿宋_GB2312"/>
          <w:color w:val="000000" w:themeColor="text1"/>
        </w:rPr>
      </w:pPr>
      <w:r>
        <w:rPr>
          <w:rFonts w:hint="eastAsia" w:ascii="仿宋_GB2312"/>
          <w:color w:val="000000" w:themeColor="text1"/>
        </w:rPr>
        <w:t>指导各社区建立应急安全志愿者队伍；</w:t>
      </w:r>
    </w:p>
    <w:p>
      <w:pPr>
        <w:numPr>
          <w:ilvl w:val="0"/>
          <w:numId w:val="6"/>
        </w:numPr>
        <w:ind w:firstLineChars="0"/>
        <w:rPr>
          <w:rFonts w:ascii="仿宋_GB2312"/>
          <w:color w:val="000000" w:themeColor="text1"/>
        </w:rPr>
      </w:pPr>
      <w:r>
        <w:rPr>
          <w:rFonts w:hint="eastAsia" w:ascii="仿宋_GB2312" w:cs="Times New Roman"/>
          <w:color w:val="000000" w:themeColor="text1"/>
        </w:rPr>
        <w:t>完成街道应急指挥部交办的其他应急安全工作任务。</w:t>
      </w:r>
    </w:p>
    <w:p>
      <w:pPr>
        <w:pStyle w:val="4"/>
        <w:ind w:firstLine="394"/>
      </w:pPr>
      <w:r>
        <w:rPr>
          <w:rFonts w:hint="eastAsia"/>
        </w:rPr>
        <w:t>24.7经济发展办公室</w:t>
      </w:r>
    </w:p>
    <w:p>
      <w:pPr>
        <w:numPr>
          <w:ilvl w:val="0"/>
          <w:numId w:val="7"/>
        </w:numPr>
        <w:ind w:firstLineChars="0"/>
        <w:rPr>
          <w:rFonts w:ascii="仿宋_GB2312"/>
          <w:color w:val="000000" w:themeColor="text1"/>
        </w:rPr>
      </w:pPr>
      <w:r>
        <w:rPr>
          <w:rFonts w:hint="eastAsia" w:ascii="仿宋_GB2312"/>
          <w:color w:val="000000" w:themeColor="text1"/>
        </w:rPr>
        <w:t>配合有关部门做好本行业生产安全事故的处置工作；</w:t>
      </w:r>
    </w:p>
    <w:p>
      <w:pPr>
        <w:numPr>
          <w:ilvl w:val="0"/>
          <w:numId w:val="7"/>
        </w:numPr>
        <w:ind w:firstLineChars="0"/>
        <w:rPr>
          <w:rFonts w:ascii="仿宋_GB2312"/>
          <w:color w:val="000000" w:themeColor="text1"/>
        </w:rPr>
      </w:pPr>
      <w:r>
        <w:rPr>
          <w:rFonts w:hint="eastAsia" w:ascii="仿宋_GB2312" w:cs="Times New Roman"/>
          <w:color w:val="000000" w:themeColor="text1"/>
        </w:rPr>
        <w:t>完成街应急指挥部交办的其他应急安全工作任务。</w:t>
      </w:r>
    </w:p>
    <w:p>
      <w:pPr>
        <w:pStyle w:val="4"/>
        <w:ind w:firstLine="394"/>
      </w:pPr>
      <w:r>
        <w:rPr>
          <w:rFonts w:hint="eastAsia"/>
        </w:rPr>
        <w:t>2.4.8财务部门</w:t>
      </w:r>
    </w:p>
    <w:p>
      <w:pPr>
        <w:numPr>
          <w:ilvl w:val="0"/>
          <w:numId w:val="8"/>
        </w:numPr>
        <w:ind w:firstLineChars="0"/>
        <w:rPr>
          <w:rFonts w:ascii="仿宋_GB2312"/>
          <w:color w:val="000000" w:themeColor="text1"/>
        </w:rPr>
      </w:pPr>
      <w:r>
        <w:rPr>
          <w:rFonts w:hint="eastAsia" w:ascii="仿宋_GB2312"/>
          <w:color w:val="000000" w:themeColor="text1"/>
        </w:rPr>
        <w:t>按照街应急指挥部要求，做好新北街生产安全事故应急处置资金保障工作；</w:t>
      </w:r>
    </w:p>
    <w:p>
      <w:pPr>
        <w:numPr>
          <w:ilvl w:val="0"/>
          <w:numId w:val="8"/>
        </w:numPr>
        <w:ind w:firstLineChars="0"/>
        <w:rPr>
          <w:rFonts w:ascii="仿宋_GB2312"/>
          <w:color w:val="000000" w:themeColor="text1"/>
        </w:rPr>
      </w:pPr>
      <w:r>
        <w:rPr>
          <w:rFonts w:hint="eastAsia" w:ascii="仿宋_GB2312" w:cs="Times New Roman"/>
          <w:color w:val="000000" w:themeColor="text1"/>
        </w:rPr>
        <w:t>完成街应急指挥部交办的其他应急安全工作任务。</w:t>
      </w:r>
    </w:p>
    <w:p>
      <w:pPr>
        <w:pStyle w:val="4"/>
        <w:ind w:firstLine="394"/>
      </w:pPr>
      <w:r>
        <w:rPr>
          <w:rFonts w:hint="eastAsia"/>
        </w:rPr>
        <w:t>2.4.9武装部职责</w:t>
      </w:r>
    </w:p>
    <w:p>
      <w:pPr>
        <w:numPr>
          <w:ilvl w:val="0"/>
          <w:numId w:val="9"/>
        </w:numPr>
        <w:ind w:firstLineChars="0"/>
        <w:rPr>
          <w:rFonts w:ascii="仿宋_GB2312" w:cs="Times New Roman"/>
          <w:color w:val="000000" w:themeColor="text1"/>
        </w:rPr>
      </w:pPr>
      <w:r>
        <w:rPr>
          <w:rFonts w:hint="eastAsia" w:ascii="仿宋_GB2312" w:cs="Times New Roman"/>
          <w:color w:val="000000" w:themeColor="text1"/>
        </w:rPr>
        <w:t>按照街应急指挥部要求，组织民兵、预备役部队参加生产安全事故的应急救援工作；</w:t>
      </w:r>
    </w:p>
    <w:p>
      <w:pPr>
        <w:numPr>
          <w:ilvl w:val="0"/>
          <w:numId w:val="9"/>
        </w:numPr>
        <w:ind w:firstLineChars="0"/>
        <w:rPr>
          <w:rFonts w:ascii="仿宋_GB2312" w:cs="Times New Roman"/>
          <w:color w:val="000000" w:themeColor="text1"/>
        </w:rPr>
      </w:pPr>
      <w:r>
        <w:rPr>
          <w:rFonts w:hint="eastAsia" w:ascii="仿宋_GB2312" w:cs="Times New Roman"/>
          <w:color w:val="000000" w:themeColor="text1"/>
        </w:rPr>
        <w:t>视情况协调驻地部队参加安全应急救援；</w:t>
      </w:r>
    </w:p>
    <w:p>
      <w:pPr>
        <w:numPr>
          <w:ilvl w:val="0"/>
          <w:numId w:val="9"/>
        </w:numPr>
        <w:ind w:firstLineChars="0"/>
        <w:rPr>
          <w:rFonts w:ascii="仿宋_GB2312" w:cs="Times New Roman"/>
          <w:color w:val="000000" w:themeColor="text1"/>
        </w:rPr>
      </w:pPr>
      <w:r>
        <w:rPr>
          <w:rFonts w:hint="eastAsia" w:ascii="仿宋_GB2312" w:cs="Times New Roman"/>
          <w:color w:val="000000" w:themeColor="text1"/>
        </w:rPr>
        <w:t>完成街应急指挥部交办的其他应急安全工作任务。</w:t>
      </w:r>
    </w:p>
    <w:p>
      <w:pPr>
        <w:pStyle w:val="4"/>
        <w:ind w:firstLine="394"/>
      </w:pPr>
      <w:r>
        <w:rPr>
          <w:rFonts w:hint="eastAsia"/>
        </w:rPr>
        <w:t>2.4.10街道综合执法大队</w:t>
      </w:r>
    </w:p>
    <w:p>
      <w:pPr>
        <w:numPr>
          <w:ilvl w:val="0"/>
          <w:numId w:val="10"/>
        </w:numPr>
        <w:ind w:firstLineChars="0"/>
        <w:rPr>
          <w:rFonts w:ascii="仿宋_GB2312" w:cs="Times New Roman"/>
          <w:color w:val="000000" w:themeColor="text1"/>
        </w:rPr>
      </w:pPr>
      <w:r>
        <w:rPr>
          <w:rFonts w:hint="eastAsia" w:ascii="仿宋_GB2312" w:cs="Times New Roman"/>
          <w:color w:val="000000" w:themeColor="text1"/>
        </w:rPr>
        <w:t>参与安全应急救援，配合公安部门维持涉事区域社会治安秩序；</w:t>
      </w:r>
    </w:p>
    <w:p>
      <w:pPr>
        <w:numPr>
          <w:ilvl w:val="0"/>
          <w:numId w:val="10"/>
        </w:numPr>
        <w:ind w:firstLineChars="0"/>
        <w:rPr>
          <w:rFonts w:ascii="仿宋_GB2312" w:cs="Times New Roman"/>
          <w:color w:val="000000" w:themeColor="text1"/>
        </w:rPr>
      </w:pPr>
      <w:r>
        <w:rPr>
          <w:rFonts w:hint="eastAsia" w:ascii="仿宋_GB2312" w:cs="Times New Roman"/>
          <w:color w:val="000000" w:themeColor="text1"/>
        </w:rPr>
        <w:t>根据应急指挥部的要求，协助公共管理办公室，组织生产安全事故可能危及区域内人员的疏散和撤离，做好紧急情况下宾馆、饭店、文化娱乐场所、建设工地及学校等人员密集场所的疏散和转移工作；</w:t>
      </w:r>
    </w:p>
    <w:p>
      <w:pPr>
        <w:numPr>
          <w:ilvl w:val="0"/>
          <w:numId w:val="10"/>
        </w:numPr>
        <w:ind w:firstLineChars="0"/>
        <w:rPr>
          <w:rFonts w:ascii="仿宋_GB2312" w:cs="Times New Roman"/>
          <w:color w:val="000000" w:themeColor="text1"/>
        </w:rPr>
      </w:pPr>
      <w:r>
        <w:rPr>
          <w:rFonts w:hint="eastAsia" w:ascii="仿宋_GB2312" w:cs="Times New Roman"/>
          <w:color w:val="000000" w:themeColor="text1"/>
        </w:rPr>
        <w:t>完成街应急指挥部交办的其他应急安全工作任务。</w:t>
      </w:r>
    </w:p>
    <w:p>
      <w:pPr>
        <w:pStyle w:val="4"/>
        <w:ind w:firstLine="394"/>
      </w:pPr>
      <w:r>
        <w:rPr>
          <w:rFonts w:hint="eastAsia"/>
        </w:rPr>
        <w:t>2.4.11其他部门</w:t>
      </w:r>
    </w:p>
    <w:p>
      <w:pPr>
        <w:ind w:firstLine="560"/>
        <w:rPr>
          <w:rFonts w:ascii="仿宋_GB2312"/>
          <w:color w:val="000000" w:themeColor="text1"/>
        </w:rPr>
      </w:pPr>
      <w:r>
        <w:rPr>
          <w:rFonts w:hint="eastAsia" w:ascii="仿宋_GB2312"/>
          <w:color w:val="000000" w:themeColor="text1"/>
        </w:rPr>
        <w:t>其他未列入本预案的部门和单位，统一按照街应急指挥部要求开展安全应急救援工作。</w:t>
      </w:r>
    </w:p>
    <w:p>
      <w:pPr>
        <w:pStyle w:val="3"/>
        <w:ind w:firstLine="301"/>
      </w:pPr>
      <w:bookmarkStart w:id="42" w:name="_Toc49846942"/>
      <w:r>
        <w:rPr>
          <w:rFonts w:hint="eastAsia"/>
        </w:rPr>
        <w:t>2.5外协单位</w:t>
      </w:r>
      <w:bookmarkEnd w:id="42"/>
    </w:p>
    <w:p>
      <w:pPr>
        <w:pStyle w:val="4"/>
        <w:ind w:firstLine="394"/>
      </w:pPr>
      <w:bookmarkStart w:id="43" w:name="_3.4_应急指挥部及相关部门职责"/>
      <w:bookmarkEnd w:id="43"/>
      <w:bookmarkStart w:id="44" w:name="_3.3_应急指挥中心的职责"/>
      <w:bookmarkEnd w:id="44"/>
      <w:bookmarkStart w:id="45" w:name="_Toc372203600"/>
      <w:bookmarkStart w:id="46" w:name="_Toc20738012"/>
      <w:bookmarkStart w:id="47" w:name="_Toc19746"/>
      <w:bookmarkStart w:id="48" w:name="_Toc19891549"/>
      <w:bookmarkStart w:id="49" w:name="_Toc20738599"/>
      <w:r>
        <w:rPr>
          <w:rFonts w:hint="eastAsia"/>
        </w:rPr>
        <w:t>2.5.1新北派出所</w:t>
      </w:r>
    </w:p>
    <w:p>
      <w:pPr>
        <w:numPr>
          <w:ilvl w:val="0"/>
          <w:numId w:val="11"/>
        </w:numPr>
        <w:ind w:firstLineChars="0"/>
        <w:rPr>
          <w:rFonts w:ascii="仿宋_GB2312" w:cs="Times New Roman"/>
          <w:color w:val="000000" w:themeColor="text1"/>
        </w:rPr>
      </w:pPr>
      <w:r>
        <w:rPr>
          <w:rFonts w:hint="eastAsia" w:ascii="仿宋_GB2312" w:cs="Times New Roman"/>
          <w:color w:val="000000" w:themeColor="text1"/>
        </w:rPr>
        <w:t>维护事故发生区域治安秩序，配合市、区事故组并做好事故取证工作；</w:t>
      </w:r>
    </w:p>
    <w:p>
      <w:pPr>
        <w:numPr>
          <w:ilvl w:val="0"/>
          <w:numId w:val="11"/>
        </w:numPr>
        <w:ind w:firstLineChars="0"/>
        <w:rPr>
          <w:rFonts w:ascii="仿宋_GB2312" w:cs="Times New Roman"/>
          <w:color w:val="000000" w:themeColor="text1"/>
        </w:rPr>
      </w:pPr>
      <w:r>
        <w:rPr>
          <w:rFonts w:hint="eastAsia" w:ascii="仿宋_GB2312" w:cs="Times New Roman"/>
          <w:color w:val="000000" w:themeColor="text1"/>
        </w:rPr>
        <w:t>监控网络舆情，及时向街道反馈有关舆情信息；</w:t>
      </w:r>
    </w:p>
    <w:p>
      <w:pPr>
        <w:numPr>
          <w:ilvl w:val="0"/>
          <w:numId w:val="11"/>
        </w:numPr>
        <w:ind w:firstLineChars="0"/>
        <w:rPr>
          <w:rFonts w:ascii="仿宋_GB2312" w:cs="Times New Roman"/>
          <w:color w:val="000000" w:themeColor="text1"/>
        </w:rPr>
      </w:pPr>
      <w:r>
        <w:rPr>
          <w:rFonts w:hint="eastAsia" w:ascii="仿宋_GB2312" w:cs="Times New Roman"/>
          <w:color w:val="000000" w:themeColor="text1"/>
        </w:rPr>
        <w:t>配合街道完成应急指挥部交办的其他应急安全工作任务。</w:t>
      </w:r>
    </w:p>
    <w:p>
      <w:pPr>
        <w:pStyle w:val="4"/>
        <w:ind w:firstLine="394"/>
      </w:pPr>
      <w:r>
        <w:rPr>
          <w:rFonts w:hint="eastAsia"/>
        </w:rPr>
        <w:t>2.5.2交警杭州道大队</w:t>
      </w:r>
    </w:p>
    <w:p>
      <w:pPr>
        <w:numPr>
          <w:ilvl w:val="0"/>
          <w:numId w:val="12"/>
        </w:numPr>
        <w:ind w:firstLineChars="0"/>
        <w:rPr>
          <w:rFonts w:ascii="仿宋_GB2312"/>
          <w:color w:val="000000" w:themeColor="text1"/>
        </w:rPr>
      </w:pPr>
      <w:r>
        <w:rPr>
          <w:rFonts w:hint="eastAsia" w:ascii="仿宋_GB2312"/>
          <w:color w:val="000000" w:themeColor="text1"/>
        </w:rPr>
        <w:t>负责事故现场区域周边道路的交通管制工作，禁止无关车辆进入危险区域，保障救援道路的畅通；</w:t>
      </w:r>
    </w:p>
    <w:p>
      <w:pPr>
        <w:numPr>
          <w:ilvl w:val="0"/>
          <w:numId w:val="12"/>
        </w:numPr>
        <w:ind w:firstLineChars="0"/>
        <w:rPr>
          <w:rFonts w:ascii="仿宋_GB2312"/>
          <w:color w:val="000000" w:themeColor="text1"/>
        </w:rPr>
      </w:pPr>
      <w:r>
        <w:rPr>
          <w:rFonts w:hint="eastAsia" w:ascii="仿宋_GB2312"/>
          <w:color w:val="000000" w:themeColor="text1"/>
        </w:rPr>
        <w:t>做好应急救助物资和人员运送的交通疏导工作，保持现场良好的通行秩序；</w:t>
      </w:r>
    </w:p>
    <w:p>
      <w:pPr>
        <w:numPr>
          <w:ilvl w:val="0"/>
          <w:numId w:val="12"/>
        </w:numPr>
        <w:ind w:firstLineChars="0"/>
        <w:rPr>
          <w:rFonts w:ascii="仿宋_GB2312"/>
          <w:color w:val="000000" w:themeColor="text1"/>
        </w:rPr>
      </w:pPr>
      <w:r>
        <w:rPr>
          <w:rFonts w:hint="eastAsia" w:ascii="仿宋_GB2312"/>
          <w:color w:val="000000" w:themeColor="text1"/>
        </w:rPr>
        <w:t>配合完成街应急指挥部交办的其他应急安全工作任务。</w:t>
      </w:r>
    </w:p>
    <w:p>
      <w:pPr>
        <w:pStyle w:val="4"/>
        <w:ind w:firstLine="394"/>
      </w:pPr>
      <w:r>
        <w:rPr>
          <w:rFonts w:hint="eastAsia"/>
        </w:rPr>
        <w:t>3.5.3塘沽公安消防大队、新北街消防中队、海洋高新区消防中队</w:t>
      </w:r>
    </w:p>
    <w:p>
      <w:pPr>
        <w:numPr>
          <w:ilvl w:val="0"/>
          <w:numId w:val="13"/>
        </w:numPr>
        <w:ind w:firstLineChars="0"/>
        <w:rPr>
          <w:rFonts w:ascii="仿宋_GB2312"/>
          <w:color w:val="000000" w:themeColor="text1"/>
        </w:rPr>
      </w:pPr>
      <w:r>
        <w:rPr>
          <w:rFonts w:hint="eastAsia" w:ascii="仿宋_GB2312"/>
          <w:color w:val="000000" w:themeColor="text1"/>
        </w:rPr>
        <w:t>参加生产安全事故引发火灾等次生、衍生灾害现场抢险工作，防范发生次生、衍生灾害；</w:t>
      </w:r>
    </w:p>
    <w:p>
      <w:pPr>
        <w:numPr>
          <w:ilvl w:val="0"/>
          <w:numId w:val="13"/>
        </w:numPr>
        <w:ind w:firstLineChars="0"/>
        <w:rPr>
          <w:rFonts w:ascii="仿宋_GB2312"/>
          <w:color w:val="000000" w:themeColor="text1"/>
        </w:rPr>
      </w:pPr>
      <w:r>
        <w:rPr>
          <w:rFonts w:hint="eastAsia" w:ascii="仿宋_GB2312"/>
          <w:color w:val="000000" w:themeColor="text1"/>
        </w:rPr>
        <w:t>组织搜救被困群众和受伤人员，配合街道疏散转移安置受灾人员；</w:t>
      </w:r>
    </w:p>
    <w:p>
      <w:pPr>
        <w:numPr>
          <w:ilvl w:val="0"/>
          <w:numId w:val="13"/>
        </w:numPr>
        <w:ind w:firstLineChars="0"/>
        <w:rPr>
          <w:rFonts w:ascii="仿宋_GB2312"/>
          <w:color w:val="000000" w:themeColor="text1"/>
        </w:rPr>
      </w:pPr>
      <w:r>
        <w:rPr>
          <w:rFonts w:hint="eastAsia" w:ascii="仿宋_GB2312"/>
          <w:color w:val="000000" w:themeColor="text1"/>
        </w:rPr>
        <w:t>配合完成街应急指挥部交办的其他应急安全工作任务。</w:t>
      </w:r>
    </w:p>
    <w:p>
      <w:pPr>
        <w:pStyle w:val="3"/>
        <w:ind w:firstLine="301"/>
      </w:pPr>
      <w:bookmarkStart w:id="50" w:name="_Toc49846943"/>
      <w:r>
        <w:rPr>
          <w:rFonts w:hint="eastAsia"/>
        </w:rPr>
        <w:t>2.6现场指挥部职责</w:t>
      </w:r>
      <w:bookmarkEnd w:id="45"/>
      <w:bookmarkEnd w:id="46"/>
      <w:bookmarkEnd w:id="47"/>
      <w:bookmarkEnd w:id="48"/>
      <w:bookmarkEnd w:id="49"/>
      <w:bookmarkEnd w:id="50"/>
    </w:p>
    <w:p>
      <w:pPr>
        <w:ind w:firstLine="560"/>
        <w:rPr>
          <w:rFonts w:ascii="仿宋_GB2312"/>
          <w:color w:val="000000" w:themeColor="text1"/>
        </w:rPr>
      </w:pPr>
      <w:r>
        <w:rPr>
          <w:rFonts w:hint="eastAsia" w:ascii="仿宋_GB2312"/>
          <w:color w:val="000000" w:themeColor="text1"/>
        </w:rPr>
        <w:t>根据响应级别及应急处置工作需要，由应急指挥部牵头成立新北街生产安全事故现场指挥部（以下简称现场指挥部）。现场指挥部由总指挥、副总指挥和各工作组组成，实行现场总指挥负责制。</w:t>
      </w:r>
    </w:p>
    <w:p>
      <w:pPr>
        <w:ind w:firstLine="560"/>
        <w:rPr>
          <w:rFonts w:ascii="仿宋_GB2312"/>
          <w:color w:val="000000" w:themeColor="text1"/>
        </w:rPr>
      </w:pPr>
      <w:r>
        <w:rPr>
          <w:rFonts w:hint="eastAsia" w:ascii="仿宋_GB2312"/>
          <w:color w:val="000000" w:themeColor="text1"/>
        </w:rPr>
        <w:t>现场指挥部工作职责是：统一组织、协调相关部门、单位调动应急救援队伍，调拨应急救援物资装备，开展应急处置工作；组织伤员救治、人员疏散转移和群众安置工作，维护现场治安和交通秩序；随时向应急指挥部报告处置情况，发现事态有进一步扩大趋势，立即报请应急指挥部协调升级应急响应级别，宣布现场应急处置结束。根据工作需要，设立以下工作组：</w:t>
      </w:r>
    </w:p>
    <w:p>
      <w:pPr>
        <w:pStyle w:val="4"/>
        <w:ind w:firstLine="394"/>
      </w:pPr>
      <w:r>
        <w:rPr>
          <w:rFonts w:hint="eastAsia"/>
        </w:rPr>
        <w:t>2.6.1施救处置组</w:t>
      </w:r>
    </w:p>
    <w:p>
      <w:pPr>
        <w:ind w:firstLine="560"/>
        <w:rPr>
          <w:rFonts w:ascii="仿宋_GB2312"/>
          <w:color w:val="000000" w:themeColor="text1"/>
        </w:rPr>
      </w:pPr>
      <w:r>
        <w:rPr>
          <w:rFonts w:hint="eastAsia" w:ascii="仿宋_GB2312"/>
          <w:color w:val="000000" w:themeColor="text1"/>
        </w:rPr>
        <w:t>牵头单位：公共安全办公室</w:t>
      </w:r>
    </w:p>
    <w:p>
      <w:pPr>
        <w:ind w:firstLine="560"/>
        <w:rPr>
          <w:rFonts w:ascii="仿宋_GB2312"/>
          <w:color w:val="000000" w:themeColor="text1"/>
        </w:rPr>
      </w:pPr>
      <w:r>
        <w:rPr>
          <w:rFonts w:hint="eastAsia" w:ascii="仿宋_GB2312"/>
          <w:color w:val="000000" w:themeColor="text1"/>
        </w:rPr>
        <w:t>成员单位：经济发展办公室、公共服务办公室、公共管理办公室、街综合执法大队、社区建设办公室、物业办、武装部、塘沽消防救援部门、新北街消防中队、海洋高新区消防中队、相关社区居委会、事故单位</w:t>
      </w:r>
    </w:p>
    <w:p>
      <w:pPr>
        <w:ind w:firstLine="560"/>
        <w:rPr>
          <w:rFonts w:ascii="仿宋_GB2312"/>
          <w:color w:val="000000" w:themeColor="text1"/>
        </w:rPr>
      </w:pPr>
      <w:r>
        <w:rPr>
          <w:rFonts w:hint="eastAsia" w:ascii="仿宋_GB2312"/>
          <w:color w:val="000000" w:themeColor="text1"/>
        </w:rPr>
        <w:t>施救处置组具体职责是：</w:t>
      </w:r>
    </w:p>
    <w:p>
      <w:pPr>
        <w:numPr>
          <w:ilvl w:val="2"/>
          <w:numId w:val="14"/>
        </w:numPr>
        <w:ind w:firstLineChars="0"/>
        <w:rPr>
          <w:rFonts w:ascii="仿宋_GB2312"/>
          <w:color w:val="000000" w:themeColor="text1"/>
        </w:rPr>
      </w:pPr>
      <w:r>
        <w:rPr>
          <w:rFonts w:hint="eastAsia" w:ascii="仿宋_GB2312"/>
          <w:color w:val="000000" w:themeColor="text1"/>
        </w:rPr>
        <w:t>组织、协调生产安全事故及其次生、衍生灾害的处置和抢险救援；</w:t>
      </w:r>
    </w:p>
    <w:p>
      <w:pPr>
        <w:numPr>
          <w:ilvl w:val="2"/>
          <w:numId w:val="14"/>
        </w:numPr>
        <w:ind w:firstLineChars="0"/>
        <w:rPr>
          <w:rFonts w:ascii="仿宋_GB2312"/>
          <w:color w:val="000000" w:themeColor="text1"/>
        </w:rPr>
      </w:pPr>
      <w:r>
        <w:rPr>
          <w:rFonts w:hint="eastAsia" w:ascii="仿宋_GB2312"/>
          <w:color w:val="000000" w:themeColor="text1"/>
        </w:rPr>
        <w:t>组织、协调搜救被困受伤人员；</w:t>
      </w:r>
    </w:p>
    <w:p>
      <w:pPr>
        <w:numPr>
          <w:ilvl w:val="2"/>
          <w:numId w:val="14"/>
        </w:numPr>
        <w:ind w:firstLineChars="0"/>
        <w:rPr>
          <w:rFonts w:ascii="仿宋_GB2312"/>
          <w:color w:val="000000" w:themeColor="text1"/>
        </w:rPr>
      </w:pPr>
      <w:r>
        <w:rPr>
          <w:rFonts w:hint="eastAsia" w:ascii="仿宋_GB2312"/>
          <w:color w:val="000000" w:themeColor="text1"/>
        </w:rPr>
        <w:t>组织、协调可能发生次生灾害的地点和区域采取应急防护措施。</w:t>
      </w:r>
    </w:p>
    <w:p>
      <w:pPr>
        <w:pStyle w:val="4"/>
        <w:ind w:firstLine="394"/>
      </w:pPr>
      <w:r>
        <w:rPr>
          <w:rFonts w:hint="eastAsia"/>
        </w:rPr>
        <w:t>2.6.2疏散警戒组</w:t>
      </w:r>
    </w:p>
    <w:p>
      <w:pPr>
        <w:ind w:firstLine="560"/>
        <w:rPr>
          <w:rFonts w:ascii="仿宋_GB2312"/>
          <w:color w:val="000000" w:themeColor="text1"/>
        </w:rPr>
      </w:pPr>
      <w:r>
        <w:rPr>
          <w:rFonts w:hint="eastAsia" w:ascii="仿宋_GB2312"/>
          <w:color w:val="000000" w:themeColor="text1"/>
        </w:rPr>
        <w:t>牵头单位：公共管理办公室</w:t>
      </w:r>
    </w:p>
    <w:p>
      <w:pPr>
        <w:ind w:firstLine="560"/>
        <w:rPr>
          <w:rFonts w:ascii="仿宋_GB2312"/>
          <w:color w:val="000000" w:themeColor="text1"/>
        </w:rPr>
      </w:pPr>
      <w:r>
        <w:rPr>
          <w:rFonts w:hint="eastAsia" w:ascii="仿宋_GB2312"/>
          <w:color w:val="000000" w:themeColor="text1"/>
        </w:rPr>
        <w:t>成员单位：街道综合执法大队、新北街出所、交警杭州道大队、相关社区居委会、事发单位、周边单位。</w:t>
      </w:r>
    </w:p>
    <w:p>
      <w:pPr>
        <w:ind w:firstLine="560"/>
        <w:rPr>
          <w:rFonts w:ascii="仿宋_GB2312"/>
          <w:color w:val="000000" w:themeColor="text1"/>
        </w:rPr>
      </w:pPr>
      <w:r>
        <w:rPr>
          <w:rFonts w:hint="eastAsia" w:ascii="仿宋_GB2312"/>
          <w:color w:val="000000" w:themeColor="text1"/>
        </w:rPr>
        <w:t>疏散警戒组具体职责是：</w:t>
      </w:r>
    </w:p>
    <w:p>
      <w:pPr>
        <w:numPr>
          <w:ilvl w:val="0"/>
          <w:numId w:val="15"/>
        </w:numPr>
        <w:ind w:firstLineChars="0"/>
        <w:rPr>
          <w:rFonts w:ascii="仿宋_GB2312"/>
          <w:color w:val="000000" w:themeColor="text1"/>
        </w:rPr>
      </w:pPr>
      <w:r>
        <w:rPr>
          <w:rFonts w:hint="eastAsia" w:ascii="仿宋_GB2312"/>
          <w:color w:val="000000" w:themeColor="text1"/>
        </w:rPr>
        <w:t>根据现场指挥部发布的警报和防护措施，指导相关区域的人员实施疏散及重要物资转移等工作；</w:t>
      </w:r>
    </w:p>
    <w:p>
      <w:pPr>
        <w:numPr>
          <w:ilvl w:val="0"/>
          <w:numId w:val="15"/>
        </w:numPr>
        <w:ind w:firstLineChars="0"/>
        <w:rPr>
          <w:rFonts w:ascii="仿宋_GB2312"/>
          <w:color w:val="000000" w:themeColor="text1"/>
        </w:rPr>
      </w:pPr>
      <w:r>
        <w:rPr>
          <w:rFonts w:hint="eastAsia" w:ascii="仿宋_GB2312"/>
          <w:color w:val="000000" w:themeColor="text1"/>
        </w:rPr>
        <w:t>负责事件现场的警戒和治安管理，维持现场秩序，在人员疏散区域进行治安巡逻；</w:t>
      </w:r>
    </w:p>
    <w:p>
      <w:pPr>
        <w:numPr>
          <w:ilvl w:val="0"/>
          <w:numId w:val="15"/>
        </w:numPr>
        <w:ind w:firstLineChars="0"/>
        <w:rPr>
          <w:rFonts w:ascii="仿宋_GB2312"/>
          <w:color w:val="000000" w:themeColor="text1"/>
        </w:rPr>
      </w:pPr>
      <w:r>
        <w:rPr>
          <w:rFonts w:hint="eastAsia" w:ascii="仿宋_GB2312"/>
          <w:color w:val="000000" w:themeColor="text1"/>
        </w:rPr>
        <w:t>协助交管部门对危害区外围交通路口实施定向、定时封锁，禁止无关车辆进入危险区域，及时疏导交通阻塞，保障救援通道畅通；</w:t>
      </w:r>
    </w:p>
    <w:p>
      <w:pPr>
        <w:numPr>
          <w:ilvl w:val="0"/>
          <w:numId w:val="15"/>
        </w:numPr>
        <w:ind w:firstLineChars="0"/>
        <w:rPr>
          <w:rFonts w:ascii="仿宋_GB2312"/>
          <w:color w:val="000000" w:themeColor="text1"/>
        </w:rPr>
      </w:pPr>
      <w:r>
        <w:rPr>
          <w:rFonts w:hint="eastAsia" w:ascii="仿宋_GB2312"/>
          <w:color w:val="000000" w:themeColor="text1"/>
        </w:rPr>
        <w:t>对重要目标实施重点保护，防范人为破坏现场；</w:t>
      </w:r>
    </w:p>
    <w:p>
      <w:pPr>
        <w:numPr>
          <w:ilvl w:val="0"/>
          <w:numId w:val="15"/>
        </w:numPr>
        <w:ind w:firstLineChars="0"/>
        <w:rPr>
          <w:rFonts w:ascii="仿宋_GB2312"/>
          <w:color w:val="000000" w:themeColor="text1"/>
        </w:rPr>
      </w:pPr>
      <w:r>
        <w:rPr>
          <w:rFonts w:hint="eastAsia" w:ascii="仿宋_GB2312"/>
          <w:color w:val="000000" w:themeColor="text1"/>
        </w:rPr>
        <w:t>统计现场事故伤亡及失踪人员情况。</w:t>
      </w:r>
    </w:p>
    <w:p>
      <w:pPr>
        <w:pStyle w:val="4"/>
        <w:ind w:firstLine="394"/>
      </w:pPr>
      <w:r>
        <w:rPr>
          <w:rFonts w:hint="eastAsia"/>
        </w:rPr>
        <w:t>2.6.3后勤保障组</w:t>
      </w:r>
    </w:p>
    <w:p>
      <w:pPr>
        <w:ind w:firstLine="560"/>
        <w:rPr>
          <w:rFonts w:ascii="仿宋_GB2312"/>
          <w:color w:val="000000" w:themeColor="text1"/>
        </w:rPr>
      </w:pPr>
      <w:r>
        <w:rPr>
          <w:rFonts w:hint="eastAsia" w:ascii="仿宋_GB2312"/>
          <w:color w:val="000000" w:themeColor="text1"/>
        </w:rPr>
        <w:t>牵头单位：综合办公室</w:t>
      </w:r>
    </w:p>
    <w:p>
      <w:pPr>
        <w:ind w:firstLine="560"/>
        <w:rPr>
          <w:rFonts w:ascii="仿宋_GB2312"/>
          <w:color w:val="000000" w:themeColor="text1"/>
        </w:rPr>
      </w:pPr>
      <w:r>
        <w:rPr>
          <w:rFonts w:hint="eastAsia" w:ascii="仿宋_GB2312"/>
          <w:color w:val="000000" w:themeColor="text1"/>
        </w:rPr>
        <w:t>成员单位：公共安全办公室、公共服务办公室、财务部门、涉事单位、具有救援能力的医院、急救中心及相关部门</w:t>
      </w:r>
    </w:p>
    <w:p>
      <w:pPr>
        <w:ind w:firstLine="560"/>
        <w:rPr>
          <w:rFonts w:ascii="仿宋_GB2312"/>
          <w:color w:val="000000" w:themeColor="text1"/>
        </w:rPr>
      </w:pPr>
      <w:r>
        <w:rPr>
          <w:rFonts w:hint="eastAsia" w:ascii="仿宋_GB2312"/>
          <w:color w:val="000000" w:themeColor="text1"/>
        </w:rPr>
        <w:t>后勤保障组具体职责是：</w:t>
      </w:r>
    </w:p>
    <w:p>
      <w:pPr>
        <w:numPr>
          <w:ilvl w:val="0"/>
          <w:numId w:val="16"/>
        </w:numPr>
        <w:ind w:firstLineChars="0"/>
        <w:rPr>
          <w:rFonts w:ascii="仿宋_GB2312"/>
          <w:color w:val="000000" w:themeColor="text1"/>
        </w:rPr>
      </w:pPr>
      <w:r>
        <w:rPr>
          <w:rFonts w:hint="eastAsia" w:ascii="仿宋_GB2312"/>
          <w:color w:val="000000" w:themeColor="text1"/>
        </w:rPr>
        <w:t>负责应急救援所需的通讯、交通、食宿、医药和防护用品的后勤保障工作；</w:t>
      </w:r>
    </w:p>
    <w:p>
      <w:pPr>
        <w:numPr>
          <w:ilvl w:val="0"/>
          <w:numId w:val="16"/>
        </w:numPr>
        <w:ind w:firstLineChars="0"/>
        <w:rPr>
          <w:rFonts w:ascii="仿宋_GB2312"/>
          <w:color w:val="000000" w:themeColor="text1"/>
        </w:rPr>
      </w:pPr>
      <w:r>
        <w:rPr>
          <w:rFonts w:hint="eastAsia" w:ascii="仿宋_GB2312"/>
          <w:color w:val="000000" w:themeColor="text1"/>
        </w:rPr>
        <w:t>组织应急救援器材和设备的供应和调配，紧急调拨运输工具，保证抢险救援人员、物资调拨到位；</w:t>
      </w:r>
    </w:p>
    <w:p>
      <w:pPr>
        <w:numPr>
          <w:ilvl w:val="0"/>
          <w:numId w:val="16"/>
        </w:numPr>
        <w:ind w:firstLineChars="0"/>
        <w:rPr>
          <w:rFonts w:ascii="仿宋_GB2312"/>
          <w:color w:val="000000" w:themeColor="text1"/>
        </w:rPr>
      </w:pPr>
      <w:r>
        <w:rPr>
          <w:rFonts w:hint="eastAsia" w:ascii="仿宋_GB2312"/>
          <w:color w:val="000000" w:themeColor="text1"/>
        </w:rPr>
        <w:t>负责医疗救护工作，协调医疗救护队伍，调集医疗器械、药品，对受伤人员进行医疗救治。</w:t>
      </w:r>
    </w:p>
    <w:p>
      <w:pPr>
        <w:pStyle w:val="4"/>
        <w:ind w:firstLine="394"/>
      </w:pPr>
      <w:r>
        <w:rPr>
          <w:rFonts w:hint="eastAsia"/>
        </w:rPr>
        <w:t>2.6.4信息发布组</w:t>
      </w:r>
    </w:p>
    <w:p>
      <w:pPr>
        <w:ind w:firstLine="560"/>
        <w:rPr>
          <w:rFonts w:ascii="仿宋_GB2312"/>
          <w:color w:val="000000" w:themeColor="text1"/>
        </w:rPr>
      </w:pPr>
      <w:r>
        <w:rPr>
          <w:rFonts w:hint="eastAsia" w:ascii="仿宋_GB2312"/>
          <w:color w:val="000000" w:themeColor="text1"/>
        </w:rPr>
        <w:t>牵头单位：街网信办</w:t>
      </w:r>
    </w:p>
    <w:p>
      <w:pPr>
        <w:ind w:firstLine="560"/>
        <w:rPr>
          <w:rFonts w:ascii="仿宋_GB2312"/>
          <w:color w:val="000000" w:themeColor="text1"/>
        </w:rPr>
      </w:pPr>
      <w:r>
        <w:rPr>
          <w:rFonts w:hint="eastAsia" w:ascii="仿宋_GB2312"/>
          <w:color w:val="000000" w:themeColor="text1"/>
        </w:rPr>
        <w:t>成员单位：街纪检监察部门、安监执法中队、综合办公室、党建办公室、相关媒体</w:t>
      </w:r>
    </w:p>
    <w:p>
      <w:pPr>
        <w:ind w:firstLine="560"/>
        <w:rPr>
          <w:rFonts w:ascii="仿宋_GB2312"/>
          <w:color w:val="000000" w:themeColor="text1"/>
        </w:rPr>
      </w:pPr>
      <w:r>
        <w:rPr>
          <w:rFonts w:hint="eastAsia" w:ascii="仿宋_GB2312"/>
          <w:color w:val="000000" w:themeColor="text1"/>
        </w:rPr>
        <w:t>信息发布组具体职责是：</w:t>
      </w:r>
    </w:p>
    <w:p>
      <w:pPr>
        <w:numPr>
          <w:ilvl w:val="0"/>
          <w:numId w:val="17"/>
        </w:numPr>
        <w:ind w:firstLineChars="0"/>
        <w:rPr>
          <w:rFonts w:ascii="仿宋_GB2312"/>
          <w:color w:val="000000" w:themeColor="text1"/>
        </w:rPr>
      </w:pPr>
      <w:r>
        <w:rPr>
          <w:rFonts w:hint="eastAsia" w:ascii="仿宋_GB2312"/>
          <w:color w:val="000000" w:themeColor="text1"/>
        </w:rPr>
        <w:t>负责组织、协调相关媒体对生产安全事故应急救援新闻信息的采集报道工作；</w:t>
      </w:r>
    </w:p>
    <w:p>
      <w:pPr>
        <w:numPr>
          <w:ilvl w:val="0"/>
          <w:numId w:val="17"/>
        </w:numPr>
        <w:ind w:firstLineChars="0"/>
        <w:rPr>
          <w:rFonts w:ascii="仿宋_GB2312"/>
          <w:color w:val="000000" w:themeColor="text1"/>
        </w:rPr>
      </w:pPr>
      <w:r>
        <w:rPr>
          <w:rFonts w:hint="eastAsia" w:ascii="仿宋_GB2312"/>
          <w:color w:val="000000" w:themeColor="text1"/>
        </w:rPr>
        <w:t>按照街应急指挥部要求，及时对外发布应急处置工作信息；</w:t>
      </w:r>
    </w:p>
    <w:p>
      <w:pPr>
        <w:numPr>
          <w:ilvl w:val="0"/>
          <w:numId w:val="17"/>
        </w:numPr>
        <w:ind w:firstLineChars="0"/>
        <w:rPr>
          <w:rFonts w:ascii="仿宋_GB2312"/>
          <w:color w:val="000000" w:themeColor="text1"/>
        </w:rPr>
      </w:pPr>
      <w:r>
        <w:rPr>
          <w:rFonts w:hint="eastAsia" w:ascii="仿宋_GB2312"/>
          <w:color w:val="000000" w:themeColor="text1"/>
        </w:rPr>
        <w:t>掌控网络舆情，进行正面引导，协调消除负面报道。</w:t>
      </w:r>
    </w:p>
    <w:p>
      <w:pPr>
        <w:pStyle w:val="4"/>
        <w:ind w:firstLine="394"/>
      </w:pPr>
      <w:r>
        <w:rPr>
          <w:rFonts w:hint="eastAsia"/>
        </w:rPr>
        <w:t>2.6.5专家组</w:t>
      </w:r>
    </w:p>
    <w:p>
      <w:pPr>
        <w:ind w:firstLine="560"/>
        <w:rPr>
          <w:rFonts w:ascii="仿宋_GB2312"/>
          <w:color w:val="000000" w:themeColor="text1"/>
        </w:rPr>
      </w:pPr>
      <w:r>
        <w:rPr>
          <w:rFonts w:hint="eastAsia" w:ascii="仿宋_GB2312"/>
          <w:color w:val="000000" w:themeColor="text1"/>
        </w:rPr>
        <w:t>牵头单位：街应急办公室</w:t>
      </w:r>
    </w:p>
    <w:p>
      <w:pPr>
        <w:ind w:firstLine="560"/>
        <w:rPr>
          <w:rFonts w:ascii="仿宋_GB2312"/>
          <w:color w:val="000000" w:themeColor="text1"/>
        </w:rPr>
      </w:pPr>
      <w:r>
        <w:rPr>
          <w:rFonts w:hint="eastAsia" w:ascii="仿宋_GB2312"/>
          <w:color w:val="000000" w:themeColor="text1"/>
        </w:rPr>
        <w:t>成员单位：涉事单位、专家组、公共安全办公室</w:t>
      </w:r>
    </w:p>
    <w:p>
      <w:pPr>
        <w:ind w:firstLine="560"/>
        <w:rPr>
          <w:rFonts w:ascii="仿宋_GB2312"/>
          <w:color w:val="000000" w:themeColor="text1"/>
        </w:rPr>
      </w:pPr>
      <w:r>
        <w:rPr>
          <w:rFonts w:hint="eastAsia" w:ascii="仿宋_GB2312"/>
          <w:color w:val="000000" w:themeColor="text1"/>
        </w:rPr>
        <w:t>专家组具体职责是：</w:t>
      </w:r>
    </w:p>
    <w:p>
      <w:pPr>
        <w:numPr>
          <w:ilvl w:val="0"/>
          <w:numId w:val="18"/>
        </w:numPr>
        <w:ind w:firstLineChars="0"/>
        <w:rPr>
          <w:rFonts w:ascii="仿宋_GB2312"/>
          <w:color w:val="000000" w:themeColor="text1"/>
        </w:rPr>
      </w:pPr>
      <w:r>
        <w:rPr>
          <w:rFonts w:hint="eastAsia" w:ascii="仿宋_GB2312"/>
          <w:color w:val="000000" w:themeColor="text1"/>
        </w:rPr>
        <w:t>协助现场指挥部判断事故危害趋势、程度；</w:t>
      </w:r>
    </w:p>
    <w:p>
      <w:pPr>
        <w:numPr>
          <w:ilvl w:val="0"/>
          <w:numId w:val="18"/>
        </w:numPr>
        <w:ind w:firstLineChars="0"/>
        <w:rPr>
          <w:rFonts w:ascii="仿宋_GB2312"/>
          <w:color w:val="000000" w:themeColor="text1"/>
        </w:rPr>
      </w:pPr>
      <w:r>
        <w:rPr>
          <w:rFonts w:hint="eastAsia" w:ascii="仿宋_GB2312"/>
          <w:color w:val="000000" w:themeColor="text1"/>
        </w:rPr>
        <w:t>分析事故原因，提出应急救援措施和建议；</w:t>
      </w:r>
    </w:p>
    <w:p>
      <w:pPr>
        <w:numPr>
          <w:ilvl w:val="0"/>
          <w:numId w:val="18"/>
        </w:numPr>
        <w:ind w:firstLineChars="0"/>
        <w:rPr>
          <w:rFonts w:ascii="仿宋_GB2312"/>
          <w:color w:val="000000" w:themeColor="text1"/>
        </w:rPr>
      </w:pPr>
      <w:r>
        <w:rPr>
          <w:rFonts w:hint="eastAsia" w:ascii="仿宋_GB2312"/>
          <w:color w:val="000000" w:themeColor="text1"/>
        </w:rPr>
        <w:t>为现场指挥部的决策提供依据参考。</w:t>
      </w:r>
    </w:p>
    <w:p>
      <w:pPr>
        <w:pStyle w:val="3"/>
        <w:ind w:firstLine="301"/>
      </w:pPr>
      <w:bookmarkStart w:id="51" w:name="_Toc49846944"/>
      <w:bookmarkStart w:id="52" w:name="_Toc372203599"/>
      <w:bookmarkStart w:id="53" w:name="_Toc260260032"/>
      <w:bookmarkStart w:id="54" w:name="_Toc258870082"/>
      <w:r>
        <w:rPr>
          <w:rFonts w:hint="eastAsia"/>
        </w:rPr>
        <w:t>2.7基层应急指挥机构</w:t>
      </w:r>
      <w:bookmarkEnd w:id="51"/>
    </w:p>
    <w:bookmarkEnd w:id="52"/>
    <w:bookmarkEnd w:id="53"/>
    <w:bookmarkEnd w:id="54"/>
    <w:p>
      <w:pPr>
        <w:pStyle w:val="4"/>
        <w:ind w:firstLine="394"/>
      </w:pPr>
      <w:r>
        <w:rPr>
          <w:rFonts w:hint="eastAsia"/>
        </w:rPr>
        <w:t>2.7.1各社区居委会</w:t>
      </w:r>
    </w:p>
    <w:p>
      <w:pPr>
        <w:ind w:firstLine="560"/>
        <w:rPr>
          <w:rFonts w:ascii="仿宋_GB2312"/>
          <w:color w:val="000000" w:themeColor="text1"/>
        </w:rPr>
      </w:pPr>
      <w:r>
        <w:rPr>
          <w:rFonts w:hint="eastAsia" w:ascii="仿宋_GB2312"/>
          <w:color w:val="000000" w:themeColor="text1"/>
        </w:rPr>
        <w:t>新北街下辖13个社区居委会和1个居委会筹备组，包括：迎宾园社区居委会、融盛社区居委会、新新家园社区居委会、贻成尚北社区居委会、欧美小镇社区居委会、贻正嘉合社区居委会、贻锦台社区居委会、蓝山国际社区居委会、首创国际社区居委会、晓镇家园社区居委会、贻成豪庭社区居委会、诺德名苑社区居委会、贻成峰景社区居委会、桃源居社区居委会筹备组。</w:t>
      </w:r>
    </w:p>
    <w:p>
      <w:pPr>
        <w:ind w:firstLine="560"/>
        <w:rPr>
          <w:rFonts w:ascii="仿宋_GB2312"/>
          <w:color w:val="000000" w:themeColor="text1"/>
        </w:rPr>
      </w:pPr>
      <w:r>
        <w:rPr>
          <w:rFonts w:hint="eastAsia" w:ascii="仿宋_GB2312"/>
          <w:color w:val="000000" w:themeColor="text1"/>
        </w:rPr>
        <w:t>新北街社区居委会应成立以主要负责同志为组长的应急工作组，参加本区域安全应急处理、抢险救援、事故调查、现场恢复和善后等项工作；建立社区居委会应急志愿者队伍，储备必要的应急物资，开展应急宣传教育及突发事件应急演练，生产安全事故发生后第一时间报告生产安全事故情况，组织开展先期处置工作。</w:t>
      </w:r>
    </w:p>
    <w:p>
      <w:pPr>
        <w:pStyle w:val="4"/>
        <w:ind w:firstLine="394"/>
      </w:pPr>
      <w:r>
        <w:rPr>
          <w:rFonts w:hint="eastAsia"/>
        </w:rPr>
        <w:t>2.7.2重点企业生产经营单位</w:t>
      </w:r>
    </w:p>
    <w:p>
      <w:pPr>
        <w:numPr>
          <w:ilvl w:val="0"/>
          <w:numId w:val="19"/>
        </w:numPr>
        <w:ind w:firstLineChars="0"/>
        <w:rPr>
          <w:rFonts w:ascii="仿宋_GB2312"/>
          <w:color w:val="000000" w:themeColor="text1"/>
        </w:rPr>
      </w:pPr>
      <w:r>
        <w:rPr>
          <w:rFonts w:hint="eastAsia" w:ascii="仿宋_GB2312"/>
          <w:color w:val="000000" w:themeColor="text1"/>
        </w:rPr>
        <w:t>根据国家相关法律、法规的要求，制定完善本单位安全管理规章制度和生产安全事故应急预案，并报新北街应急办公室备案；</w:t>
      </w:r>
    </w:p>
    <w:p>
      <w:pPr>
        <w:numPr>
          <w:ilvl w:val="0"/>
          <w:numId w:val="19"/>
        </w:numPr>
        <w:ind w:firstLineChars="0"/>
        <w:rPr>
          <w:rFonts w:ascii="仿宋_GB2312"/>
          <w:color w:val="000000" w:themeColor="text1"/>
        </w:rPr>
      </w:pPr>
      <w:r>
        <w:rPr>
          <w:rFonts w:hint="eastAsia" w:ascii="仿宋_GB2312"/>
          <w:color w:val="000000" w:themeColor="text1"/>
        </w:rPr>
        <w:t>组织训练本单位应急救援队伍，配备必要的防护、救援器材和设备，指定专人管理，定期进行检查和维护保养，确保完好，承担本单位生产安全事故的自救任务；</w:t>
      </w:r>
    </w:p>
    <w:p>
      <w:pPr>
        <w:numPr>
          <w:ilvl w:val="0"/>
          <w:numId w:val="19"/>
        </w:numPr>
        <w:ind w:firstLineChars="0"/>
        <w:rPr>
          <w:rFonts w:ascii="仿宋_GB2312"/>
          <w:color w:val="000000" w:themeColor="text1"/>
        </w:rPr>
      </w:pPr>
      <w:r>
        <w:rPr>
          <w:rFonts w:hint="eastAsia" w:ascii="仿宋_GB2312"/>
          <w:color w:val="000000" w:themeColor="text1"/>
        </w:rPr>
        <w:t>对职工进行生产安全事故应急救援知识培训；</w:t>
      </w:r>
    </w:p>
    <w:p>
      <w:pPr>
        <w:numPr>
          <w:ilvl w:val="0"/>
          <w:numId w:val="19"/>
        </w:numPr>
        <w:ind w:firstLineChars="0"/>
        <w:rPr>
          <w:rFonts w:ascii="仿宋_GB2312"/>
          <w:color w:val="000000" w:themeColor="text1"/>
        </w:rPr>
      </w:pPr>
      <w:r>
        <w:rPr>
          <w:rFonts w:hint="eastAsia" w:ascii="仿宋_GB2312"/>
          <w:color w:val="000000" w:themeColor="text1"/>
        </w:rPr>
        <w:t>发生生产安全事故时，立即启动本单位相关应急救援预案，组织抢险救援。根据事件危害情况和事态发展趋势，做出扩大应急决定，并立即向新北街道应急部门报告；</w:t>
      </w:r>
    </w:p>
    <w:p>
      <w:pPr>
        <w:numPr>
          <w:ilvl w:val="0"/>
          <w:numId w:val="19"/>
        </w:numPr>
        <w:ind w:firstLineChars="0"/>
        <w:rPr>
          <w:rFonts w:ascii="仿宋_GB2312"/>
          <w:color w:val="000000" w:themeColor="text1"/>
        </w:rPr>
      </w:pPr>
      <w:r>
        <w:rPr>
          <w:rFonts w:hint="eastAsia" w:ascii="仿宋_GB2312"/>
          <w:color w:val="000000" w:themeColor="text1"/>
        </w:rPr>
        <w:t>事故发生后，协助做好事发区域周围群众的防护和撤离工作，为救援工作提供必要的协助；</w:t>
      </w:r>
    </w:p>
    <w:p>
      <w:pPr>
        <w:numPr>
          <w:ilvl w:val="0"/>
          <w:numId w:val="19"/>
        </w:numPr>
        <w:ind w:firstLineChars="0"/>
        <w:rPr>
          <w:rFonts w:ascii="仿宋_GB2312"/>
          <w:color w:val="000000" w:themeColor="text1"/>
        </w:rPr>
      </w:pPr>
      <w:r>
        <w:rPr>
          <w:rFonts w:hint="eastAsia" w:ascii="仿宋_GB2312"/>
          <w:color w:val="000000" w:themeColor="text1"/>
        </w:rPr>
        <w:t>事故应急救援结束后配合有关部门开展事故调查处置工作，恢复企业生产。</w:t>
      </w:r>
    </w:p>
    <w:p>
      <w:pPr>
        <w:ind w:firstLine="560"/>
        <w:rPr>
          <w:rFonts w:ascii="仿宋_GB2312"/>
          <w:color w:val="000000" w:themeColor="text1"/>
        </w:rPr>
        <w:sectPr>
          <w:footerReference r:id="rId12" w:type="default"/>
          <w:pgSz w:w="11905" w:h="16838"/>
          <w:pgMar w:top="1418" w:right="1134" w:bottom="1134" w:left="1588" w:header="850" w:footer="850" w:gutter="0"/>
          <w:pgNumType w:start="1"/>
          <w:cols w:space="720" w:num="1"/>
          <w:docGrid w:linePitch="628" w:charSpace="0"/>
        </w:sectPr>
      </w:pPr>
      <w:r>
        <w:rPr>
          <w:rFonts w:hint="eastAsia" w:ascii="仿宋_GB2312"/>
          <w:color w:val="000000" w:themeColor="text1"/>
        </w:rPr>
        <w:t>企业生产经营单位的生产安全事故应急救援工作由该单位主要负责人负责，分管负责人、生产、经营、安全部门或指定的部门按职责负责应急准备工作和组织应急事故救援工作。</w:t>
      </w:r>
    </w:p>
    <w:p>
      <w:pPr>
        <w:pStyle w:val="2"/>
        <w:ind w:firstLine="161"/>
      </w:pPr>
      <w:bookmarkStart w:id="55" w:name="_Toc49846945"/>
      <w:r>
        <w:rPr>
          <w:rFonts w:hint="eastAsia"/>
        </w:rPr>
        <w:t>3 预防与预警</w:t>
      </w:r>
      <w:bookmarkEnd w:id="55"/>
    </w:p>
    <w:p>
      <w:pPr>
        <w:pStyle w:val="3"/>
        <w:ind w:firstLine="301"/>
      </w:pPr>
      <w:bookmarkStart w:id="56" w:name="_Toc459034220"/>
      <w:bookmarkStart w:id="57" w:name="_Toc462410596"/>
      <w:bookmarkStart w:id="58" w:name="_Toc459795128"/>
      <w:bookmarkStart w:id="59" w:name="_Toc458440301"/>
      <w:bookmarkStart w:id="60" w:name="_Toc459017525"/>
      <w:bookmarkStart w:id="61" w:name="_Toc475773764"/>
      <w:bookmarkStart w:id="62" w:name="_Toc49846946"/>
      <w:r>
        <w:rPr>
          <w:rFonts w:hint="eastAsia"/>
        </w:rPr>
        <w:t>3.1</w:t>
      </w:r>
      <w:bookmarkEnd w:id="56"/>
      <w:bookmarkEnd w:id="57"/>
      <w:bookmarkEnd w:id="58"/>
      <w:bookmarkEnd w:id="59"/>
      <w:bookmarkEnd w:id="60"/>
      <w:bookmarkEnd w:id="61"/>
      <w:r>
        <w:rPr>
          <w:rFonts w:hint="eastAsia"/>
        </w:rPr>
        <w:t>隐患排查与治理</w:t>
      </w:r>
      <w:bookmarkEnd w:id="62"/>
    </w:p>
    <w:p>
      <w:pPr>
        <w:ind w:firstLine="560"/>
        <w:rPr>
          <w:rFonts w:ascii="仿宋_GB2312"/>
          <w:color w:val="000000" w:themeColor="text1"/>
        </w:rPr>
      </w:pPr>
      <w:r>
        <w:rPr>
          <w:rFonts w:hint="eastAsia" w:ascii="仿宋_GB2312"/>
          <w:color w:val="000000" w:themeColor="text1"/>
        </w:rPr>
        <w:t>各生产经营单位应制定隐患排查计划，定期开展隐患排查治理，对排查出的每一个隐患，要落实整改责任部门和责任人，对短期内能够完成整改的隐患要立即消除。对情况复杂、短期内难以完成整改的隐患，要制定有效的防范措施，限期完成整改。新北街道对无上级主管的企业和生产经营单位开展安全兼顾检查，对发现的重大安全隐患进行挂牌督办或依法停产关闭。</w:t>
      </w:r>
    </w:p>
    <w:p>
      <w:pPr>
        <w:pStyle w:val="3"/>
        <w:ind w:firstLine="301"/>
      </w:pPr>
      <w:bookmarkStart w:id="63" w:name="_Toc49846947"/>
      <w:r>
        <w:rPr>
          <w:rFonts w:hint="eastAsia"/>
        </w:rPr>
        <w:t>3.2信息报告</w:t>
      </w:r>
      <w:bookmarkEnd w:id="63"/>
    </w:p>
    <w:p>
      <w:pPr>
        <w:pStyle w:val="4"/>
        <w:ind w:firstLine="394"/>
      </w:pPr>
      <w:bookmarkStart w:id="64" w:name="_Toc8111684"/>
      <w:r>
        <w:rPr>
          <w:rFonts w:hint="eastAsia"/>
        </w:rPr>
        <w:t>3.2.1信息接收与通报</w:t>
      </w:r>
      <w:bookmarkEnd w:id="64"/>
    </w:p>
    <w:p>
      <w:pPr>
        <w:pStyle w:val="5"/>
        <w:ind w:firstLine="562"/>
      </w:pPr>
      <w:r>
        <w:rPr>
          <w:rFonts w:hint="eastAsia"/>
        </w:rPr>
        <w:t>3.2.1.1信息接收与通报</w:t>
      </w:r>
    </w:p>
    <w:p>
      <w:pPr>
        <w:numPr>
          <w:ilvl w:val="2"/>
          <w:numId w:val="20"/>
        </w:numPr>
        <w:ind w:firstLineChars="0"/>
        <w:rPr>
          <w:rFonts w:ascii="仿宋_GB2312" w:cs="Times New Roman"/>
          <w:color w:val="000000" w:themeColor="text1"/>
        </w:rPr>
      </w:pPr>
      <w:r>
        <w:rPr>
          <w:rFonts w:hint="eastAsia" w:ascii="仿宋_GB2312" w:cs="Times New Roman"/>
          <w:color w:val="000000" w:themeColor="text1"/>
        </w:rPr>
        <w:t>生产安全事故发生后，事故单位应立即拨打</w:t>
      </w:r>
      <w:r>
        <w:rPr>
          <w:rFonts w:hint="eastAsia" w:ascii="仿宋_GB2312" w:hAnsi="Times New Roman" w:cs="Times New Roman"/>
          <w:color w:val="000000" w:themeColor="text1"/>
        </w:rPr>
        <w:t>119</w:t>
      </w:r>
      <w:r>
        <w:rPr>
          <w:rFonts w:hint="eastAsia" w:ascii="仿宋_GB2312" w:cs="Times New Roman"/>
          <w:color w:val="000000" w:themeColor="text1"/>
        </w:rPr>
        <w:t>、</w:t>
      </w:r>
      <w:r>
        <w:rPr>
          <w:rFonts w:hint="eastAsia" w:ascii="仿宋_GB2312" w:hAnsi="Times New Roman" w:cs="Times New Roman"/>
          <w:color w:val="000000" w:themeColor="text1"/>
        </w:rPr>
        <w:t>110</w:t>
      </w:r>
      <w:r>
        <w:rPr>
          <w:rFonts w:hint="eastAsia" w:ascii="仿宋_GB2312" w:cs="Times New Roman"/>
          <w:color w:val="000000" w:themeColor="text1"/>
        </w:rPr>
        <w:t>、</w:t>
      </w:r>
      <w:r>
        <w:rPr>
          <w:rFonts w:hint="eastAsia" w:ascii="仿宋_GB2312" w:hAnsi="Times New Roman" w:cs="Times New Roman"/>
          <w:color w:val="000000" w:themeColor="text1"/>
        </w:rPr>
        <w:t>120</w:t>
      </w:r>
      <w:r>
        <w:rPr>
          <w:rFonts w:hint="eastAsia" w:ascii="仿宋_GB2312" w:cs="Times New Roman"/>
          <w:color w:val="000000" w:themeColor="text1"/>
        </w:rPr>
        <w:t>等报警电话，同时事故单位负责人应立即向新北街安全应急部门报告。日间，事故单位负责人应向街公共安全办公室报告，公共安全办当班人员立即向公共安全办领导报告，经领导同意后向生产安全事故应急办公室报告；夜间，事故单位负责人应立即向新北街应急值班室报告，值班人员立即向带班领导报告，带班领导向主管领导报告，生产安全事故专项应急指挥部办公室应立即进行核实，组织有关领导对生产安全事故的性质、类别、事故等级进行研判，并报告总指挥。生产安全事故信息应在30分钟内向区人民政府口头报告，50分钟内书面报告生产安全事故的基本情况，不得迟报、漏报、谎报和瞒报。</w:t>
      </w:r>
    </w:p>
    <w:p>
      <w:pPr>
        <w:numPr>
          <w:ilvl w:val="2"/>
          <w:numId w:val="20"/>
        </w:numPr>
        <w:ind w:firstLineChars="0"/>
        <w:rPr>
          <w:rFonts w:ascii="仿宋_GB2312" w:cs="Times New Roman"/>
          <w:color w:val="000000" w:themeColor="text1"/>
        </w:rPr>
      </w:pPr>
      <w:r>
        <w:rPr>
          <w:rFonts w:hint="eastAsia" w:ascii="仿宋_GB2312" w:cs="Times New Roman"/>
          <w:color w:val="000000" w:themeColor="text1"/>
        </w:rPr>
        <w:t>获知生产安全事故信息的人员，在紧急情况下，可直接向滨海新区人民政府报告，同时向街道办事处报告。</w:t>
      </w:r>
    </w:p>
    <w:p>
      <w:pPr>
        <w:pStyle w:val="5"/>
        <w:ind w:firstLine="562"/>
      </w:pPr>
      <w:r>
        <w:rPr>
          <w:rFonts w:hint="eastAsia"/>
        </w:rPr>
        <w:t>3.2.1.2报告内容</w:t>
      </w:r>
    </w:p>
    <w:p>
      <w:pPr>
        <w:ind w:firstLine="560"/>
        <w:rPr>
          <w:rFonts w:ascii="仿宋_GB2312"/>
          <w:color w:val="000000" w:themeColor="text1"/>
        </w:rPr>
      </w:pPr>
      <w:r>
        <w:rPr>
          <w:rFonts w:hint="eastAsia" w:ascii="仿宋_GB2312"/>
          <w:color w:val="000000" w:themeColor="text1"/>
        </w:rPr>
        <w:t>报告内容包括以下方面：</w:t>
      </w:r>
    </w:p>
    <w:p>
      <w:pPr>
        <w:numPr>
          <w:ilvl w:val="0"/>
          <w:numId w:val="21"/>
        </w:numPr>
        <w:ind w:firstLineChars="0"/>
        <w:rPr>
          <w:rFonts w:ascii="仿宋_GB2312"/>
          <w:color w:val="000000" w:themeColor="text1"/>
        </w:rPr>
      </w:pPr>
      <w:r>
        <w:rPr>
          <w:rFonts w:hint="eastAsia" w:ascii="仿宋_GB2312"/>
          <w:color w:val="000000" w:themeColor="text1"/>
        </w:rPr>
        <w:t>事故发生单位概况；</w:t>
      </w:r>
    </w:p>
    <w:p>
      <w:pPr>
        <w:numPr>
          <w:ilvl w:val="0"/>
          <w:numId w:val="21"/>
        </w:numPr>
        <w:ind w:firstLineChars="0"/>
        <w:rPr>
          <w:rFonts w:ascii="仿宋_GB2312"/>
          <w:color w:val="000000" w:themeColor="text1"/>
        </w:rPr>
      </w:pPr>
      <w:r>
        <w:rPr>
          <w:rFonts w:hint="eastAsia" w:ascii="仿宋_GB2312"/>
          <w:color w:val="000000" w:themeColor="text1"/>
        </w:rPr>
        <w:t>事故发生的时间、地点以及事故现场情况；</w:t>
      </w:r>
    </w:p>
    <w:p>
      <w:pPr>
        <w:numPr>
          <w:ilvl w:val="0"/>
          <w:numId w:val="21"/>
        </w:numPr>
        <w:ind w:firstLineChars="0"/>
        <w:rPr>
          <w:rFonts w:ascii="仿宋_GB2312"/>
          <w:color w:val="000000" w:themeColor="text1"/>
        </w:rPr>
      </w:pPr>
      <w:r>
        <w:rPr>
          <w:rFonts w:hint="eastAsia" w:ascii="仿宋_GB2312"/>
          <w:color w:val="000000" w:themeColor="text1"/>
        </w:rPr>
        <w:t>事故的简要经过；</w:t>
      </w:r>
    </w:p>
    <w:p>
      <w:pPr>
        <w:numPr>
          <w:ilvl w:val="0"/>
          <w:numId w:val="21"/>
        </w:numPr>
        <w:ind w:firstLineChars="0"/>
        <w:rPr>
          <w:rFonts w:ascii="仿宋_GB2312"/>
          <w:color w:val="000000" w:themeColor="text1"/>
        </w:rPr>
      </w:pPr>
      <w:r>
        <w:rPr>
          <w:rFonts w:hint="eastAsia" w:ascii="仿宋_GB2312"/>
          <w:color w:val="000000" w:themeColor="text1"/>
        </w:rPr>
        <w:t>事故已经造成或者可能造成的伤亡人数（包括下落不明的人数）和初步估计的直接经济损失；</w:t>
      </w:r>
    </w:p>
    <w:p>
      <w:pPr>
        <w:numPr>
          <w:ilvl w:val="0"/>
          <w:numId w:val="21"/>
        </w:numPr>
        <w:ind w:firstLineChars="0"/>
        <w:rPr>
          <w:rFonts w:ascii="仿宋_GB2312"/>
          <w:color w:val="000000" w:themeColor="text1"/>
        </w:rPr>
      </w:pPr>
      <w:r>
        <w:rPr>
          <w:rFonts w:hint="eastAsia" w:ascii="仿宋_GB2312"/>
          <w:color w:val="000000" w:themeColor="text1"/>
        </w:rPr>
        <w:t>已经采取的措施；</w:t>
      </w:r>
    </w:p>
    <w:p>
      <w:pPr>
        <w:numPr>
          <w:ilvl w:val="0"/>
          <w:numId w:val="21"/>
        </w:numPr>
        <w:ind w:firstLineChars="0"/>
        <w:rPr>
          <w:rFonts w:ascii="仿宋_GB2312"/>
          <w:color w:val="000000" w:themeColor="text1"/>
        </w:rPr>
      </w:pPr>
      <w:r>
        <w:rPr>
          <w:rFonts w:hint="eastAsia" w:ascii="仿宋_GB2312"/>
          <w:color w:val="000000" w:themeColor="text1"/>
        </w:rPr>
        <w:t>其他应当报告的情况；</w:t>
      </w:r>
    </w:p>
    <w:p>
      <w:pPr>
        <w:pStyle w:val="5"/>
        <w:ind w:firstLine="562"/>
      </w:pPr>
      <w:r>
        <w:rPr>
          <w:rFonts w:hint="eastAsia"/>
        </w:rPr>
        <w:t>3.2.1.3报告方式</w:t>
      </w:r>
    </w:p>
    <w:p>
      <w:pPr>
        <w:ind w:firstLine="560"/>
        <w:rPr>
          <w:rFonts w:ascii="仿宋_GB2312"/>
          <w:color w:val="000000" w:themeColor="text1"/>
        </w:rPr>
      </w:pPr>
      <w:r>
        <w:rPr>
          <w:rFonts w:hint="eastAsia" w:ascii="仿宋_GB2312"/>
          <w:color w:val="000000" w:themeColor="text1"/>
        </w:rPr>
        <w:t>报告方式包括以下方面：</w:t>
      </w:r>
    </w:p>
    <w:p>
      <w:pPr>
        <w:numPr>
          <w:ilvl w:val="0"/>
          <w:numId w:val="22"/>
        </w:numPr>
        <w:ind w:firstLineChars="0"/>
        <w:rPr>
          <w:rFonts w:ascii="仿宋_GB2312"/>
          <w:color w:val="000000" w:themeColor="text1"/>
        </w:rPr>
      </w:pPr>
      <w:r>
        <w:rPr>
          <w:rFonts w:hint="eastAsia" w:ascii="仿宋_GB2312"/>
          <w:color w:val="000000" w:themeColor="text1"/>
        </w:rPr>
        <w:t>采用电话、传真的方式报送；</w:t>
      </w:r>
    </w:p>
    <w:p>
      <w:pPr>
        <w:numPr>
          <w:ilvl w:val="0"/>
          <w:numId w:val="22"/>
        </w:numPr>
        <w:ind w:firstLineChars="0"/>
        <w:rPr>
          <w:rFonts w:ascii="仿宋_GB2312"/>
          <w:color w:val="000000" w:themeColor="text1"/>
        </w:rPr>
      </w:pPr>
      <w:r>
        <w:rPr>
          <w:rFonts w:hint="eastAsia" w:ascii="仿宋_GB2312"/>
          <w:color w:val="000000" w:themeColor="text1"/>
        </w:rPr>
        <w:t>鉴于生产安全事故较为敏感，甚至涉及到保密信息，涉及网络报送的，只能采用政务内网进行报告；</w:t>
      </w:r>
    </w:p>
    <w:p>
      <w:pPr>
        <w:numPr>
          <w:ilvl w:val="0"/>
          <w:numId w:val="22"/>
        </w:numPr>
        <w:ind w:firstLineChars="0"/>
        <w:rPr>
          <w:rFonts w:ascii="仿宋_GB2312"/>
          <w:color w:val="000000" w:themeColor="text1"/>
        </w:rPr>
      </w:pPr>
      <w:r>
        <w:rPr>
          <w:rFonts w:hint="eastAsia" w:ascii="仿宋_GB2312"/>
          <w:color w:val="000000" w:themeColor="text1"/>
        </w:rPr>
        <w:t>情况紧急时，初报可通过电话报告，但应当及时补充书面报告。书面报告中应当载明事件报告单位、报告签发人、联系人及联系方式等内容。</w:t>
      </w:r>
    </w:p>
    <w:p>
      <w:pPr>
        <w:pStyle w:val="4"/>
        <w:ind w:firstLine="394"/>
      </w:pPr>
      <w:bookmarkStart w:id="65" w:name="_Toc8111685"/>
      <w:r>
        <w:rPr>
          <w:rFonts w:hint="eastAsia"/>
        </w:rPr>
        <w:t>3.2.2信息上报</w:t>
      </w:r>
      <w:bookmarkEnd w:id="65"/>
    </w:p>
    <w:p>
      <w:pPr>
        <w:ind w:firstLine="560"/>
        <w:rPr>
          <w:rFonts w:ascii="仿宋_GB2312"/>
          <w:color w:val="000000" w:themeColor="text1"/>
        </w:rPr>
      </w:pPr>
      <w:r>
        <w:rPr>
          <w:rFonts w:hint="eastAsia" w:ascii="仿宋_GB2312"/>
          <w:color w:val="000000" w:themeColor="text1"/>
        </w:rPr>
        <w:t>应急办公室接到生产安全事故报告后，应立即进行核实，组织各应急指挥部成员单位对生产安全事故的性质、类别、事故等级进行研判，并根据事故级别，报请总指挥，请求启动本应急预案，进行相应级别应急响应及应急救援行动。</w:t>
      </w:r>
    </w:p>
    <w:p>
      <w:pPr>
        <w:pStyle w:val="4"/>
        <w:ind w:firstLine="394"/>
      </w:pPr>
      <w:bookmarkStart w:id="66" w:name="_Toc8111686"/>
      <w:r>
        <w:rPr>
          <w:rFonts w:hint="eastAsia"/>
        </w:rPr>
        <w:t>3.2.3信息传递</w:t>
      </w:r>
      <w:bookmarkEnd w:id="66"/>
    </w:p>
    <w:p>
      <w:pPr>
        <w:ind w:firstLine="560"/>
        <w:rPr>
          <w:rFonts w:ascii="仿宋_GB2312"/>
          <w:color w:val="000000" w:themeColor="text1"/>
        </w:rPr>
      </w:pPr>
      <w:r>
        <w:rPr>
          <w:rFonts w:hint="eastAsia" w:ascii="仿宋_GB2312"/>
          <w:color w:val="000000" w:themeColor="text1"/>
        </w:rPr>
        <w:t>应急办公室组织核实、研判事故情况后，按街应急指挥部要求，向有关成员单位、协作单位及时通报情况，请求参与应急救援。</w:t>
      </w:r>
    </w:p>
    <w:p>
      <w:pPr>
        <w:pStyle w:val="3"/>
        <w:ind w:firstLine="301"/>
      </w:pPr>
      <w:bookmarkStart w:id="67" w:name="_Toc49846948"/>
      <w:bookmarkStart w:id="68" w:name="_Toc475773765"/>
      <w:r>
        <w:rPr>
          <w:rFonts w:hint="eastAsia"/>
        </w:rPr>
        <w:t>3.3预警行动</w:t>
      </w:r>
      <w:bookmarkEnd w:id="67"/>
      <w:bookmarkEnd w:id="68"/>
    </w:p>
    <w:p>
      <w:pPr>
        <w:pStyle w:val="4"/>
        <w:ind w:firstLine="394"/>
      </w:pPr>
      <w:bookmarkStart w:id="69" w:name="_Toc431387250"/>
      <w:bookmarkStart w:id="70" w:name="_Toc475773766"/>
      <w:bookmarkStart w:id="71" w:name="_Toc459017534"/>
      <w:bookmarkStart w:id="72" w:name="_Toc431385136"/>
      <w:bookmarkStart w:id="73" w:name="_Toc459034229"/>
      <w:bookmarkStart w:id="74" w:name="_Toc462410603"/>
      <w:bookmarkStart w:id="75" w:name="_Toc431389762"/>
      <w:bookmarkStart w:id="76" w:name="_Toc459795136"/>
      <w:r>
        <w:rPr>
          <w:rFonts w:hint="eastAsia"/>
        </w:rPr>
        <w:t>3.3.1</w:t>
      </w:r>
      <w:bookmarkEnd w:id="69"/>
      <w:bookmarkEnd w:id="70"/>
      <w:bookmarkEnd w:id="71"/>
      <w:bookmarkEnd w:id="72"/>
      <w:bookmarkEnd w:id="73"/>
      <w:bookmarkEnd w:id="74"/>
      <w:bookmarkEnd w:id="75"/>
      <w:bookmarkEnd w:id="76"/>
      <w:r>
        <w:rPr>
          <w:rFonts w:hint="eastAsia"/>
        </w:rPr>
        <w:t>预警分级</w:t>
      </w:r>
    </w:p>
    <w:p>
      <w:pPr>
        <w:ind w:firstLine="560"/>
        <w:rPr>
          <w:rFonts w:ascii="仿宋_GB2312"/>
          <w:color w:val="000000" w:themeColor="text1"/>
        </w:rPr>
      </w:pPr>
      <w:r>
        <w:rPr>
          <w:rFonts w:hint="eastAsia" w:ascii="仿宋_GB2312"/>
          <w:color w:val="000000" w:themeColor="text1"/>
        </w:rPr>
        <w:t>应急指挥部根据《中华人民共和国突发事件应对法》、《天津市实施《中华人民共和国突发事件应对法》办法》的规定，决定并宣布进入预警期，同时向区人民政府报告。</w:t>
      </w:r>
    </w:p>
    <w:p>
      <w:pPr>
        <w:ind w:firstLine="560"/>
        <w:rPr>
          <w:rFonts w:ascii="仿宋_GB2312"/>
          <w:color w:val="000000" w:themeColor="text1"/>
        </w:rPr>
      </w:pPr>
      <w:r>
        <w:rPr>
          <w:rFonts w:hint="eastAsia" w:ascii="仿宋_GB2312"/>
          <w:color w:val="000000" w:themeColor="text1"/>
        </w:rPr>
        <w:t>生产安全事故预警分为常态预警和事故状态预警。</w:t>
      </w:r>
    </w:p>
    <w:p>
      <w:pPr>
        <w:pStyle w:val="5"/>
        <w:ind w:firstLine="562"/>
      </w:pPr>
      <w:r>
        <w:rPr>
          <w:rFonts w:hint="eastAsia"/>
        </w:rPr>
        <w:t>3.3.1.1常态预警</w:t>
      </w:r>
    </w:p>
    <w:p>
      <w:pPr>
        <w:ind w:firstLine="560"/>
        <w:rPr>
          <w:rFonts w:ascii="仿宋_GB2312"/>
          <w:color w:val="000000" w:themeColor="text1"/>
        </w:rPr>
      </w:pPr>
      <w:r>
        <w:rPr>
          <w:rFonts w:hint="eastAsia" w:ascii="仿宋_GB2312"/>
          <w:color w:val="000000" w:themeColor="text1"/>
        </w:rPr>
        <w:t>常态预警为应急办公室接到气象、水务、地震、发电企业、供电企业等部门发布的预警信息后，对预警信息内容进行研判，确定可能引发生产安全事故，发出相应级别警报。</w:t>
      </w:r>
    </w:p>
    <w:p>
      <w:pPr>
        <w:ind w:firstLine="560"/>
        <w:rPr>
          <w:rFonts w:ascii="仿宋_GB2312"/>
          <w:color w:val="000000" w:themeColor="text1"/>
        </w:rPr>
      </w:pPr>
      <w:r>
        <w:rPr>
          <w:rFonts w:hint="eastAsia" w:ascii="仿宋_GB2312"/>
          <w:color w:val="000000" w:themeColor="text1"/>
        </w:rPr>
        <w:t>生产安全事故的预警级别，按照生产安全事故发生的紧急程度、发展势态和可能造成的危害程度分为Ⅰ级、Ⅱ级、Ⅲ级和Ⅵ级，分别用红色、橙色、黄色、蓝色表示（红色预警为最高级别预警）。</w:t>
      </w:r>
    </w:p>
    <w:p>
      <w:pPr>
        <w:pStyle w:val="77"/>
      </w:pPr>
      <w:r>
        <w:rPr>
          <w:rFonts w:hint="eastAsia"/>
        </w:rPr>
        <w:t>表3-1 预警级别表</w:t>
      </w:r>
    </w:p>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1"/>
        <w:gridCol w:w="1229"/>
        <w:gridCol w:w="5867"/>
        <w:gridCol w:w="1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2" w:type="pct"/>
            <w:vAlign w:val="center"/>
          </w:tcPr>
          <w:p>
            <w:pPr>
              <w:pStyle w:val="79"/>
              <w:jc w:val="center"/>
              <w:rPr>
                <w:rFonts w:ascii="仿宋_GB2312"/>
                <w:b/>
                <w:color w:val="000000" w:themeColor="text1"/>
              </w:rPr>
            </w:pPr>
            <w:r>
              <w:rPr>
                <w:rFonts w:hint="eastAsia" w:ascii="仿宋_GB2312"/>
                <w:b/>
                <w:color w:val="000000" w:themeColor="text1"/>
              </w:rPr>
              <w:t>预警级别</w:t>
            </w:r>
          </w:p>
        </w:tc>
        <w:tc>
          <w:tcPr>
            <w:tcW w:w="654" w:type="pct"/>
            <w:vAlign w:val="center"/>
          </w:tcPr>
          <w:p>
            <w:pPr>
              <w:pStyle w:val="79"/>
              <w:jc w:val="center"/>
              <w:rPr>
                <w:rFonts w:ascii="仿宋_GB2312"/>
                <w:b/>
                <w:color w:val="000000" w:themeColor="text1"/>
              </w:rPr>
            </w:pPr>
            <w:r>
              <w:rPr>
                <w:rFonts w:hint="eastAsia" w:ascii="仿宋_GB2312"/>
                <w:b/>
                <w:color w:val="000000" w:themeColor="text1"/>
              </w:rPr>
              <w:t>事故</w:t>
            </w:r>
          </w:p>
          <w:p>
            <w:pPr>
              <w:pStyle w:val="79"/>
              <w:jc w:val="center"/>
              <w:rPr>
                <w:rFonts w:ascii="仿宋_GB2312"/>
                <w:b/>
                <w:color w:val="000000" w:themeColor="text1"/>
              </w:rPr>
            </w:pPr>
            <w:r>
              <w:rPr>
                <w:rFonts w:hint="eastAsia" w:ascii="仿宋_GB2312"/>
                <w:b/>
                <w:color w:val="000000" w:themeColor="text1"/>
              </w:rPr>
              <w:t>级别</w:t>
            </w:r>
          </w:p>
        </w:tc>
        <w:tc>
          <w:tcPr>
            <w:tcW w:w="3121" w:type="pct"/>
            <w:vAlign w:val="center"/>
          </w:tcPr>
          <w:p>
            <w:pPr>
              <w:pStyle w:val="79"/>
              <w:jc w:val="center"/>
              <w:rPr>
                <w:rFonts w:ascii="仿宋_GB2312"/>
                <w:b/>
                <w:color w:val="000000" w:themeColor="text1"/>
              </w:rPr>
            </w:pPr>
            <w:r>
              <w:rPr>
                <w:rFonts w:hint="eastAsia" w:ascii="仿宋_GB2312"/>
                <w:b/>
                <w:color w:val="000000" w:themeColor="text1"/>
              </w:rPr>
              <w:t>事故程度</w:t>
            </w:r>
          </w:p>
        </w:tc>
        <w:tc>
          <w:tcPr>
            <w:tcW w:w="783" w:type="pct"/>
            <w:vAlign w:val="center"/>
          </w:tcPr>
          <w:p>
            <w:pPr>
              <w:pStyle w:val="79"/>
              <w:jc w:val="center"/>
              <w:rPr>
                <w:rFonts w:ascii="仿宋_GB2312"/>
                <w:b/>
                <w:color w:val="000000" w:themeColor="text1"/>
              </w:rPr>
            </w:pPr>
            <w:r>
              <w:rPr>
                <w:rFonts w:hint="eastAsia" w:ascii="仿宋_GB2312"/>
                <w:b/>
                <w:color w:val="000000" w:themeColor="text1"/>
              </w:rPr>
              <w:t>预警</w:t>
            </w:r>
          </w:p>
          <w:p>
            <w:pPr>
              <w:pStyle w:val="79"/>
              <w:jc w:val="center"/>
              <w:rPr>
                <w:rFonts w:ascii="仿宋_GB2312"/>
                <w:b/>
                <w:color w:val="000000" w:themeColor="text1"/>
              </w:rPr>
            </w:pPr>
            <w:r>
              <w:rPr>
                <w:rFonts w:hint="eastAsia" w:ascii="仿宋_GB2312"/>
                <w:b/>
                <w:color w:val="000000" w:themeColor="text1"/>
              </w:rPr>
              <w:t>标志色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2" w:type="pct"/>
            <w:vAlign w:val="center"/>
          </w:tcPr>
          <w:p>
            <w:pPr>
              <w:pStyle w:val="79"/>
              <w:rPr>
                <w:rFonts w:ascii="仿宋_GB2312"/>
                <w:color w:val="000000" w:themeColor="text1"/>
              </w:rPr>
            </w:pPr>
            <w:r>
              <w:rPr>
                <w:rFonts w:hint="eastAsia" w:ascii="仿宋_GB2312"/>
                <w:color w:val="000000" w:themeColor="text1"/>
              </w:rPr>
              <w:t>Ⅳ级</w:t>
            </w:r>
          </w:p>
        </w:tc>
        <w:tc>
          <w:tcPr>
            <w:tcW w:w="654" w:type="pct"/>
            <w:vAlign w:val="center"/>
          </w:tcPr>
          <w:p>
            <w:pPr>
              <w:pStyle w:val="79"/>
              <w:rPr>
                <w:rFonts w:ascii="仿宋_GB2312"/>
                <w:color w:val="000000" w:themeColor="text1"/>
              </w:rPr>
            </w:pPr>
            <w:r>
              <w:rPr>
                <w:rFonts w:hint="eastAsia" w:ascii="仿宋_GB2312"/>
                <w:color w:val="000000" w:themeColor="text1"/>
              </w:rPr>
              <w:t>Ⅳ级生产安全事故</w:t>
            </w:r>
          </w:p>
        </w:tc>
        <w:tc>
          <w:tcPr>
            <w:tcW w:w="3121" w:type="pct"/>
            <w:vAlign w:val="center"/>
          </w:tcPr>
          <w:p>
            <w:pPr>
              <w:pStyle w:val="79"/>
              <w:rPr>
                <w:rFonts w:ascii="仿宋_GB2312"/>
                <w:color w:val="000000" w:themeColor="text1"/>
              </w:rPr>
            </w:pPr>
            <w:r>
              <w:rPr>
                <w:rFonts w:hint="eastAsia" w:ascii="仿宋_GB2312"/>
                <w:color w:val="000000" w:themeColor="text1"/>
              </w:rPr>
              <w:t>造成3人以下死亡，或者10人以下重伤，或者1000万元以下直接经济损失的事故。</w:t>
            </w:r>
          </w:p>
        </w:tc>
        <w:tc>
          <w:tcPr>
            <w:tcW w:w="783" w:type="pct"/>
            <w:vAlign w:val="center"/>
          </w:tcPr>
          <w:p>
            <w:pPr>
              <w:pStyle w:val="79"/>
              <w:rPr>
                <w:rFonts w:ascii="仿宋_GB2312"/>
                <w:color w:val="000000" w:themeColor="text1"/>
              </w:rPr>
            </w:pPr>
            <w:r>
              <w:rPr>
                <w:rFonts w:ascii="仿宋_GB2312"/>
                <w:color w:val="000000" w:themeColor="text1"/>
              </w:rPr>
              <mc:AlternateContent>
                <mc:Choice Requires="wps">
                  <w:drawing>
                    <wp:inline distT="0" distB="0" distL="114300" distR="114300">
                      <wp:extent cx="658495" cy="288290"/>
                      <wp:effectExtent l="0" t="0" r="8255" b="16510"/>
                      <wp:docPr id="1" name="文本框 5"/>
                      <wp:cNvGraphicFramePr/>
                      <a:graphic xmlns:a="http://schemas.openxmlformats.org/drawingml/2006/main">
                        <a:graphicData uri="http://schemas.microsoft.com/office/word/2010/wordprocessingShape">
                          <wps:wsp>
                            <wps:cNvSpPr txBox="1"/>
                            <wps:spPr>
                              <a:xfrm>
                                <a:off x="0" y="0"/>
                                <a:ext cx="658495" cy="288290"/>
                              </a:xfrm>
                              <a:prstGeom prst="rect">
                                <a:avLst/>
                              </a:prstGeom>
                              <a:solidFill>
                                <a:srgbClr val="0E0EE2"/>
                              </a:solidFill>
                              <a:ln>
                                <a:noFill/>
                              </a:ln>
                            </wps:spPr>
                            <wps:txbx>
                              <w:txbxContent>
                                <w:p>
                                  <w:pPr>
                                    <w:ind w:firstLine="560"/>
                                  </w:pPr>
                                </w:p>
                              </w:txbxContent>
                            </wps:txbx>
                            <wps:bodyPr upright="1"/>
                          </wps:wsp>
                        </a:graphicData>
                      </a:graphic>
                    </wp:inline>
                  </w:drawing>
                </mc:Choice>
                <mc:Fallback>
                  <w:pict>
                    <v:shape id="文本框 5" o:spid="_x0000_s1026" o:spt="202" type="#_x0000_t202" style="height:22.7pt;width:51.85pt;" fillcolor="#0E0EE2" filled="t" stroked="f" coordsize="21600,21600" o:gfxdata="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1wA0ZtYAAAAEAQAADwAAAAAAAAAB&#10;ACAAAAA4AAAAZHJzL2Rvd25yZXYueG1sUEsBAhQAFAAAAAgAh07iQNiR3W7DAQAAdgMAAA4AAAAA&#10;AAAAAQAgAAAAOwEAAGRycy9lMm9Eb2MueG1sUEsFBgAAAAAGAAYAWQEAAHAFAAAAAA==&#10;">
                      <v:fill on="t" focussize="0,0"/>
                      <v:stroke on="f"/>
                      <v:imagedata o:title=""/>
                      <o:lock v:ext="edit" aspectratio="f"/>
                      <v:textbox>
                        <w:txbxContent>
                          <w:p>
                            <w:pPr>
                              <w:ind w:firstLine="560"/>
                            </w:pPr>
                          </w:p>
                        </w:txbxContent>
                      </v:textbox>
                      <w10:wrap type="none"/>
                      <w10:anchorlock/>
                    </v:shape>
                  </w:pict>
                </mc:Fallback>
              </mc:AlternateContent>
            </w:r>
            <w:del w:id="0" w:author="kylin" w:date="2024-01-19T16:48:32Z"/>
            <w:del w:id="1" w:author="kylin" w:date="2024-01-19T16:48:32Z"/>
            <w:del w:id="2" w:author="kylin" w:date="2024-01-19T16:48:32Z"/>
            <w:del w:id="3" w:author="kylin" w:date="2024-01-19T16:48:32Z"/>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2" w:type="pct"/>
            <w:vAlign w:val="center"/>
          </w:tcPr>
          <w:p>
            <w:pPr>
              <w:pStyle w:val="79"/>
              <w:rPr>
                <w:rFonts w:ascii="仿宋_GB2312"/>
                <w:color w:val="000000" w:themeColor="text1"/>
              </w:rPr>
            </w:pPr>
            <w:r>
              <w:rPr>
                <w:rFonts w:hint="eastAsia" w:ascii="仿宋_GB2312"/>
                <w:color w:val="000000" w:themeColor="text1"/>
              </w:rPr>
              <w:t>Ⅲ级</w:t>
            </w:r>
          </w:p>
        </w:tc>
        <w:tc>
          <w:tcPr>
            <w:tcW w:w="654" w:type="pct"/>
            <w:vAlign w:val="center"/>
          </w:tcPr>
          <w:p>
            <w:pPr>
              <w:pStyle w:val="79"/>
              <w:rPr>
                <w:rFonts w:ascii="仿宋_GB2312"/>
                <w:color w:val="000000" w:themeColor="text1"/>
              </w:rPr>
            </w:pPr>
            <w:r>
              <w:rPr>
                <w:rFonts w:hint="eastAsia" w:ascii="仿宋_GB2312"/>
                <w:color w:val="000000" w:themeColor="text1"/>
              </w:rPr>
              <w:t>Ⅲ级生产安全事故</w:t>
            </w:r>
          </w:p>
        </w:tc>
        <w:tc>
          <w:tcPr>
            <w:tcW w:w="3121" w:type="pct"/>
            <w:vAlign w:val="center"/>
          </w:tcPr>
          <w:p>
            <w:pPr>
              <w:pStyle w:val="79"/>
              <w:rPr>
                <w:rFonts w:ascii="仿宋_GB2312"/>
                <w:color w:val="000000" w:themeColor="text1"/>
              </w:rPr>
            </w:pPr>
            <w:r>
              <w:rPr>
                <w:rFonts w:hint="eastAsia" w:ascii="仿宋_GB2312"/>
                <w:color w:val="000000" w:themeColor="text1"/>
              </w:rPr>
              <w:t>造成3人以上10人以下死亡，或者10人以上50人以下重伤，或者1000万元以上5000万元以下直接经济损失的事故。</w:t>
            </w:r>
          </w:p>
        </w:tc>
        <w:tc>
          <w:tcPr>
            <w:tcW w:w="783" w:type="pct"/>
            <w:vAlign w:val="center"/>
          </w:tcPr>
          <w:p>
            <w:pPr>
              <w:pStyle w:val="79"/>
              <w:rPr>
                <w:rFonts w:ascii="仿宋_GB2312"/>
                <w:color w:val="000000" w:themeColor="text1"/>
              </w:rPr>
            </w:pPr>
            <w:r>
              <w:rPr>
                <w:rFonts w:ascii="仿宋_GB2312"/>
                <w:color w:val="000000" w:themeColor="text1"/>
              </w:rPr>
              <mc:AlternateContent>
                <mc:Choice Requires="wps">
                  <w:drawing>
                    <wp:inline distT="0" distB="0" distL="114300" distR="114300">
                      <wp:extent cx="658495" cy="288290"/>
                      <wp:effectExtent l="0" t="0" r="8255" b="16510"/>
                      <wp:docPr id="2" name="文本框 4"/>
                      <wp:cNvGraphicFramePr/>
                      <a:graphic xmlns:a="http://schemas.openxmlformats.org/drawingml/2006/main">
                        <a:graphicData uri="http://schemas.microsoft.com/office/word/2010/wordprocessingShape">
                          <wps:wsp>
                            <wps:cNvSpPr txBox="1"/>
                            <wps:spPr>
                              <a:xfrm>
                                <a:off x="0" y="0"/>
                                <a:ext cx="658495" cy="288290"/>
                              </a:xfrm>
                              <a:prstGeom prst="rect">
                                <a:avLst/>
                              </a:prstGeom>
                              <a:solidFill>
                                <a:srgbClr val="FFFF00"/>
                              </a:solidFill>
                              <a:ln>
                                <a:noFill/>
                              </a:ln>
                            </wps:spPr>
                            <wps:txbx>
                              <w:txbxContent>
                                <w:p>
                                  <w:pPr>
                                    <w:ind w:firstLine="560"/>
                                  </w:pPr>
                                </w:p>
                                <w:p>
                                  <w:pPr>
                                    <w:ind w:firstLine="560"/>
                                  </w:pPr>
                                </w:p>
                              </w:txbxContent>
                            </wps:txbx>
                            <wps:bodyPr upright="1"/>
                          </wps:wsp>
                        </a:graphicData>
                      </a:graphic>
                    </wp:inline>
                  </w:drawing>
                </mc:Choice>
                <mc:Fallback>
                  <w:pict>
                    <v:shape id="文本框 4" o:spid="_x0000_s1026" o:spt="202" type="#_x0000_t202" style="height:22.7pt;width:51.85pt;" fillcolor="#FFFF00" filled="t" stroked="f" coordsize="21600,21600" o:gfxdata="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PUuL5XSAAAABAEAAA8AAAAAAAAAAQAgAAAA&#10;OAAAAGRycy9kb3ducmV2LnhtbFBLAQIUABQAAAAIAIdO4kBt8jNZwgEAAHYDAAAOAAAAAAAAAAEA&#10;IAAAADcBAABkcnMvZTJvRG9jLnhtbFBLBQYAAAAABgAGAFkBAABrBQAAAAA=&#10;">
                      <v:fill on="t" focussize="0,0"/>
                      <v:stroke on="f"/>
                      <v:imagedata o:title=""/>
                      <o:lock v:ext="edit" aspectratio="f"/>
                      <v:textbox>
                        <w:txbxContent>
                          <w:p>
                            <w:pPr>
                              <w:ind w:firstLine="560"/>
                            </w:pPr>
                          </w:p>
                          <w:p>
                            <w:pPr>
                              <w:ind w:firstLine="560"/>
                            </w:pPr>
                          </w:p>
                        </w:txbxContent>
                      </v:textbox>
                      <w10:wrap type="none"/>
                      <w10:anchorlock/>
                    </v:shape>
                  </w:pict>
                </mc:Fallback>
              </mc:AlternateContent>
            </w:r>
            <w:del w:id="4" w:author="kylin" w:date="2024-01-19T16:48:32Z"/>
            <w:del w:id="5" w:author="kylin" w:date="2024-01-19T16:48:32Z"/>
            <w:del w:id="6" w:author="kylin" w:date="2024-01-19T16:48:32Z"/>
            <w:del w:id="7" w:author="kylin" w:date="2024-01-19T16:48:32Z"/>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2" w:type="pct"/>
            <w:vAlign w:val="center"/>
          </w:tcPr>
          <w:p>
            <w:pPr>
              <w:pStyle w:val="79"/>
              <w:rPr>
                <w:rFonts w:ascii="仿宋_GB2312"/>
                <w:color w:val="000000" w:themeColor="text1"/>
              </w:rPr>
            </w:pPr>
            <w:r>
              <w:rPr>
                <w:rFonts w:hint="eastAsia" w:ascii="仿宋_GB2312"/>
                <w:color w:val="000000" w:themeColor="text1"/>
              </w:rPr>
              <w:t>Ⅱ级</w:t>
            </w:r>
          </w:p>
        </w:tc>
        <w:tc>
          <w:tcPr>
            <w:tcW w:w="654" w:type="pct"/>
            <w:vAlign w:val="center"/>
          </w:tcPr>
          <w:p>
            <w:pPr>
              <w:pStyle w:val="79"/>
              <w:rPr>
                <w:rFonts w:ascii="仿宋_GB2312"/>
                <w:color w:val="000000" w:themeColor="text1"/>
              </w:rPr>
            </w:pPr>
            <w:r>
              <w:rPr>
                <w:rFonts w:hint="eastAsia" w:ascii="仿宋_GB2312"/>
                <w:color w:val="000000" w:themeColor="text1"/>
              </w:rPr>
              <w:t>Ⅱ级生产安全事故</w:t>
            </w:r>
          </w:p>
        </w:tc>
        <w:tc>
          <w:tcPr>
            <w:tcW w:w="3121" w:type="pct"/>
            <w:vAlign w:val="center"/>
          </w:tcPr>
          <w:p>
            <w:pPr>
              <w:pStyle w:val="79"/>
              <w:rPr>
                <w:rFonts w:ascii="仿宋_GB2312"/>
                <w:color w:val="000000" w:themeColor="text1"/>
              </w:rPr>
            </w:pPr>
            <w:r>
              <w:rPr>
                <w:rFonts w:hint="eastAsia" w:ascii="仿宋_GB2312"/>
                <w:color w:val="000000" w:themeColor="text1"/>
              </w:rPr>
              <w:t>造成10人以上30人以下死亡，或者50人以上100人以下重伤，者5000万元以上1亿元以下直接经济损失的事故。</w:t>
            </w:r>
          </w:p>
        </w:tc>
        <w:tc>
          <w:tcPr>
            <w:tcW w:w="783" w:type="pct"/>
            <w:vAlign w:val="center"/>
          </w:tcPr>
          <w:p>
            <w:pPr>
              <w:pStyle w:val="79"/>
              <w:rPr>
                <w:rFonts w:ascii="仿宋_GB2312"/>
                <w:color w:val="000000" w:themeColor="text1"/>
              </w:rPr>
            </w:pPr>
            <w:r>
              <w:rPr>
                <w:rFonts w:ascii="仿宋_GB2312"/>
                <w:color w:val="000000" w:themeColor="text1"/>
              </w:rPr>
              <mc:AlternateContent>
                <mc:Choice Requires="wps">
                  <w:drawing>
                    <wp:inline distT="0" distB="0" distL="114300" distR="114300">
                      <wp:extent cx="643890" cy="288290"/>
                      <wp:effectExtent l="0" t="0" r="3810" b="16510"/>
                      <wp:docPr id="3" name="文本框 3"/>
                      <wp:cNvGraphicFramePr/>
                      <a:graphic xmlns:a="http://schemas.openxmlformats.org/drawingml/2006/main">
                        <a:graphicData uri="http://schemas.microsoft.com/office/word/2010/wordprocessingShape">
                          <wps:wsp>
                            <wps:cNvSpPr txBox="1"/>
                            <wps:spPr>
                              <a:xfrm>
                                <a:off x="0" y="0"/>
                                <a:ext cx="643890" cy="288290"/>
                              </a:xfrm>
                              <a:prstGeom prst="rect">
                                <a:avLst/>
                              </a:prstGeom>
                              <a:solidFill>
                                <a:srgbClr val="F88A10"/>
                              </a:solidFill>
                              <a:ln>
                                <a:noFill/>
                              </a:ln>
                            </wps:spPr>
                            <wps:txbx>
                              <w:txbxContent>
                                <w:p>
                                  <w:pPr>
                                    <w:ind w:firstLine="560"/>
                                  </w:pPr>
                                </w:p>
                              </w:txbxContent>
                            </wps:txbx>
                            <wps:bodyPr upright="1"/>
                          </wps:wsp>
                        </a:graphicData>
                      </a:graphic>
                    </wp:inline>
                  </w:drawing>
                </mc:Choice>
                <mc:Fallback>
                  <w:pict>
                    <v:shape id="_x0000_s1026" o:spid="_x0000_s1026" o:spt="202" type="#_x0000_t202" style="height:22.7pt;width:50.7pt;" fillcolor="#F88A10" filled="t" stroked="f" coordsize="21600,21600" o:gfxdata="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eLHOjNMAAAAEAQAADwAAAAAAAAABACAAAAA4&#10;AAAAZHJzL2Rvd25yZXYueG1sUEsBAhQAFAAAAAgAh07iQLmWqgXAAQAAdgMAAA4AAAAAAAAAAQAg&#10;AAAAOAEAAGRycy9lMm9Eb2MueG1sUEsFBgAAAAAGAAYAWQEAAGoFAAAAAA==&#10;">
                      <v:fill on="t" focussize="0,0"/>
                      <v:stroke on="f"/>
                      <v:imagedata o:title=""/>
                      <o:lock v:ext="edit" aspectratio="f"/>
                      <v:textbox>
                        <w:txbxContent>
                          <w:p>
                            <w:pPr>
                              <w:ind w:firstLine="560"/>
                            </w:pPr>
                          </w:p>
                        </w:txbxContent>
                      </v:textbox>
                      <w10:wrap type="none"/>
                      <w10:anchorlock/>
                    </v:shape>
                  </w:pict>
                </mc:Fallback>
              </mc:AlternateContent>
            </w:r>
            <w:del w:id="8" w:author="kylin" w:date="2024-01-19T16:48:32Z"/>
            <w:del w:id="9" w:author="kylin" w:date="2024-01-19T16:48:32Z"/>
            <w:del w:id="10" w:author="kylin" w:date="2024-01-19T16:48:32Z"/>
            <w:del w:id="11" w:author="kylin" w:date="2024-01-19T16:48:32Z"/>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42" w:type="pct"/>
            <w:vAlign w:val="center"/>
          </w:tcPr>
          <w:p>
            <w:pPr>
              <w:pStyle w:val="79"/>
              <w:rPr>
                <w:rFonts w:ascii="仿宋_GB2312"/>
                <w:color w:val="000000" w:themeColor="text1"/>
              </w:rPr>
            </w:pPr>
            <w:r>
              <w:rPr>
                <w:rFonts w:hint="eastAsia" w:ascii="仿宋_GB2312"/>
                <w:color w:val="000000" w:themeColor="text1"/>
              </w:rPr>
              <w:t>Ⅰ级</w:t>
            </w:r>
          </w:p>
        </w:tc>
        <w:tc>
          <w:tcPr>
            <w:tcW w:w="654" w:type="pct"/>
            <w:vAlign w:val="center"/>
          </w:tcPr>
          <w:p>
            <w:pPr>
              <w:pStyle w:val="79"/>
              <w:rPr>
                <w:rFonts w:ascii="仿宋_GB2312"/>
              </w:rPr>
            </w:pPr>
            <w:r>
              <w:rPr>
                <w:rFonts w:hint="eastAsia" w:ascii="仿宋_GB2312"/>
              </w:rPr>
              <w:t>Ⅰ级生产安全事故</w:t>
            </w:r>
          </w:p>
        </w:tc>
        <w:tc>
          <w:tcPr>
            <w:tcW w:w="3121" w:type="pct"/>
            <w:vAlign w:val="center"/>
          </w:tcPr>
          <w:p>
            <w:pPr>
              <w:pStyle w:val="79"/>
              <w:rPr>
                <w:rFonts w:ascii="仿宋_GB2312"/>
              </w:rPr>
            </w:pPr>
            <w:r>
              <w:rPr>
                <w:rFonts w:hint="eastAsia" w:ascii="仿宋_GB2312"/>
              </w:rPr>
              <w:t>造成30人以上死亡，或者100人以上重伤(包括急性工业中毒，下同)，或者1亿元以上直接经济损失的事故</w:t>
            </w:r>
          </w:p>
        </w:tc>
        <w:tc>
          <w:tcPr>
            <w:tcW w:w="783" w:type="pct"/>
            <w:vAlign w:val="center"/>
          </w:tcPr>
          <w:p>
            <w:pPr>
              <w:pStyle w:val="79"/>
              <w:rPr>
                <w:rFonts w:ascii="仿宋_GB2312"/>
                <w:color w:val="000000" w:themeColor="text1"/>
              </w:rPr>
            </w:pPr>
            <w:r>
              <w:rPr>
                <w:rFonts w:ascii="仿宋_GB2312"/>
                <w:color w:val="000000" w:themeColor="text1"/>
              </w:rPr>
              <mc:AlternateContent>
                <mc:Choice Requires="wps">
                  <w:drawing>
                    <wp:inline distT="0" distB="0" distL="114300" distR="114300">
                      <wp:extent cx="636905" cy="288290"/>
                      <wp:effectExtent l="0" t="0" r="10795" b="16510"/>
                      <wp:docPr id="4" name="文本框 2"/>
                      <wp:cNvGraphicFramePr/>
                      <a:graphic xmlns:a="http://schemas.openxmlformats.org/drawingml/2006/main">
                        <a:graphicData uri="http://schemas.microsoft.com/office/word/2010/wordprocessingShape">
                          <wps:wsp>
                            <wps:cNvSpPr txBox="1"/>
                            <wps:spPr>
                              <a:xfrm>
                                <a:off x="0" y="0"/>
                                <a:ext cx="636905" cy="288290"/>
                              </a:xfrm>
                              <a:prstGeom prst="rect">
                                <a:avLst/>
                              </a:prstGeom>
                              <a:solidFill>
                                <a:srgbClr val="FF0000"/>
                              </a:solidFill>
                              <a:ln>
                                <a:noFill/>
                              </a:ln>
                            </wps:spPr>
                            <wps:txbx>
                              <w:txbxContent>
                                <w:p>
                                  <w:pPr>
                                    <w:ind w:firstLine="560"/>
                                  </w:pPr>
                                </w:p>
                              </w:txbxContent>
                            </wps:txbx>
                            <wps:bodyPr upright="1"/>
                          </wps:wsp>
                        </a:graphicData>
                      </a:graphic>
                    </wp:inline>
                  </w:drawing>
                </mc:Choice>
                <mc:Fallback>
                  <w:pict>
                    <v:shape id="文本框 2" o:spid="_x0000_s1026" o:spt="202" type="#_x0000_t202" style="height:22.7pt;width:50.15pt;" fillcolor="#FF0000" filled="t" stroked="f" coordsize="21600,21600" o:gfxdata="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07T301AAAAAQBAAAPAAAAAAAAAAEA&#10;IAAAADgAAABkcnMvZG93bnJldi54bWxQSwECFAAUAAAACACHTuJAk6JNzsQBAAB2AwAADgAAAAAA&#10;AAABACAAAAA5AQAAZHJzL2Uyb0RvYy54bWxQSwUGAAAAAAYABgBZAQAAbwUAAAAA&#10;">
                      <v:fill on="t" focussize="0,0"/>
                      <v:stroke on="f"/>
                      <v:imagedata o:title=""/>
                      <o:lock v:ext="edit" aspectratio="f"/>
                      <v:textbox>
                        <w:txbxContent>
                          <w:p>
                            <w:pPr>
                              <w:ind w:firstLine="560"/>
                            </w:pPr>
                          </w:p>
                        </w:txbxContent>
                      </v:textbox>
                      <w10:wrap type="none"/>
                      <w10:anchorlock/>
                    </v:shape>
                  </w:pict>
                </mc:Fallback>
              </mc:AlternateContent>
            </w:r>
            <w:del w:id="12" w:author="kylin" w:date="2024-01-19T16:48:32Z"/>
            <w:del w:id="13" w:author="kylin" w:date="2024-01-19T16:48:32Z"/>
            <w:del w:id="14" w:author="kylin" w:date="2024-01-19T16:48:32Z"/>
            <w:del w:id="15" w:author="kylin" w:date="2024-01-19T16:48:32Z"/>
          </w:p>
        </w:tc>
      </w:tr>
    </w:tbl>
    <w:p>
      <w:pPr>
        <w:pStyle w:val="83"/>
      </w:pPr>
    </w:p>
    <w:p>
      <w:pPr>
        <w:ind w:firstLine="560"/>
        <w:rPr>
          <w:rFonts w:ascii="仿宋_GB2312"/>
        </w:rPr>
      </w:pPr>
      <w:r>
        <w:rPr>
          <w:rFonts w:hint="eastAsia" w:ascii="仿宋_GB2312"/>
        </w:rPr>
        <w:t>本预案中所称“以上”包括本数，所称“以下”不包括本数。</w:t>
      </w:r>
    </w:p>
    <w:p>
      <w:pPr>
        <w:pStyle w:val="5"/>
        <w:ind w:firstLine="562"/>
      </w:pPr>
      <w:r>
        <w:rPr>
          <w:rFonts w:hint="eastAsia"/>
        </w:rPr>
        <w:t>3.3.1.2事故状态预警</w:t>
      </w:r>
    </w:p>
    <w:p>
      <w:pPr>
        <w:ind w:firstLine="560"/>
        <w:rPr>
          <w:rFonts w:ascii="仿宋_GB2312"/>
          <w:color w:val="000000" w:themeColor="text1"/>
        </w:rPr>
      </w:pPr>
      <w:r>
        <w:rPr>
          <w:rFonts w:hint="eastAsia" w:ascii="仿宋_GB2312"/>
          <w:color w:val="000000" w:themeColor="text1"/>
        </w:rPr>
        <w:t>事故状态预警为发生生产安全事故后，经现场指挥部对可能导致的次生、衍生事故发展态势进行研判，认为事故可能扩大或可能发生次生、衍生事故时，立即上报应急指挥部。事故状态预警只发布预警信息，不作预警分级。</w:t>
      </w:r>
    </w:p>
    <w:p>
      <w:pPr>
        <w:pStyle w:val="4"/>
        <w:ind w:firstLine="394"/>
      </w:pPr>
      <w:r>
        <w:rPr>
          <w:rFonts w:hint="eastAsia"/>
        </w:rPr>
        <w:t>3.3.2预警发布</w:t>
      </w:r>
    </w:p>
    <w:p>
      <w:pPr>
        <w:ind w:firstLine="560"/>
        <w:rPr>
          <w:rFonts w:ascii="仿宋_GB2312"/>
          <w:color w:val="000000" w:themeColor="text1"/>
        </w:rPr>
      </w:pPr>
      <w:r>
        <w:rPr>
          <w:rFonts w:hint="eastAsia" w:ascii="仿宋_GB2312"/>
          <w:color w:val="000000" w:themeColor="text1"/>
        </w:rPr>
        <w:t>应急指挥部可根据生产安全事故的危害性和紧急程度，及时将有关信息上报，由滨海新区人民政府发布、调整和解除预警信息，新北街应按照突发事件信息发布的有关规定，及时将预警调整信息、预警解除信息向社会转发。</w:t>
      </w:r>
    </w:p>
    <w:p>
      <w:pPr>
        <w:ind w:firstLine="560"/>
        <w:rPr>
          <w:rFonts w:ascii="仿宋_GB2312"/>
          <w:color w:val="000000" w:themeColor="text1"/>
        </w:rPr>
      </w:pPr>
      <w:r>
        <w:rPr>
          <w:rFonts w:hint="eastAsia" w:ascii="仿宋_GB2312"/>
          <w:color w:val="000000" w:themeColor="text1"/>
        </w:rPr>
        <w:t>应急指挥部应充分利用微信、短信、电子显示屏、电话通知等方式，及时、准确地将预警信息传播给社会公众。对老、幼、病、残、孕等特殊人群以及医院、学校等特殊场所和警报盲区，应当采取尽快周知的传播方式，及时将预警信息、建议、劝告传达到有关人群和单位，动员组织群众做好防范应对工作。</w:t>
      </w:r>
    </w:p>
    <w:p>
      <w:pPr>
        <w:pStyle w:val="4"/>
        <w:ind w:firstLine="394"/>
      </w:pPr>
      <w:r>
        <w:rPr>
          <w:rFonts w:hint="eastAsia"/>
        </w:rPr>
        <w:t>3.3.3预警措施</w:t>
      </w:r>
    </w:p>
    <w:p>
      <w:pPr>
        <w:pStyle w:val="5"/>
        <w:ind w:firstLine="562"/>
      </w:pPr>
      <w:bookmarkStart w:id="77" w:name="_Toc459034230"/>
      <w:bookmarkStart w:id="78" w:name="_Toc458440310"/>
      <w:bookmarkStart w:id="79" w:name="_Toc459795138"/>
      <w:bookmarkStart w:id="80" w:name="_Toc475773768"/>
      <w:bookmarkStart w:id="81" w:name="_Toc462410605"/>
      <w:bookmarkStart w:id="82" w:name="_Toc459017535"/>
      <w:r>
        <w:rPr>
          <w:rFonts w:hint="eastAsia"/>
        </w:rPr>
        <w:t>3.3.3.1蓝色（Ⅳ级）预警措施</w:t>
      </w:r>
      <w:bookmarkEnd w:id="77"/>
      <w:bookmarkEnd w:id="78"/>
      <w:bookmarkEnd w:id="79"/>
      <w:bookmarkEnd w:id="80"/>
      <w:bookmarkEnd w:id="81"/>
      <w:bookmarkEnd w:id="82"/>
    </w:p>
    <w:p>
      <w:pPr>
        <w:ind w:firstLine="560"/>
        <w:rPr>
          <w:rFonts w:ascii="仿宋_GB2312"/>
          <w:color w:val="000000" w:themeColor="text1"/>
        </w:rPr>
      </w:pPr>
      <w:r>
        <w:rPr>
          <w:rFonts w:hint="eastAsia" w:ascii="仿宋_GB2312"/>
          <w:color w:val="000000" w:themeColor="text1"/>
        </w:rPr>
        <w:t>发布蓝色警报，宣布进入预警期后，应急指挥部应当根据即将发生的生产安全事故的特点和可能造成的危害，采取下列措施：</w:t>
      </w:r>
    </w:p>
    <w:p>
      <w:pPr>
        <w:numPr>
          <w:ilvl w:val="0"/>
          <w:numId w:val="23"/>
        </w:numPr>
        <w:ind w:firstLineChars="0"/>
        <w:rPr>
          <w:rFonts w:ascii="仿宋_GB2312"/>
          <w:color w:val="000000" w:themeColor="text1"/>
        </w:rPr>
      </w:pPr>
      <w:r>
        <w:rPr>
          <w:rFonts w:hint="eastAsia" w:ascii="仿宋_GB2312"/>
          <w:color w:val="000000" w:themeColor="text1"/>
        </w:rPr>
        <w:t>启动应急预案；</w:t>
      </w:r>
    </w:p>
    <w:p>
      <w:pPr>
        <w:numPr>
          <w:ilvl w:val="0"/>
          <w:numId w:val="23"/>
        </w:numPr>
        <w:ind w:firstLineChars="0"/>
        <w:rPr>
          <w:rFonts w:ascii="仿宋_GB2312"/>
          <w:color w:val="000000" w:themeColor="text1"/>
        </w:rPr>
      </w:pPr>
      <w:r>
        <w:rPr>
          <w:rFonts w:hint="eastAsia" w:ascii="仿宋_GB2312"/>
          <w:color w:val="000000" w:themeColor="text1"/>
        </w:rPr>
        <w:t>有关部门和负有特定职责的人员及时收集、报告有关信息，加强对预警事件发生、发展情况的监测、预报和预警工作；</w:t>
      </w:r>
    </w:p>
    <w:p>
      <w:pPr>
        <w:numPr>
          <w:ilvl w:val="0"/>
          <w:numId w:val="23"/>
        </w:numPr>
        <w:ind w:firstLineChars="0"/>
        <w:rPr>
          <w:rFonts w:ascii="仿宋_GB2312"/>
          <w:color w:val="000000" w:themeColor="text1"/>
        </w:rPr>
      </w:pPr>
      <w:r>
        <w:rPr>
          <w:rFonts w:hint="eastAsia" w:ascii="仿宋_GB2312"/>
          <w:color w:val="000000" w:themeColor="text1"/>
        </w:rPr>
        <w:t>组织有关部门、专业技术人员，随时对预警事件信息进行分析评估，预测可能发生生产安全事故可能性的大小、影响范围和强度以及可能发生的生产安全事故的级别；</w:t>
      </w:r>
    </w:p>
    <w:p>
      <w:pPr>
        <w:numPr>
          <w:ilvl w:val="0"/>
          <w:numId w:val="23"/>
        </w:numPr>
        <w:ind w:firstLineChars="0"/>
        <w:rPr>
          <w:rFonts w:ascii="仿宋_GB2312"/>
          <w:color w:val="000000" w:themeColor="text1"/>
        </w:rPr>
      </w:pPr>
      <w:r>
        <w:rPr>
          <w:rFonts w:hint="eastAsia" w:ascii="仿宋_GB2312"/>
          <w:color w:val="000000" w:themeColor="text1"/>
        </w:rPr>
        <w:t>及时按照有关规定向社会发布可能受到生产安全危害的警告，宣传避免、减轻危害的常识，公布咨询电话。</w:t>
      </w:r>
    </w:p>
    <w:p>
      <w:pPr>
        <w:pStyle w:val="5"/>
        <w:ind w:firstLine="562"/>
      </w:pPr>
      <w:bookmarkStart w:id="83" w:name="_Toc458440311"/>
      <w:bookmarkStart w:id="84" w:name="_Toc459034231"/>
      <w:bookmarkStart w:id="85" w:name="_Toc459017536"/>
      <w:bookmarkStart w:id="86" w:name="_Toc462410606"/>
      <w:bookmarkStart w:id="87" w:name="_Toc475773769"/>
      <w:bookmarkStart w:id="88" w:name="_Toc459795139"/>
      <w:r>
        <w:rPr>
          <w:rFonts w:hint="eastAsia"/>
        </w:rPr>
        <w:t>3.3.3.2红色、橙色、黄色（Ⅰ、Ⅱ、Ⅲ级）预警措施</w:t>
      </w:r>
      <w:bookmarkEnd w:id="83"/>
      <w:bookmarkEnd w:id="84"/>
      <w:bookmarkEnd w:id="85"/>
      <w:bookmarkEnd w:id="86"/>
      <w:bookmarkEnd w:id="87"/>
      <w:bookmarkEnd w:id="88"/>
    </w:p>
    <w:p>
      <w:pPr>
        <w:ind w:firstLine="560"/>
        <w:rPr>
          <w:rFonts w:ascii="仿宋_GB2312"/>
          <w:color w:val="000000" w:themeColor="text1"/>
        </w:rPr>
      </w:pPr>
      <w:r>
        <w:rPr>
          <w:rFonts w:hint="eastAsia" w:ascii="仿宋_GB2312"/>
          <w:color w:val="000000" w:themeColor="text1"/>
        </w:rPr>
        <w:t>发布红色、橙色、黄色警报，宣布进入预警期后，应急指挥部除采取的蓝色预警措施外，还应当针对可能发生的生产安全事故的特点和可能造成的危害，采取下列一项或者多项措施：</w:t>
      </w:r>
    </w:p>
    <w:p>
      <w:pPr>
        <w:numPr>
          <w:ilvl w:val="0"/>
          <w:numId w:val="24"/>
        </w:numPr>
        <w:ind w:firstLineChars="0"/>
        <w:rPr>
          <w:rFonts w:ascii="仿宋_GB2312"/>
          <w:color w:val="000000" w:themeColor="text1"/>
        </w:rPr>
      </w:pPr>
      <w:r>
        <w:rPr>
          <w:rFonts w:hint="eastAsia" w:ascii="仿宋_GB2312"/>
          <w:color w:val="000000" w:themeColor="text1"/>
        </w:rPr>
        <w:t>组织、协调应急救援队伍、负有特定职责的人员进入待命状态，并动员后备人员做好参加应急救援和处置工作的准备；</w:t>
      </w:r>
    </w:p>
    <w:p>
      <w:pPr>
        <w:numPr>
          <w:ilvl w:val="0"/>
          <w:numId w:val="24"/>
        </w:numPr>
        <w:ind w:firstLineChars="0"/>
        <w:rPr>
          <w:rFonts w:ascii="仿宋_GB2312"/>
          <w:color w:val="000000" w:themeColor="text1"/>
        </w:rPr>
      </w:pPr>
      <w:r>
        <w:rPr>
          <w:rFonts w:hint="eastAsia" w:ascii="仿宋_GB2312"/>
          <w:color w:val="000000" w:themeColor="text1"/>
        </w:rPr>
        <w:t>调集应急救援所需物资、设备、工具，准备应急设施和避难场所，并确保其处于良好状态、随时可以投入正常使用；</w:t>
      </w:r>
    </w:p>
    <w:p>
      <w:pPr>
        <w:numPr>
          <w:ilvl w:val="0"/>
          <w:numId w:val="24"/>
        </w:numPr>
        <w:ind w:firstLineChars="0"/>
        <w:rPr>
          <w:rFonts w:ascii="仿宋_GB2312"/>
          <w:color w:val="000000" w:themeColor="text1"/>
        </w:rPr>
      </w:pPr>
      <w:r>
        <w:rPr>
          <w:rFonts w:hint="eastAsia" w:ascii="仿宋_GB2312"/>
          <w:color w:val="000000" w:themeColor="text1"/>
        </w:rPr>
        <w:t>协助、配合有关部门，加强对重要部位和重要基础设施的安全保卫，维护治安秩序；</w:t>
      </w:r>
    </w:p>
    <w:p>
      <w:pPr>
        <w:numPr>
          <w:ilvl w:val="0"/>
          <w:numId w:val="24"/>
        </w:numPr>
        <w:ind w:firstLineChars="0"/>
        <w:rPr>
          <w:rFonts w:ascii="仿宋_GB2312"/>
          <w:color w:val="000000" w:themeColor="text1"/>
        </w:rPr>
      </w:pPr>
      <w:r>
        <w:rPr>
          <w:rFonts w:hint="eastAsia" w:ascii="仿宋_GB2312"/>
          <w:color w:val="000000" w:themeColor="text1"/>
        </w:rPr>
        <w:t>协助、配合有关部门，确保交通、通信、供水、排水、供电、供气、供热等公共设施的安全和正常运行；</w:t>
      </w:r>
    </w:p>
    <w:p>
      <w:pPr>
        <w:numPr>
          <w:ilvl w:val="0"/>
          <w:numId w:val="24"/>
        </w:numPr>
        <w:ind w:firstLineChars="0"/>
        <w:rPr>
          <w:rFonts w:ascii="仿宋_GB2312"/>
          <w:color w:val="000000" w:themeColor="text1"/>
        </w:rPr>
      </w:pPr>
      <w:r>
        <w:rPr>
          <w:rFonts w:hint="eastAsia" w:ascii="仿宋_GB2312"/>
          <w:color w:val="000000" w:themeColor="text1"/>
        </w:rPr>
        <w:t>转移、疏散或者撤离易受生产安全事故危害的人员并予以妥善安置，转移重要财产。</w:t>
      </w:r>
    </w:p>
    <w:p>
      <w:pPr>
        <w:pStyle w:val="4"/>
        <w:ind w:firstLine="394"/>
      </w:pPr>
      <w:bookmarkStart w:id="89" w:name="_Toc475773770"/>
      <w:bookmarkStart w:id="90" w:name="_Toc459795140"/>
      <w:bookmarkStart w:id="91" w:name="_Toc462410607"/>
      <w:r>
        <w:rPr>
          <w:rFonts w:hint="eastAsia"/>
        </w:rPr>
        <w:t>3.3.</w:t>
      </w:r>
      <w:bookmarkEnd w:id="89"/>
      <w:bookmarkEnd w:id="90"/>
      <w:bookmarkEnd w:id="91"/>
      <w:r>
        <w:rPr>
          <w:rFonts w:hint="eastAsia"/>
        </w:rPr>
        <w:t>4预警解除</w:t>
      </w:r>
    </w:p>
    <w:p>
      <w:pPr>
        <w:ind w:firstLine="560"/>
        <w:rPr>
          <w:rFonts w:ascii="仿宋_GB2312"/>
          <w:color w:val="000000" w:themeColor="text1"/>
        </w:rPr>
      </w:pPr>
      <w:r>
        <w:rPr>
          <w:rFonts w:hint="eastAsia" w:ascii="仿宋_GB2312"/>
          <w:color w:val="000000" w:themeColor="text1"/>
        </w:rPr>
        <w:t>常态预警。应急指挥部办公室研判可能造成生产安全事故的预警情况减弱或消失，及时将有关信息上报，由滨海新区人民政府发布预警解除信息，新北街应按照突发事件信息发布的有关规定，及时将预警解除信息向社会转发。</w:t>
      </w:r>
    </w:p>
    <w:p>
      <w:pPr>
        <w:ind w:firstLine="560"/>
        <w:rPr>
          <w:rFonts w:ascii="仿宋_GB2312"/>
          <w:color w:val="000000" w:themeColor="text1"/>
        </w:rPr>
      </w:pPr>
      <w:r>
        <w:rPr>
          <w:rFonts w:hint="eastAsia" w:ascii="仿宋_GB2312"/>
          <w:color w:val="000000" w:themeColor="text1"/>
        </w:rPr>
        <w:t>事故状态预警。事故危害得以控制；可能造成次生、衍生事故的因素已经消除；紧急疏散人员具备恢复正常生活条件时，及时将相关信息上报，由滨海新区人民政府发布预警解除信息，新北街应按照突发事件信息发布的有关规定，及时将预警解除信息向社会转发。</w:t>
      </w:r>
    </w:p>
    <w:p>
      <w:pPr>
        <w:ind w:firstLine="560"/>
        <w:rPr>
          <w:rFonts w:ascii="仿宋_GB2312"/>
          <w:color w:val="000000" w:themeColor="text1"/>
        </w:rPr>
        <w:sectPr>
          <w:type w:val="nextColumn"/>
          <w:pgSz w:w="11905" w:h="16838"/>
          <w:pgMar w:top="1418" w:right="1134" w:bottom="1134" w:left="1588" w:header="850" w:footer="850" w:gutter="0"/>
          <w:cols w:space="720" w:num="1"/>
          <w:docGrid w:linePitch="628" w:charSpace="0"/>
        </w:sectPr>
      </w:pPr>
    </w:p>
    <w:p>
      <w:pPr>
        <w:pStyle w:val="2"/>
        <w:ind w:firstLine="161"/>
      </w:pPr>
      <w:bookmarkStart w:id="92" w:name="_Toc49846949"/>
      <w:r>
        <w:rPr>
          <w:rFonts w:hint="eastAsia"/>
        </w:rPr>
        <w:t>4应急响应</w:t>
      </w:r>
      <w:bookmarkEnd w:id="92"/>
    </w:p>
    <w:p>
      <w:pPr>
        <w:pStyle w:val="3"/>
        <w:ind w:firstLine="301"/>
      </w:pPr>
      <w:bookmarkStart w:id="93" w:name="_Toc49846950"/>
      <w:r>
        <w:rPr>
          <w:rFonts w:hint="eastAsia"/>
        </w:rPr>
        <w:t>4.1先期处置</w:t>
      </w:r>
      <w:bookmarkEnd w:id="93"/>
    </w:p>
    <w:p>
      <w:pPr>
        <w:ind w:firstLine="560"/>
        <w:rPr>
          <w:rFonts w:ascii="仿宋_GB2312"/>
          <w:color w:val="000000" w:themeColor="text1"/>
        </w:rPr>
      </w:pPr>
      <w:r>
        <w:rPr>
          <w:rFonts w:hint="eastAsia" w:ascii="仿宋_GB2312" w:hAnsi="Times New Roman" w:cs="Times New Roman"/>
          <w:color w:val="000000" w:themeColor="text1"/>
        </w:rPr>
        <w:t>1.</w:t>
      </w:r>
      <w:r>
        <w:rPr>
          <w:rFonts w:hint="eastAsia" w:ascii="仿宋_GB2312"/>
          <w:color w:val="000000" w:themeColor="text1"/>
        </w:rPr>
        <w:t>事故发生后，事故单位在报告事故的同时，要立即启动本单位应急预案，在确保安全的前提下组织职工开展自救、互救，尽最大可能减少人员的伤亡。根据事故的类别、规模和危害程度，控制危险源，标明危险区域，封锁危险场所，进行相关监测，杜绝盲目施救；采取其他防止危害扩大的必要措施；在采取可能的应急措施后从业人员发现直接危及人身安全的紧急情况时下达停产撤人命令，组织相关人员疏散至安全区域。</w:t>
      </w:r>
    </w:p>
    <w:p>
      <w:pPr>
        <w:ind w:firstLine="560"/>
        <w:rPr>
          <w:rFonts w:ascii="仿宋_GB2312"/>
          <w:color w:val="000000" w:themeColor="text1"/>
        </w:rPr>
      </w:pPr>
      <w:r>
        <w:rPr>
          <w:rFonts w:hint="eastAsia" w:ascii="仿宋_GB2312" w:hAnsi="Times New Roman" w:cs="Times New Roman"/>
          <w:color w:val="000000" w:themeColor="text1"/>
        </w:rPr>
        <w:t>2.</w:t>
      </w:r>
      <w:r>
        <w:rPr>
          <w:rFonts w:hint="eastAsia" w:ascii="仿宋_GB2312"/>
          <w:color w:val="000000" w:themeColor="text1"/>
        </w:rPr>
        <w:t>应急指挥部街道报告后，根据事故情况，启动本应急预案，并迅速成立现场指挥部，组织伤员抢救、灭火、消毒、人员疏散、隐患处置等工作；立即封锁事故现场，严禁一切无关人员、车辆和物品进入事故危险区域，开辟应急救援人员、车辆及物资进出的专用通道，维持事故现场的社会治安和交通秩序。</w:t>
      </w:r>
    </w:p>
    <w:p>
      <w:pPr>
        <w:pStyle w:val="3"/>
        <w:ind w:firstLine="301"/>
      </w:pPr>
      <w:bookmarkStart w:id="94" w:name="_Toc459034234"/>
      <w:bookmarkStart w:id="95" w:name="_Toc462410610"/>
      <w:bookmarkStart w:id="96" w:name="_Toc475773773"/>
      <w:bookmarkStart w:id="97" w:name="_Toc459795143"/>
      <w:bookmarkStart w:id="98" w:name="_Toc459017539"/>
      <w:bookmarkStart w:id="99" w:name="_Toc458440314"/>
      <w:bookmarkStart w:id="100" w:name="_Toc49846951"/>
      <w:r>
        <w:rPr>
          <w:rFonts w:hint="eastAsia"/>
        </w:rPr>
        <w:t>4.2分级</w:t>
      </w:r>
      <w:bookmarkEnd w:id="94"/>
      <w:bookmarkEnd w:id="95"/>
      <w:bookmarkEnd w:id="96"/>
      <w:bookmarkEnd w:id="97"/>
      <w:bookmarkEnd w:id="98"/>
      <w:bookmarkEnd w:id="99"/>
      <w:r>
        <w:rPr>
          <w:rFonts w:hint="eastAsia"/>
        </w:rPr>
        <w:t>响应</w:t>
      </w:r>
      <w:bookmarkEnd w:id="100"/>
    </w:p>
    <w:p>
      <w:pPr>
        <w:pStyle w:val="4"/>
        <w:ind w:firstLine="394"/>
      </w:pPr>
      <w:r>
        <w:rPr>
          <w:rFonts w:hint="eastAsia"/>
        </w:rPr>
        <w:t>4.2.1响应级别</w:t>
      </w:r>
    </w:p>
    <w:p>
      <w:pPr>
        <w:ind w:firstLine="560"/>
        <w:rPr>
          <w:rFonts w:ascii="仿宋_GB2312"/>
          <w:color w:val="000000" w:themeColor="text1"/>
        </w:rPr>
      </w:pPr>
      <w:r>
        <w:rPr>
          <w:rFonts w:hint="eastAsia" w:ascii="仿宋_GB2312"/>
          <w:color w:val="000000" w:themeColor="text1"/>
        </w:rPr>
        <w:t>根据事故危害程度、影响范围和处置能力，本街道生产安全事故分为二级响应，即Ⅰ级、Ⅱ级，Ⅰ级响应对应预警分级的红色、橙色、黄色预警，Ⅱ级响应对应预警分级的蓝色预警（Ⅰ级应急响应为最高级应急响应）。</w:t>
      </w:r>
    </w:p>
    <w:p>
      <w:pPr>
        <w:spacing w:after="60"/>
        <w:ind w:firstLine="560"/>
        <w:rPr>
          <w:rFonts w:ascii="仿宋_GB2312"/>
          <w:color w:val="000000" w:themeColor="text1"/>
        </w:rPr>
      </w:pPr>
      <w:r>
        <w:rPr>
          <w:rFonts w:hint="eastAsia" w:ascii="仿宋_GB2312"/>
          <w:color w:val="000000" w:themeColor="text1"/>
        </w:rPr>
        <w:t>Ⅰ级响应。生产安全事故涉及新北街较大范围或需要调动新北街以外的应急处置力量，新北街应急指挥部研判新北街应急能力无法有效应对发生的生产安全事故；需要滨海新区人民政府统一指挥进行应急救援行动；已经或将要导致人员较大及以上伤亡、造成经济较大及以上损失或造成较大及以上危害的；应急指挥部组织应急救援力量，执行上级政府的处置决定。</w:t>
      </w:r>
    </w:p>
    <w:p>
      <w:pPr>
        <w:pStyle w:val="107"/>
        <w:shd w:val="clear" w:color="auto" w:fill="auto"/>
        <w:spacing w:line="540" w:lineRule="exact"/>
        <w:ind w:firstLine="520" w:firstLineChars="200"/>
        <w:rPr>
          <w:rFonts w:ascii="仿宋_GB2312" w:cs="宋体"/>
          <w:color w:val="000000" w:themeColor="text1"/>
          <w:kern w:val="2"/>
          <w:sz w:val="28"/>
          <w:szCs w:val="28"/>
        </w:rPr>
      </w:pPr>
      <w:r>
        <w:rPr>
          <w:rFonts w:hint="eastAsia" w:ascii="仿宋_GB2312"/>
          <w:color w:val="000000" w:themeColor="text1"/>
        </w:rPr>
        <w:t>Ⅱ</w:t>
      </w:r>
      <w:r>
        <w:rPr>
          <w:rFonts w:hint="eastAsia" w:ascii="仿宋_GB2312" w:cs="Microsoft JhengHei Light"/>
          <w:color w:val="000000" w:themeColor="text1"/>
          <w:spacing w:val="20"/>
          <w:sz w:val="28"/>
          <w:szCs w:val="24"/>
          <w:lang w:val="zh-TW" w:bidi="zh-TW"/>
        </w:rPr>
        <w:t>级响应。</w:t>
      </w:r>
      <w:r>
        <w:rPr>
          <w:rFonts w:hint="eastAsia" w:ascii="仿宋_GB2312" w:cs="宋体"/>
          <w:color w:val="000000" w:themeColor="text1"/>
          <w:kern w:val="2"/>
          <w:sz w:val="28"/>
          <w:szCs w:val="28"/>
        </w:rPr>
        <w:t>生产安全事故发生在新北街范围内，需要调动事发单位以外的应急处置能力；应急指挥部研判新北街应急能力可以有效应对突发的生产安全事故；事故已经或可能导致人员死亡、重伤，造成经济一般损失或造成一般危害的；应急指挥部决定启动应急预案并上报上级部门。</w:t>
      </w:r>
    </w:p>
    <w:p>
      <w:pPr>
        <w:pStyle w:val="4"/>
        <w:ind w:firstLine="394"/>
        <w:rPr>
          <w:lang w:bidi="zh-TW"/>
        </w:rPr>
      </w:pPr>
      <w:r>
        <w:rPr>
          <w:rFonts w:hint="eastAsia"/>
          <w:lang w:val="zh-TW" w:bidi="zh-TW"/>
        </w:rPr>
        <w:t>4.2.2</w:t>
      </w:r>
      <w:r>
        <w:rPr>
          <w:rFonts w:hint="eastAsia"/>
          <w:lang w:bidi="zh-TW"/>
        </w:rPr>
        <w:t>响应的升级与降级</w:t>
      </w:r>
    </w:p>
    <w:p>
      <w:pPr>
        <w:pStyle w:val="107"/>
        <w:spacing w:line="560" w:lineRule="exact"/>
        <w:ind w:firstLine="560" w:firstLineChars="200"/>
        <w:rPr>
          <w:rFonts w:ascii="仿宋_GB2312" w:cs="宋体"/>
          <w:color w:val="000000" w:themeColor="text1"/>
          <w:kern w:val="2"/>
          <w:sz w:val="28"/>
          <w:szCs w:val="28"/>
        </w:rPr>
      </w:pPr>
      <w:r>
        <w:rPr>
          <w:rFonts w:hint="eastAsia" w:ascii="仿宋_GB2312" w:cs="宋体"/>
          <w:color w:val="000000" w:themeColor="text1"/>
          <w:kern w:val="2"/>
          <w:sz w:val="28"/>
          <w:szCs w:val="28"/>
        </w:rPr>
        <w:t>一旦生产安全事故有蔓延扩大的趋势、情况复杂难以控制时，应逐级上报（必要时可越级上报），及时提升预警和响应级别，移交现场指挥权。生产安全事故危害已经减缓和消除，不会进一步扩散，应逐级报告上级政府，相应降低或解除预警和响应级别。</w:t>
      </w:r>
    </w:p>
    <w:p>
      <w:pPr>
        <w:pStyle w:val="3"/>
        <w:ind w:firstLine="301"/>
      </w:pPr>
      <w:bookmarkStart w:id="101" w:name="_Toc475773774"/>
      <w:bookmarkStart w:id="102" w:name="_Toc49846952"/>
      <w:bookmarkStart w:id="103" w:name="_Toc459017540"/>
      <w:bookmarkStart w:id="104" w:name="_Toc459034235"/>
      <w:bookmarkStart w:id="105" w:name="_Toc462410611"/>
      <w:bookmarkStart w:id="106" w:name="_Toc458440315"/>
      <w:bookmarkStart w:id="107" w:name="_Toc459795144"/>
      <w:r>
        <w:rPr>
          <w:rFonts w:hint="eastAsia"/>
        </w:rPr>
        <w:t>4.3响应程序</w:t>
      </w:r>
      <w:bookmarkEnd w:id="101"/>
      <w:bookmarkEnd w:id="102"/>
      <w:bookmarkEnd w:id="103"/>
      <w:bookmarkEnd w:id="104"/>
      <w:bookmarkEnd w:id="105"/>
      <w:bookmarkEnd w:id="106"/>
      <w:bookmarkEnd w:id="107"/>
    </w:p>
    <w:p>
      <w:pPr>
        <w:pStyle w:val="4"/>
        <w:ind w:firstLine="394"/>
      </w:pPr>
      <w:r>
        <w:rPr>
          <w:rFonts w:hint="eastAsia"/>
        </w:rPr>
        <w:t>4.3.1响应程序</w:t>
      </w:r>
    </w:p>
    <w:p>
      <w:pPr>
        <w:spacing w:after="60"/>
        <w:ind w:firstLine="560"/>
        <w:rPr>
          <w:rFonts w:ascii="仿宋_GB2312"/>
          <w:color w:val="000000" w:themeColor="text1"/>
        </w:rPr>
      </w:pPr>
      <w:r>
        <w:rPr>
          <w:rFonts w:hint="eastAsia" w:ascii="仿宋_GB2312"/>
          <w:color w:val="000000" w:themeColor="text1"/>
        </w:rPr>
        <w:t>启动一级响应时，应急指挥部组织企业及各方力量进行能力范围内的前期处置工作，等待上级部门到达现场后移交指挥权。滨海新区人民政府相关部门到达现场后，在滨海新区人民政府、有关部门的统一领导下，新北街道办事处主任、分管副主任、相关成员单位主要领导迅速赶赴现场，服从滨海新区人民政府的统一指挥调配；新北街道办事处调动各方面应急力量和资源，执行滨海新区人民政府的紧急救援行动，应急指挥部在滨海新区人民政府的领导下开展紧急救援行动。现场应急指挥部按照滨海新区人民政府的统一指挥，迅速组织救援队伍，启动救援装备、物资，展开抢险救援工作。</w:t>
      </w:r>
    </w:p>
    <w:p>
      <w:pPr>
        <w:spacing w:after="60"/>
        <w:ind w:firstLine="560"/>
        <w:rPr>
          <w:rFonts w:ascii="仿宋_GB2312"/>
          <w:color w:val="000000" w:themeColor="text1"/>
        </w:rPr>
      </w:pPr>
      <w:r>
        <w:rPr>
          <w:rFonts w:hint="eastAsia" w:ascii="仿宋_GB2312"/>
          <w:color w:val="000000" w:themeColor="text1"/>
        </w:rPr>
        <w:t>启动二级响应时，由应急指挥部研判后启动相应级别应急预案和应急响应，在应急指挥部的统一领导下，各成员单位、协作单位主要领导，视情况迅速赶赴现场实施现场指挥；应急指挥部调动各方面应急力量和资源，由应急指挥部副总指挥担任现场指挥部主指挥长，组织进行紧急救援行动。现场指挥部各工作组按照应急指挥部的统一指挥，迅速组织救援队伍，启动救援装备、物资，展开抢险救援工作。及时向应急指挥部汇报现场情况，若出现超出应急指挥部处置能力时，申请升级应急响应级别，向滨海新区人民政府申请支持，协同做好相关处置工作。</w:t>
      </w:r>
    </w:p>
    <w:p>
      <w:pPr>
        <w:pStyle w:val="4"/>
        <w:ind w:firstLine="394"/>
      </w:pPr>
      <w:bookmarkStart w:id="108" w:name="_Toc475773776"/>
      <w:r>
        <w:rPr>
          <w:rFonts w:hint="eastAsia"/>
        </w:rPr>
        <w:t>4.3.2应急指挥原则及程序</w:t>
      </w:r>
      <w:bookmarkEnd w:id="108"/>
    </w:p>
    <w:p>
      <w:pPr>
        <w:numPr>
          <w:ilvl w:val="0"/>
          <w:numId w:val="25"/>
        </w:numPr>
        <w:ind w:firstLineChars="0"/>
        <w:rPr>
          <w:rFonts w:ascii="仿宋_GB2312"/>
          <w:color w:val="000000" w:themeColor="text1"/>
        </w:rPr>
      </w:pPr>
      <w:r>
        <w:rPr>
          <w:rFonts w:hint="eastAsia" w:ascii="仿宋_GB2312"/>
          <w:color w:val="000000" w:themeColor="text1"/>
        </w:rPr>
        <w:t>企业生产经营单位突发生产安全事故，进行可能的前期紧急处置，同时向应急指挥部汇报；应急指挥部接到事故报告后，相关成员应立即赶往现场首先进行信息可靠性的确认，再对事故灾害性质、程度、发展趋势进行分析，并将结果汇报应急办公室，同时协助做好应急救援和处置工作。</w:t>
      </w:r>
    </w:p>
    <w:p>
      <w:pPr>
        <w:numPr>
          <w:ilvl w:val="0"/>
          <w:numId w:val="25"/>
        </w:numPr>
        <w:ind w:firstLineChars="0"/>
        <w:rPr>
          <w:rFonts w:ascii="仿宋_GB2312"/>
          <w:color w:val="000000" w:themeColor="text1"/>
        </w:rPr>
      </w:pPr>
      <w:r>
        <w:rPr>
          <w:rFonts w:hint="eastAsia" w:ascii="仿宋_GB2312"/>
          <w:color w:val="000000" w:themeColor="text1"/>
        </w:rPr>
        <w:t>若启动应急预案，应急指挥部选派相关成员单位应以最快速度前往事发现场，根据情况成立现场应急指挥部，统一指挥抢险救援工作。并根据事故灾害严重程度，做出应急范围、应急启动程度、应急力量的调动、设备和物资的调集、疏散的范围等相应决定。</w:t>
      </w:r>
    </w:p>
    <w:p>
      <w:pPr>
        <w:numPr>
          <w:ilvl w:val="0"/>
          <w:numId w:val="25"/>
        </w:numPr>
        <w:ind w:firstLineChars="0"/>
        <w:rPr>
          <w:rFonts w:ascii="仿宋_GB2312"/>
          <w:color w:val="000000" w:themeColor="text1"/>
        </w:rPr>
      </w:pPr>
      <w:r>
        <w:rPr>
          <w:rFonts w:hint="eastAsia" w:ascii="仿宋_GB2312"/>
          <w:color w:val="000000" w:themeColor="text1"/>
        </w:rPr>
        <w:t>若上级有关部门或人民政府成立了现场指挥部，应积极予以配合，参加抢险救援工作。</w:t>
      </w:r>
    </w:p>
    <w:p>
      <w:pPr>
        <w:numPr>
          <w:ilvl w:val="0"/>
          <w:numId w:val="25"/>
        </w:numPr>
        <w:ind w:firstLineChars="0"/>
        <w:rPr>
          <w:rFonts w:ascii="仿宋_GB2312"/>
          <w:color w:val="000000" w:themeColor="text1"/>
        </w:rPr>
      </w:pPr>
      <w:r>
        <w:rPr>
          <w:rFonts w:hint="eastAsia" w:ascii="仿宋_GB2312"/>
          <w:color w:val="000000" w:themeColor="text1"/>
        </w:rPr>
        <w:t>当事故影响或可能影响到周边地区，以及周边地区也发生生产安全事故，对公众造成威胁时，应采取多种快捷有效方式及时发出警报（或预警）。告知事故性质、危害程度、自我保护措施、自救逃生及注意事项等，以保证公众或员工能够及时做出自我防护响应。</w:t>
      </w:r>
    </w:p>
    <w:p>
      <w:pPr>
        <w:numPr>
          <w:ilvl w:val="0"/>
          <w:numId w:val="25"/>
        </w:numPr>
        <w:ind w:firstLine="560"/>
        <w:rPr>
          <w:rFonts w:ascii="仿宋_GB2312"/>
          <w:color w:val="000000" w:themeColor="text1"/>
        </w:rPr>
      </w:pPr>
      <w:r>
        <w:rPr>
          <w:rFonts w:hint="eastAsia" w:ascii="仿宋_GB2312"/>
          <w:color w:val="000000" w:themeColor="text1"/>
        </w:rPr>
        <w:t>一旦发生本级响应处置仍不能控制的紧急情况，按照分级响应、分级处置的原则扩大应急响应等级和范围，由应急指挥部发布扩大应急响应级别，并向有关部门进行报告，请求支援。</w:t>
      </w:r>
    </w:p>
    <w:p>
      <w:pPr>
        <w:pStyle w:val="3"/>
        <w:ind w:firstLine="301"/>
      </w:pPr>
      <w:bookmarkStart w:id="109" w:name="_Toc49846953"/>
      <w:bookmarkStart w:id="110" w:name="_Toc475773777"/>
      <w:r>
        <w:rPr>
          <w:rFonts w:hint="eastAsia"/>
        </w:rPr>
        <w:t>4.4处置措施</w:t>
      </w:r>
      <w:bookmarkEnd w:id="109"/>
      <w:bookmarkEnd w:id="110"/>
    </w:p>
    <w:p>
      <w:pPr>
        <w:ind w:firstLine="560"/>
        <w:rPr>
          <w:rFonts w:ascii="仿宋_GB2312"/>
          <w:color w:val="000000" w:themeColor="text1"/>
        </w:rPr>
      </w:pPr>
      <w:r>
        <w:rPr>
          <w:rFonts w:hint="eastAsia" w:ascii="仿宋_GB2312"/>
          <w:color w:val="000000" w:themeColor="text1"/>
        </w:rPr>
        <w:t>现场指挥部根据事故发展情况，在充分考虑成员单位、协作部门、专家和有关方面意见的基础上，采取紧急处置措施。</w:t>
      </w:r>
    </w:p>
    <w:p>
      <w:pPr>
        <w:pStyle w:val="4"/>
        <w:ind w:firstLine="394"/>
      </w:pPr>
      <w:bookmarkStart w:id="111" w:name="_Toc8111696"/>
      <w:r>
        <w:rPr>
          <w:rFonts w:hint="eastAsia"/>
        </w:rPr>
        <w:t>4.4.1建立警戒区域</w:t>
      </w:r>
      <w:bookmarkEnd w:id="111"/>
    </w:p>
    <w:p>
      <w:pPr>
        <w:ind w:firstLine="560"/>
        <w:rPr>
          <w:rFonts w:ascii="仿宋_GB2312"/>
          <w:color w:val="000000" w:themeColor="text1"/>
        </w:rPr>
      </w:pPr>
      <w:r>
        <w:rPr>
          <w:rFonts w:hint="eastAsia" w:ascii="仿宋_GB2312"/>
          <w:color w:val="000000" w:themeColor="text1"/>
        </w:rPr>
        <w:t>事故发生后，现场指挥部应根据事故所涉及的范围建立警戒区，并协调交通部门在通往事故现场的道路上实行交通管制。警戒区域的边界应设警示标志并实行专人警戒，除消防及应急处置人员外，其他人员禁止进入警戒区。</w:t>
      </w:r>
    </w:p>
    <w:p>
      <w:pPr>
        <w:ind w:firstLine="560"/>
        <w:rPr>
          <w:rFonts w:ascii="仿宋_GB2312"/>
          <w:color w:val="000000" w:themeColor="text1"/>
        </w:rPr>
      </w:pPr>
      <w:r>
        <w:rPr>
          <w:rFonts w:hint="eastAsia" w:ascii="仿宋_GB2312"/>
          <w:color w:val="000000" w:themeColor="text1"/>
        </w:rPr>
        <w:t>根据事故的危害、天气条件(特别是风向)等因素，设立现场抢险救援的安全工作区域。</w:t>
      </w:r>
    </w:p>
    <w:p>
      <w:pPr>
        <w:pStyle w:val="4"/>
        <w:ind w:firstLine="394"/>
      </w:pPr>
      <w:bookmarkStart w:id="112" w:name="_Toc8111697"/>
      <w:r>
        <w:rPr>
          <w:rFonts w:hint="eastAsia"/>
        </w:rPr>
        <w:t>4.4.2判定控制危险源</w:t>
      </w:r>
      <w:bookmarkEnd w:id="112"/>
    </w:p>
    <w:p>
      <w:pPr>
        <w:ind w:firstLine="560"/>
        <w:rPr>
          <w:rFonts w:ascii="仿宋_GB2312"/>
          <w:color w:val="000000" w:themeColor="text1"/>
        </w:rPr>
      </w:pPr>
      <w:r>
        <w:rPr>
          <w:rFonts w:hint="eastAsia" w:ascii="仿宋_GB2312"/>
          <w:color w:val="000000" w:themeColor="text1"/>
        </w:rPr>
        <w:t>根据事故的类型，迅速开展必要的技术检验、检测工作，确认危险源的类型和特性，制定抢险救援技术方案，并采取有针对性的安全技术措施，及时控制事故扩大，消除事故危害和影响，防止可能发生的次生、衍生事故。</w:t>
      </w:r>
    </w:p>
    <w:p>
      <w:pPr>
        <w:pStyle w:val="4"/>
        <w:ind w:firstLine="394"/>
      </w:pPr>
      <w:bookmarkStart w:id="113" w:name="_Toc8111698"/>
      <w:r>
        <w:rPr>
          <w:rFonts w:hint="eastAsia"/>
        </w:rPr>
        <w:t>4.4.3受事故影响的人员疏散</w:t>
      </w:r>
      <w:bookmarkEnd w:id="113"/>
    </w:p>
    <w:p>
      <w:pPr>
        <w:ind w:firstLine="560"/>
        <w:rPr>
          <w:rFonts w:ascii="仿宋_GB2312"/>
          <w:color w:val="000000" w:themeColor="text1"/>
        </w:rPr>
      </w:pPr>
      <w:r>
        <w:rPr>
          <w:rFonts w:hint="eastAsia" w:ascii="仿宋_GB2312"/>
          <w:color w:val="000000" w:themeColor="text1"/>
        </w:rPr>
        <w:t>当事故可能危及周边地区较大范围人员安全时，现场指挥部应综合成员单位、协作部门、专家及有关部门的意见，确定受事故影响人员疏散工作，需要明确疏散的范围、时间、方向与路线，尽快将危险区域内的群众转移到安全区域。</w:t>
      </w:r>
    </w:p>
    <w:p>
      <w:pPr>
        <w:ind w:firstLine="560"/>
        <w:rPr>
          <w:rFonts w:ascii="仿宋_GB2312"/>
          <w:color w:val="000000" w:themeColor="text1"/>
        </w:rPr>
      </w:pPr>
      <w:r>
        <w:rPr>
          <w:rFonts w:hint="eastAsia" w:ascii="仿宋_GB2312"/>
          <w:color w:val="000000" w:themeColor="text1"/>
        </w:rPr>
        <w:t>事故受灾区域内被围困人员由应急办公室协调公安部门负责搜救；警戒区域内无关人员由事故单位配合公安部门实施紧急疏散。</w:t>
      </w:r>
    </w:p>
    <w:p>
      <w:pPr>
        <w:pStyle w:val="4"/>
        <w:ind w:firstLine="394"/>
      </w:pPr>
      <w:bookmarkStart w:id="114" w:name="_Toc8111699"/>
      <w:r>
        <w:rPr>
          <w:rFonts w:hint="eastAsia"/>
        </w:rPr>
        <w:t>4.4.4应急人员的安全防护</w:t>
      </w:r>
      <w:bookmarkEnd w:id="114"/>
    </w:p>
    <w:p>
      <w:pPr>
        <w:ind w:firstLine="560"/>
        <w:rPr>
          <w:rFonts w:ascii="仿宋_GB2312"/>
          <w:color w:val="000000" w:themeColor="text1"/>
        </w:rPr>
      </w:pPr>
      <w:r>
        <w:rPr>
          <w:rFonts w:hint="eastAsia" w:ascii="仿宋_GB2312"/>
          <w:color w:val="000000" w:themeColor="text1"/>
        </w:rPr>
        <w:t>根据事故的特点、现场危险因素的种类以及应急人员的职责及现场救援的需求来配备相应的安全防护装备和设施，严禁盲目施救。</w:t>
      </w:r>
    </w:p>
    <w:p>
      <w:pPr>
        <w:pStyle w:val="4"/>
        <w:ind w:firstLine="394"/>
      </w:pPr>
      <w:bookmarkStart w:id="115" w:name="_Toc8111700"/>
      <w:r>
        <w:rPr>
          <w:rFonts w:hint="eastAsia"/>
        </w:rPr>
        <w:t>4.4.5清理事故现场</w:t>
      </w:r>
      <w:bookmarkEnd w:id="115"/>
    </w:p>
    <w:p>
      <w:pPr>
        <w:ind w:firstLine="560"/>
        <w:rPr>
          <w:rFonts w:ascii="仿宋_GB2312"/>
          <w:color w:val="000000" w:themeColor="text1"/>
        </w:rPr>
      </w:pPr>
      <w:r>
        <w:rPr>
          <w:rFonts w:hint="eastAsia" w:ascii="仿宋_GB2312"/>
          <w:color w:val="000000" w:themeColor="text1"/>
        </w:rPr>
        <w:t>针对事故对人体、动植物、土壤、水源、空气已经造成和可能造成的危害，迅速采取封闭、隔离、清洗、化学中和等技术措施进行处置，防止疫情和次生、衍生事故的发生。</w:t>
      </w:r>
    </w:p>
    <w:p>
      <w:pPr>
        <w:pStyle w:val="4"/>
        <w:ind w:firstLine="394"/>
      </w:pPr>
      <w:bookmarkStart w:id="116" w:name="_Toc8111701"/>
      <w:r>
        <w:rPr>
          <w:rFonts w:hint="eastAsia"/>
        </w:rPr>
        <w:t>4.4.6危害情况初始评估</w:t>
      </w:r>
      <w:bookmarkEnd w:id="116"/>
    </w:p>
    <w:p>
      <w:pPr>
        <w:ind w:firstLine="560"/>
        <w:rPr>
          <w:rFonts w:ascii="仿宋_GB2312"/>
          <w:color w:val="000000" w:themeColor="text1"/>
        </w:rPr>
      </w:pPr>
      <w:r>
        <w:rPr>
          <w:rFonts w:hint="eastAsia" w:ascii="仿宋_GB2312"/>
          <w:color w:val="000000" w:themeColor="text1"/>
        </w:rPr>
        <w:t>对事故的基本情况进行初始评估，包括事故范围、事故危害扩展的趋势以及人员伤亡和财产损失情况等。</w:t>
      </w:r>
    </w:p>
    <w:p>
      <w:pPr>
        <w:pStyle w:val="4"/>
        <w:ind w:firstLine="394"/>
      </w:pPr>
      <w:bookmarkStart w:id="117" w:name="_Toc8111702"/>
      <w:r>
        <w:rPr>
          <w:rFonts w:hint="eastAsia"/>
        </w:rPr>
        <w:t>4.4.7特殊险情的处理</w:t>
      </w:r>
      <w:bookmarkEnd w:id="117"/>
    </w:p>
    <w:p>
      <w:pPr>
        <w:ind w:firstLine="560"/>
        <w:rPr>
          <w:rFonts w:ascii="仿宋_GB2312"/>
          <w:color w:val="000000" w:themeColor="text1"/>
        </w:rPr>
      </w:pPr>
      <w:r>
        <w:rPr>
          <w:rFonts w:hint="eastAsia" w:ascii="仿宋_GB2312"/>
          <w:color w:val="000000" w:themeColor="text1"/>
        </w:rPr>
        <w:t>出现急剧恶化的特殊险情时，在充分考虑相关专家意见的基础上，应采取人员紧急撤离措施。</w:t>
      </w:r>
    </w:p>
    <w:p>
      <w:pPr>
        <w:pStyle w:val="3"/>
        <w:ind w:firstLine="301"/>
      </w:pPr>
      <w:bookmarkStart w:id="118" w:name="_Toc475773782"/>
      <w:bookmarkStart w:id="119" w:name="_Toc49846954"/>
      <w:r>
        <w:rPr>
          <w:rFonts w:hint="eastAsia"/>
        </w:rPr>
        <w:t>4.5应急结束</w:t>
      </w:r>
      <w:bookmarkEnd w:id="118"/>
      <w:bookmarkEnd w:id="119"/>
    </w:p>
    <w:p>
      <w:pPr>
        <w:pStyle w:val="4"/>
        <w:ind w:firstLine="394"/>
      </w:pPr>
      <w:bookmarkStart w:id="120" w:name="_Toc459795154"/>
      <w:bookmarkStart w:id="121" w:name="_Toc462410622"/>
      <w:bookmarkStart w:id="122" w:name="_Toc459034246"/>
      <w:bookmarkStart w:id="123" w:name="_Toc459017551"/>
      <w:bookmarkStart w:id="124" w:name="_Toc458440326"/>
      <w:bookmarkStart w:id="125" w:name="_Toc475773783"/>
      <w:r>
        <w:rPr>
          <w:rFonts w:hint="eastAsia"/>
        </w:rPr>
        <w:t>4.5.1应急终止条件</w:t>
      </w:r>
      <w:bookmarkEnd w:id="120"/>
      <w:bookmarkEnd w:id="121"/>
      <w:bookmarkEnd w:id="122"/>
      <w:bookmarkEnd w:id="123"/>
      <w:bookmarkEnd w:id="124"/>
      <w:bookmarkEnd w:id="125"/>
    </w:p>
    <w:p>
      <w:pPr>
        <w:ind w:firstLine="560"/>
        <w:rPr>
          <w:rFonts w:ascii="仿宋_GB2312"/>
          <w:color w:val="000000" w:themeColor="text1"/>
        </w:rPr>
      </w:pPr>
      <w:r>
        <w:rPr>
          <w:rFonts w:hint="eastAsia" w:ascii="仿宋_GB2312"/>
          <w:color w:val="000000" w:themeColor="text1"/>
        </w:rPr>
        <w:t>当遇险人员全部得救，事故现场得以控制，环境符合有关标准，现场指挥部需组织技术专家对事故现场进行检查、鉴定、评估，确定无发生次生、衍生事故隐患后，方可终止应急响应。</w:t>
      </w:r>
    </w:p>
    <w:p>
      <w:pPr>
        <w:pStyle w:val="4"/>
        <w:ind w:firstLine="394"/>
      </w:pPr>
      <w:bookmarkStart w:id="126" w:name="_Toc459034247"/>
      <w:bookmarkStart w:id="127" w:name="_Toc475773784"/>
      <w:bookmarkStart w:id="128" w:name="_Toc459017552"/>
      <w:bookmarkStart w:id="129" w:name="_Toc459795155"/>
      <w:bookmarkStart w:id="130" w:name="_Toc462410623"/>
      <w:bookmarkStart w:id="131" w:name="_Toc458440327"/>
      <w:r>
        <w:rPr>
          <w:rFonts w:hint="eastAsia"/>
        </w:rPr>
        <w:t>4.5.2应急终止批准</w:t>
      </w:r>
      <w:bookmarkEnd w:id="126"/>
      <w:bookmarkEnd w:id="127"/>
      <w:bookmarkEnd w:id="128"/>
      <w:bookmarkEnd w:id="129"/>
      <w:bookmarkEnd w:id="130"/>
      <w:bookmarkEnd w:id="131"/>
    </w:p>
    <w:p>
      <w:pPr>
        <w:ind w:firstLine="560"/>
        <w:rPr>
          <w:rFonts w:ascii="仿宋_GB2312"/>
          <w:color w:val="000000" w:themeColor="text1"/>
        </w:rPr>
      </w:pPr>
      <w:r>
        <w:rPr>
          <w:rFonts w:hint="eastAsia" w:ascii="仿宋_GB2312"/>
          <w:color w:val="000000" w:themeColor="text1"/>
        </w:rPr>
        <w:t>现场处置工作结束经现场指挥部确认达到条件后，上报应急指挥部，经总指挥批示后应急指挥部宣布应急终止。由滨海新区人民政府启动应急预案处置的生产安全事故，按滨海新区人民政府应急指挥机构的指令执行应急终止。</w:t>
      </w:r>
    </w:p>
    <w:p>
      <w:pPr>
        <w:pStyle w:val="4"/>
        <w:ind w:firstLine="394"/>
      </w:pPr>
      <w:bookmarkStart w:id="132" w:name="_Toc459017553"/>
      <w:bookmarkStart w:id="133" w:name="_Toc459034248"/>
      <w:bookmarkStart w:id="134" w:name="_Toc459795156"/>
      <w:bookmarkStart w:id="135" w:name="_Toc475773785"/>
      <w:bookmarkStart w:id="136" w:name="_Toc462410624"/>
      <w:bookmarkStart w:id="137" w:name="_Toc458440328"/>
      <w:r>
        <w:rPr>
          <w:rFonts w:hint="eastAsia"/>
        </w:rPr>
        <w:t>4.5.3应急终止的发布</w:t>
      </w:r>
      <w:bookmarkEnd w:id="132"/>
      <w:bookmarkEnd w:id="133"/>
      <w:bookmarkEnd w:id="134"/>
      <w:bookmarkEnd w:id="135"/>
      <w:bookmarkEnd w:id="136"/>
      <w:bookmarkEnd w:id="137"/>
    </w:p>
    <w:p>
      <w:pPr>
        <w:ind w:firstLine="560"/>
        <w:rPr>
          <w:rFonts w:ascii="仿宋_GB2312"/>
          <w:color w:val="000000" w:themeColor="text1"/>
        </w:rPr>
        <w:sectPr>
          <w:pgSz w:w="11905" w:h="16838"/>
          <w:pgMar w:top="1418" w:right="1134" w:bottom="1134" w:left="1588" w:header="850" w:footer="850" w:gutter="0"/>
          <w:cols w:space="720" w:num="1"/>
          <w:docGrid w:linePitch="628" w:charSpace="0"/>
        </w:sectPr>
      </w:pPr>
      <w:r>
        <w:rPr>
          <w:rFonts w:hint="eastAsia" w:ascii="仿宋_GB2312"/>
          <w:color w:val="000000" w:themeColor="text1"/>
        </w:rPr>
        <w:t>应急结束时，由现场指挥部成员通过电话、内网、手机信息、应急广播等系统向应急指挥部内部人员宣布应急结束；必要时，可通过通告、通知等形式向周围社区宣布应急结束。</w:t>
      </w:r>
    </w:p>
    <w:p>
      <w:pPr>
        <w:pStyle w:val="2"/>
        <w:ind w:firstLine="161"/>
      </w:pPr>
      <w:bookmarkStart w:id="138" w:name="_Toc458440332"/>
      <w:bookmarkStart w:id="139" w:name="_Toc459017557"/>
      <w:bookmarkStart w:id="140" w:name="_Toc462410628"/>
      <w:bookmarkStart w:id="141" w:name="_Toc459034252"/>
      <w:bookmarkStart w:id="142" w:name="_Toc8111709"/>
      <w:bookmarkStart w:id="143" w:name="_Toc459795160"/>
      <w:bookmarkStart w:id="144" w:name="_Toc49846955"/>
      <w:r>
        <w:rPr>
          <w:rFonts w:hint="eastAsia"/>
        </w:rPr>
        <w:t>5后期处置</w:t>
      </w:r>
      <w:bookmarkEnd w:id="138"/>
      <w:bookmarkEnd w:id="139"/>
      <w:bookmarkEnd w:id="140"/>
      <w:bookmarkEnd w:id="141"/>
      <w:bookmarkEnd w:id="142"/>
      <w:bookmarkEnd w:id="143"/>
      <w:bookmarkEnd w:id="144"/>
    </w:p>
    <w:p>
      <w:pPr>
        <w:pStyle w:val="3"/>
        <w:ind w:firstLine="301"/>
      </w:pPr>
      <w:bookmarkStart w:id="145" w:name="_Toc49846956"/>
      <w:bookmarkStart w:id="146" w:name="_Toc8111710"/>
      <w:r>
        <w:rPr>
          <w:rFonts w:hint="eastAsia"/>
        </w:rPr>
        <w:t>5.1善后处置</w:t>
      </w:r>
      <w:bookmarkEnd w:id="145"/>
      <w:bookmarkEnd w:id="146"/>
    </w:p>
    <w:p>
      <w:pPr>
        <w:numPr>
          <w:ilvl w:val="2"/>
          <w:numId w:val="26"/>
        </w:numPr>
        <w:ind w:firstLineChars="0"/>
        <w:rPr>
          <w:rFonts w:ascii="仿宋_GB2312"/>
          <w:color w:val="000000" w:themeColor="text1"/>
        </w:rPr>
      </w:pPr>
      <w:r>
        <w:rPr>
          <w:rFonts w:hint="eastAsia" w:ascii="仿宋_GB2312"/>
          <w:color w:val="000000" w:themeColor="text1"/>
        </w:rPr>
        <w:t>宣布应急结束后，应急办公室负责组织、协调善后处置工作，包括：现场清理和事后恢复、人员安置与补偿、卫生防疫、保险理赔、废弃物处置、环境恢复等。</w:t>
      </w:r>
    </w:p>
    <w:p>
      <w:pPr>
        <w:numPr>
          <w:ilvl w:val="2"/>
          <w:numId w:val="26"/>
        </w:numPr>
        <w:ind w:firstLineChars="0"/>
        <w:rPr>
          <w:rFonts w:ascii="仿宋_GB2312"/>
          <w:color w:val="000000" w:themeColor="text1"/>
        </w:rPr>
      </w:pPr>
      <w:r>
        <w:rPr>
          <w:rFonts w:hint="eastAsia" w:ascii="仿宋_GB2312"/>
          <w:color w:val="000000" w:themeColor="text1"/>
        </w:rPr>
        <w:t>应急指挥部根据生产安全事故应急救援需要依法调用和征用的财产，在使用完毕或者应急救援结束后，应当及时归还。财产被调用、征用或者调用、征用后损毁、灭失的，应急办公室应当按照国家有关规定，对财产所属单位给予补偿。</w:t>
      </w:r>
    </w:p>
    <w:p>
      <w:pPr>
        <w:pStyle w:val="3"/>
        <w:ind w:firstLine="301"/>
      </w:pPr>
      <w:bookmarkStart w:id="147" w:name="_Toc8111711"/>
      <w:bookmarkStart w:id="148" w:name="_Toc49846957"/>
      <w:r>
        <w:rPr>
          <w:rFonts w:hint="eastAsia"/>
        </w:rPr>
        <w:t>5.2调查与评估</w:t>
      </w:r>
      <w:bookmarkEnd w:id="147"/>
      <w:bookmarkEnd w:id="148"/>
    </w:p>
    <w:p>
      <w:pPr>
        <w:ind w:firstLine="560"/>
        <w:rPr>
          <w:rFonts w:ascii="仿宋_GB2312"/>
          <w:color w:val="000000" w:themeColor="text1"/>
        </w:rPr>
        <w:sectPr>
          <w:type w:val="nextColumn"/>
          <w:pgSz w:w="11905" w:h="16838"/>
          <w:pgMar w:top="1418" w:right="1134" w:bottom="1134" w:left="1588" w:header="850" w:footer="850" w:gutter="0"/>
          <w:cols w:space="720" w:num="1"/>
          <w:docGrid w:linePitch="628" w:charSpace="0"/>
        </w:sectPr>
      </w:pPr>
      <w:r>
        <w:rPr>
          <w:rFonts w:hint="eastAsia" w:ascii="仿宋_GB2312"/>
          <w:color w:val="000000" w:themeColor="text1"/>
        </w:rPr>
        <w:t>现场指挥部负责收集、整理应急救援工作的记录、方案、文件等资料。应急处置结束后，应急办公室组织各参与救援的部门、单位对应急救援过程中的响应、决策、指挥和后勤保障等救援情况进行评估总结；分析总结应急救援经验教训，提出改进的意见和建议，并按照规定上报滨海新区人民政府备案或归档。</w:t>
      </w:r>
    </w:p>
    <w:p>
      <w:pPr>
        <w:pStyle w:val="2"/>
        <w:ind w:firstLine="161"/>
      </w:pPr>
      <w:bookmarkStart w:id="149" w:name="_Toc49846958"/>
      <w:bookmarkStart w:id="150" w:name="_Toc8111717"/>
      <w:r>
        <w:rPr>
          <w:rFonts w:hint="eastAsia"/>
        </w:rPr>
        <w:t>6应急预案管理</w:t>
      </w:r>
      <w:bookmarkEnd w:id="149"/>
      <w:bookmarkEnd w:id="150"/>
    </w:p>
    <w:p>
      <w:pPr>
        <w:pStyle w:val="3"/>
        <w:ind w:firstLine="301"/>
      </w:pPr>
      <w:bookmarkStart w:id="151" w:name="_Toc49846959"/>
      <w:bookmarkStart w:id="152" w:name="_Toc8111718"/>
      <w:r>
        <w:rPr>
          <w:rFonts w:hint="eastAsia"/>
        </w:rPr>
        <w:t>6.1应急演练</w:t>
      </w:r>
      <w:bookmarkEnd w:id="151"/>
      <w:bookmarkEnd w:id="152"/>
    </w:p>
    <w:p>
      <w:pPr>
        <w:numPr>
          <w:ilvl w:val="0"/>
          <w:numId w:val="27"/>
        </w:numPr>
        <w:ind w:firstLineChars="0"/>
        <w:rPr>
          <w:rFonts w:ascii="仿宋_GB2312"/>
          <w:color w:val="000000" w:themeColor="text1"/>
        </w:rPr>
      </w:pPr>
      <w:r>
        <w:rPr>
          <w:rFonts w:hint="eastAsia" w:ascii="仿宋_GB2312"/>
          <w:color w:val="000000" w:themeColor="text1"/>
        </w:rPr>
        <w:t>公共安全办公室负责监督、指导街道生产经营单位开展生产安全事故应急救援的宣传教育和培训工作，指导重点生产经营单位完善相关应急预案，定期进行应急演练，提高生产经营单位应对各类生产安全事故能力，增加从业人员关于事故预防、避险、避灾、自救、互救的常识。</w:t>
      </w:r>
    </w:p>
    <w:p>
      <w:pPr>
        <w:numPr>
          <w:ilvl w:val="0"/>
          <w:numId w:val="27"/>
        </w:numPr>
        <w:ind w:firstLineChars="0"/>
        <w:rPr>
          <w:rFonts w:ascii="仿宋_GB2312"/>
          <w:color w:val="000000" w:themeColor="text1"/>
        </w:rPr>
      </w:pPr>
      <w:r>
        <w:rPr>
          <w:rFonts w:hint="eastAsia" w:ascii="仿宋_GB2312"/>
          <w:color w:val="000000" w:themeColor="text1"/>
        </w:rPr>
        <w:t>指挥部办公室负责每年组织1次本预案演练。</w:t>
      </w:r>
    </w:p>
    <w:p>
      <w:pPr>
        <w:numPr>
          <w:ilvl w:val="0"/>
          <w:numId w:val="27"/>
        </w:numPr>
        <w:ind w:firstLineChars="0"/>
        <w:rPr>
          <w:rFonts w:ascii="仿宋_GB2312"/>
          <w:color w:val="000000" w:themeColor="text1"/>
        </w:rPr>
      </w:pPr>
      <w:r>
        <w:rPr>
          <w:rFonts w:hint="eastAsia" w:ascii="仿宋_GB2312"/>
          <w:color w:val="000000" w:themeColor="text1"/>
        </w:rPr>
        <w:t>演练结束后要及时对演练情况进行总结评估，根据演练情况及时调整、修订应急预案。</w:t>
      </w:r>
    </w:p>
    <w:p>
      <w:pPr>
        <w:pStyle w:val="3"/>
        <w:ind w:firstLine="301"/>
      </w:pPr>
      <w:bookmarkStart w:id="153" w:name="_Toc459795178"/>
      <w:bookmarkStart w:id="154" w:name="_Toc462410646"/>
      <w:bookmarkStart w:id="155" w:name="_Toc49846960"/>
      <w:bookmarkStart w:id="156" w:name="_Toc8111719"/>
      <w:bookmarkStart w:id="157" w:name="_Toc459034270"/>
      <w:bookmarkStart w:id="158" w:name="_Toc459017575"/>
      <w:bookmarkStart w:id="159" w:name="_Toc458440345"/>
      <w:r>
        <w:rPr>
          <w:rFonts w:hint="eastAsia"/>
        </w:rPr>
        <w:t>6.2应急预案修订</w:t>
      </w:r>
      <w:bookmarkEnd w:id="153"/>
      <w:bookmarkEnd w:id="154"/>
      <w:bookmarkEnd w:id="155"/>
      <w:bookmarkEnd w:id="156"/>
      <w:bookmarkEnd w:id="157"/>
      <w:bookmarkEnd w:id="158"/>
      <w:bookmarkEnd w:id="159"/>
    </w:p>
    <w:p>
      <w:pPr>
        <w:pStyle w:val="4"/>
        <w:ind w:firstLine="394"/>
      </w:pPr>
      <w:bookmarkStart w:id="160" w:name="_Toc8111720"/>
      <w:r>
        <w:rPr>
          <w:rFonts w:hint="eastAsia"/>
        </w:rPr>
        <w:t>6.2.1预案制定</w:t>
      </w:r>
      <w:bookmarkEnd w:id="160"/>
    </w:p>
    <w:p>
      <w:pPr>
        <w:ind w:firstLine="560"/>
        <w:rPr>
          <w:rFonts w:ascii="仿宋_GB2312"/>
          <w:color w:val="000000" w:themeColor="text1"/>
        </w:rPr>
      </w:pPr>
      <w:r>
        <w:rPr>
          <w:rFonts w:hint="eastAsia" w:ascii="仿宋_GB2312"/>
          <w:color w:val="000000" w:themeColor="text1"/>
        </w:rPr>
        <w:t>本预案由新北街道办事处组织制定，并负责解释与组织实施。</w:t>
      </w:r>
    </w:p>
    <w:p>
      <w:pPr>
        <w:pStyle w:val="4"/>
        <w:ind w:firstLine="394"/>
      </w:pPr>
      <w:bookmarkStart w:id="161" w:name="_Toc8111721"/>
      <w:r>
        <w:rPr>
          <w:rFonts w:hint="eastAsia"/>
        </w:rPr>
        <w:t>6.2.2</w:t>
      </w:r>
      <w:r>
        <w:rPr>
          <w:rFonts w:hint="eastAsia"/>
          <w:szCs w:val="24"/>
        </w:rPr>
        <w:t>预案修订</w:t>
      </w:r>
      <w:bookmarkEnd w:id="161"/>
    </w:p>
    <w:p>
      <w:pPr>
        <w:ind w:firstLine="560"/>
        <w:rPr>
          <w:rFonts w:ascii="仿宋_GB2312"/>
          <w:color w:val="000000" w:themeColor="text1"/>
        </w:rPr>
      </w:pPr>
      <w:r>
        <w:rPr>
          <w:rFonts w:hint="eastAsia" w:ascii="仿宋_GB2312"/>
          <w:color w:val="000000" w:themeColor="text1"/>
        </w:rPr>
        <w:t>1.本预案原则上每3年修订一次。</w:t>
      </w:r>
    </w:p>
    <w:p>
      <w:pPr>
        <w:ind w:firstLine="560"/>
        <w:rPr>
          <w:rFonts w:ascii="仿宋_GB2312"/>
          <w:color w:val="000000" w:themeColor="text1"/>
        </w:rPr>
      </w:pPr>
      <w:r>
        <w:rPr>
          <w:rFonts w:hint="eastAsia" w:ascii="仿宋_GB2312"/>
          <w:color w:val="000000" w:themeColor="text1"/>
        </w:rPr>
        <w:t>2.随着相关法律法规的制定、修改和完善，有关情况发生变化，以及应急处置过程和应急演练中发现的问题，适时对本预案进行修订。</w:t>
      </w:r>
    </w:p>
    <w:p>
      <w:pPr>
        <w:pStyle w:val="3"/>
        <w:ind w:firstLine="301"/>
      </w:pPr>
      <w:bookmarkStart w:id="162" w:name="_Toc49846961"/>
      <w:bookmarkStart w:id="163" w:name="_Toc8111722"/>
      <w:bookmarkStart w:id="164" w:name="_Toc462410648"/>
      <w:bookmarkStart w:id="165" w:name="_Toc459017577"/>
      <w:bookmarkStart w:id="166" w:name="_Toc458440347"/>
      <w:bookmarkStart w:id="167" w:name="_Toc459034272"/>
      <w:bookmarkStart w:id="168" w:name="_Toc459795180"/>
      <w:r>
        <w:rPr>
          <w:rFonts w:hint="eastAsia"/>
        </w:rPr>
        <w:t>6.3应急预案实施</w:t>
      </w:r>
      <w:bookmarkEnd w:id="162"/>
      <w:bookmarkEnd w:id="163"/>
      <w:bookmarkEnd w:id="164"/>
      <w:bookmarkEnd w:id="165"/>
      <w:bookmarkEnd w:id="166"/>
      <w:bookmarkEnd w:id="167"/>
      <w:bookmarkEnd w:id="168"/>
    </w:p>
    <w:p>
      <w:pPr>
        <w:ind w:firstLine="560"/>
        <w:rPr>
          <w:rFonts w:ascii="仿宋_GB2312"/>
          <w:color w:val="000000" w:themeColor="text1"/>
        </w:rPr>
      </w:pPr>
      <w:r>
        <w:rPr>
          <w:rFonts w:hint="eastAsia" w:ascii="仿宋_GB2312"/>
          <w:color w:val="000000" w:themeColor="text1"/>
        </w:rPr>
        <w:t>本预案自印发之日起实施。</w:t>
      </w:r>
    </w:p>
    <w:p>
      <w:pPr>
        <w:pStyle w:val="2"/>
        <w:ind w:firstLine="161"/>
      </w:pPr>
      <w:r>
        <w:rPr>
          <w:rFonts w:hint="eastAsia"/>
        </w:rPr>
        <w:br w:type="page"/>
      </w:r>
      <w:bookmarkStart w:id="169" w:name="_Toc49846962"/>
      <w:bookmarkStart w:id="170" w:name="_Toc8111723"/>
      <w:r>
        <w:rPr>
          <w:rFonts w:hint="eastAsia"/>
        </w:rPr>
        <w:t>附件</w:t>
      </w:r>
      <w:bookmarkEnd w:id="169"/>
    </w:p>
    <w:p>
      <w:pPr>
        <w:ind w:firstLine="560"/>
        <w:rPr>
          <w:rFonts w:ascii="仿宋_GB2312"/>
        </w:rPr>
      </w:pPr>
      <w:r>
        <w:rPr>
          <w:rFonts w:hint="eastAsia" w:ascii="仿宋_GB2312"/>
        </w:rPr>
        <w:t>附件1 名词术语定义</w:t>
      </w:r>
    </w:p>
    <w:p>
      <w:pPr>
        <w:ind w:firstLine="560"/>
        <w:rPr>
          <w:rFonts w:ascii="仿宋_GB2312"/>
        </w:rPr>
      </w:pPr>
      <w:r>
        <w:rPr>
          <w:rFonts w:hint="eastAsia" w:ascii="仿宋_GB2312"/>
        </w:rPr>
        <w:t>附件2 危险性分析</w:t>
      </w:r>
    </w:p>
    <w:p>
      <w:pPr>
        <w:ind w:firstLine="560"/>
        <w:rPr>
          <w:rFonts w:ascii="仿宋_GB2312"/>
        </w:rPr>
      </w:pPr>
      <w:r>
        <w:rPr>
          <w:rFonts w:hint="eastAsia" w:ascii="仿宋_GB2312"/>
        </w:rPr>
        <w:t>附件3 应急指挥部名单</w:t>
      </w:r>
    </w:p>
    <w:p>
      <w:pPr>
        <w:ind w:firstLine="560"/>
        <w:rPr>
          <w:rFonts w:ascii="仿宋_GB2312"/>
        </w:rPr>
      </w:pPr>
      <w:r>
        <w:rPr>
          <w:rFonts w:hint="eastAsia" w:ascii="仿宋_GB2312"/>
        </w:rPr>
        <w:t>附件4 资源调集与援助联络表</w:t>
      </w:r>
    </w:p>
    <w:p>
      <w:pPr>
        <w:ind w:firstLine="560"/>
        <w:rPr>
          <w:rFonts w:ascii="仿宋_GB2312"/>
        </w:rPr>
      </w:pPr>
      <w:r>
        <w:rPr>
          <w:rFonts w:hint="eastAsia" w:ascii="仿宋_GB2312"/>
        </w:rPr>
        <w:t>附件5 应急避难场所</w:t>
      </w:r>
    </w:p>
    <w:p>
      <w:pPr>
        <w:ind w:firstLine="560"/>
        <w:rPr>
          <w:rFonts w:ascii="仿宋_GB2312"/>
        </w:rPr>
      </w:pPr>
      <w:r>
        <w:rPr>
          <w:rFonts w:hint="eastAsia" w:ascii="仿宋_GB2312"/>
        </w:rPr>
        <w:t>附件6 医疗资源</w:t>
      </w:r>
    </w:p>
    <w:p>
      <w:pPr>
        <w:ind w:firstLine="560"/>
        <w:rPr>
          <w:rFonts w:ascii="仿宋_GB2312"/>
        </w:rPr>
      </w:pPr>
      <w:r>
        <w:rPr>
          <w:rFonts w:hint="eastAsia" w:ascii="仿宋_GB2312"/>
        </w:rPr>
        <w:t>附件7 应急物资储备情况表</w:t>
      </w:r>
    </w:p>
    <w:p>
      <w:pPr>
        <w:ind w:firstLine="560"/>
        <w:rPr>
          <w:rFonts w:ascii="仿宋_GB2312"/>
        </w:rPr>
      </w:pPr>
    </w:p>
    <w:p>
      <w:pPr>
        <w:ind w:firstLine="560"/>
        <w:rPr>
          <w:rFonts w:ascii="仿宋_GB2312"/>
        </w:rPr>
      </w:pPr>
    </w:p>
    <w:p>
      <w:pPr>
        <w:ind w:firstLine="560"/>
        <w:rPr>
          <w:rFonts w:ascii="仿宋_GB2312"/>
        </w:rPr>
        <w:sectPr>
          <w:type w:val="nextColumn"/>
          <w:pgSz w:w="11905" w:h="16838"/>
          <w:pgMar w:top="1418" w:right="1134" w:bottom="1134" w:left="1588" w:header="850" w:footer="850" w:gutter="0"/>
          <w:cols w:space="720" w:num="1"/>
          <w:docGrid w:linePitch="628" w:charSpace="0"/>
        </w:sectPr>
      </w:pPr>
    </w:p>
    <w:p>
      <w:pPr>
        <w:pStyle w:val="3"/>
        <w:ind w:firstLine="301"/>
      </w:pPr>
      <w:bookmarkStart w:id="171" w:name="_Toc49846963"/>
      <w:r>
        <w:rPr>
          <w:rFonts w:hint="eastAsia"/>
        </w:rPr>
        <w:t>附件1名词术语定义</w:t>
      </w:r>
      <w:bookmarkEnd w:id="170"/>
      <w:bookmarkEnd w:id="171"/>
    </w:p>
    <w:p>
      <w:pPr>
        <w:ind w:firstLine="562"/>
        <w:rPr>
          <w:rFonts w:ascii="仿宋_GB2312"/>
          <w:b/>
          <w:color w:val="000000" w:themeColor="text1"/>
        </w:rPr>
      </w:pPr>
      <w:r>
        <w:rPr>
          <w:rFonts w:hint="eastAsia" w:ascii="仿宋_GB2312"/>
          <w:b/>
          <w:color w:val="000000" w:themeColor="text1"/>
        </w:rPr>
        <w:t>1.生产安全事故</w:t>
      </w:r>
    </w:p>
    <w:p>
      <w:pPr>
        <w:ind w:firstLine="560"/>
        <w:rPr>
          <w:rFonts w:ascii="仿宋_GB2312"/>
          <w:color w:val="000000" w:themeColor="text1"/>
        </w:rPr>
      </w:pPr>
      <w:r>
        <w:rPr>
          <w:rFonts w:hint="eastAsia" w:ascii="仿宋_GB2312"/>
          <w:color w:val="000000" w:themeColor="text1"/>
        </w:rPr>
        <w:t>生产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w:t>
      </w:r>
    </w:p>
    <w:p>
      <w:pPr>
        <w:ind w:firstLine="562"/>
        <w:rPr>
          <w:rFonts w:ascii="仿宋_GB2312"/>
          <w:b/>
          <w:color w:val="000000" w:themeColor="text1"/>
        </w:rPr>
      </w:pPr>
      <w:r>
        <w:rPr>
          <w:rFonts w:hint="eastAsia" w:ascii="仿宋_GB2312"/>
          <w:b/>
          <w:color w:val="000000" w:themeColor="text1"/>
        </w:rPr>
        <w:t>2.生产安全事故的应急处置</w:t>
      </w:r>
    </w:p>
    <w:p>
      <w:pPr>
        <w:ind w:firstLine="560"/>
        <w:rPr>
          <w:rFonts w:ascii="仿宋_GB2312"/>
          <w:color w:val="000000" w:themeColor="text1"/>
        </w:rPr>
      </w:pPr>
      <w:r>
        <w:rPr>
          <w:rFonts w:hint="eastAsia" w:ascii="仿宋_GB2312"/>
          <w:color w:val="000000" w:themeColor="text1"/>
        </w:rPr>
        <w:t>是指当发生造成或可能造成众多人员伤亡、设备设施损害、环境污染及其它较大社会危害时，为及时控制危害源，抢救受害人员，指导群众防护和组织撤离，消除危害后果而组织的救援活动。应急救援包括事故单位自救和对事故单位以及事故单位外危害区域的社会救援。</w:t>
      </w:r>
    </w:p>
    <w:p>
      <w:pPr>
        <w:ind w:firstLine="562"/>
        <w:rPr>
          <w:rFonts w:ascii="仿宋_GB2312"/>
          <w:b/>
          <w:color w:val="000000" w:themeColor="text1"/>
        </w:rPr>
      </w:pPr>
      <w:r>
        <w:rPr>
          <w:rFonts w:hint="eastAsia" w:ascii="仿宋_GB2312"/>
          <w:b/>
          <w:color w:val="000000" w:themeColor="text1"/>
        </w:rPr>
        <w:t>3.应急预案</w:t>
      </w:r>
    </w:p>
    <w:p>
      <w:pPr>
        <w:ind w:firstLine="560"/>
        <w:rPr>
          <w:rFonts w:ascii="仿宋_GB2312"/>
          <w:color w:val="000000" w:themeColor="text1"/>
          <w:szCs w:val="22"/>
        </w:rPr>
      </w:pPr>
      <w:r>
        <w:rPr>
          <w:rFonts w:hint="eastAsia" w:ascii="仿宋_GB2312"/>
          <w:color w:val="000000" w:themeColor="text1"/>
          <w:szCs w:val="22"/>
        </w:rPr>
        <w:t>针对可能发生的事件，为迅速、有序地开展应急行动而预先制定的行动方案。</w:t>
      </w:r>
    </w:p>
    <w:p>
      <w:pPr>
        <w:ind w:firstLine="562"/>
        <w:rPr>
          <w:rFonts w:ascii="仿宋_GB2312"/>
          <w:b/>
          <w:color w:val="000000" w:themeColor="text1"/>
          <w:szCs w:val="22"/>
        </w:rPr>
      </w:pPr>
      <w:r>
        <w:rPr>
          <w:rFonts w:hint="eastAsia" w:ascii="仿宋_GB2312"/>
          <w:b/>
          <w:color w:val="000000" w:themeColor="text1"/>
          <w:szCs w:val="22"/>
        </w:rPr>
        <w:t>4</w:t>
      </w:r>
      <w:r>
        <w:rPr>
          <w:rFonts w:hint="eastAsia" w:ascii="仿宋_GB2312"/>
          <w:b/>
          <w:color w:val="000000" w:themeColor="text1"/>
        </w:rPr>
        <w:t>.</w:t>
      </w:r>
      <w:r>
        <w:rPr>
          <w:rFonts w:hint="eastAsia" w:ascii="仿宋_GB2312"/>
          <w:b/>
          <w:color w:val="000000" w:themeColor="text1"/>
          <w:szCs w:val="22"/>
        </w:rPr>
        <w:t>应急响应</w:t>
      </w:r>
    </w:p>
    <w:p>
      <w:pPr>
        <w:ind w:firstLine="560"/>
        <w:rPr>
          <w:rFonts w:ascii="仿宋_GB2312"/>
          <w:color w:val="000000" w:themeColor="text1"/>
        </w:rPr>
      </w:pPr>
      <w:r>
        <w:rPr>
          <w:rFonts w:hint="eastAsia" w:ascii="仿宋_GB2312"/>
          <w:color w:val="000000" w:themeColor="text1"/>
        </w:rPr>
        <w:t>事件发生后，有关组织或人员采取的应急行动。</w:t>
      </w:r>
    </w:p>
    <w:p>
      <w:pPr>
        <w:ind w:firstLine="562"/>
        <w:rPr>
          <w:rFonts w:ascii="仿宋_GB2312"/>
          <w:b/>
          <w:color w:val="000000" w:themeColor="text1"/>
        </w:rPr>
      </w:pPr>
      <w:r>
        <w:rPr>
          <w:rFonts w:hint="eastAsia" w:ascii="仿宋_GB2312"/>
          <w:b/>
          <w:color w:val="000000" w:themeColor="text1"/>
        </w:rPr>
        <w:t>5.应急救援</w:t>
      </w:r>
    </w:p>
    <w:p>
      <w:pPr>
        <w:ind w:firstLine="560"/>
        <w:rPr>
          <w:rFonts w:ascii="仿宋_GB2312"/>
          <w:color w:val="000000" w:themeColor="text1"/>
        </w:rPr>
      </w:pPr>
      <w:r>
        <w:rPr>
          <w:rFonts w:hint="eastAsia" w:ascii="仿宋_GB2312"/>
          <w:color w:val="000000" w:themeColor="text1"/>
        </w:rPr>
        <w:t>在应急响应过程中，为消除、减少事件危害，防止事件扩大或恶化，最大限度地降低事件造成的损失或危害而采取的救援措施或行动。</w:t>
      </w:r>
    </w:p>
    <w:p>
      <w:pPr>
        <w:ind w:firstLine="562"/>
        <w:rPr>
          <w:rFonts w:ascii="仿宋_GB2312"/>
          <w:b/>
          <w:color w:val="000000" w:themeColor="text1"/>
        </w:rPr>
      </w:pPr>
      <w:r>
        <w:rPr>
          <w:rFonts w:hint="eastAsia" w:ascii="仿宋_GB2312"/>
          <w:b/>
          <w:color w:val="000000" w:themeColor="text1"/>
        </w:rPr>
        <w:t>6.直接经济损失</w:t>
      </w:r>
    </w:p>
    <w:p>
      <w:pPr>
        <w:ind w:firstLine="560"/>
        <w:rPr>
          <w:rFonts w:ascii="仿宋_GB2312"/>
          <w:color w:val="000000" w:themeColor="text1"/>
        </w:rPr>
      </w:pPr>
      <w:r>
        <w:rPr>
          <w:rFonts w:hint="eastAsia" w:ascii="仿宋_GB2312"/>
          <w:color w:val="000000" w:themeColor="text1"/>
        </w:rPr>
        <w:t>直接经济损失是指因事故造成人身伤亡及善后处理支出的费用和毁坏财产的价值。包含：人身伤亡所支出的费用、善后处理费用、财产损失费用。</w:t>
      </w:r>
    </w:p>
    <w:p>
      <w:pPr>
        <w:ind w:firstLine="562"/>
        <w:rPr>
          <w:rFonts w:ascii="仿宋_GB2312"/>
          <w:b/>
          <w:color w:val="000000" w:themeColor="text1"/>
        </w:rPr>
      </w:pPr>
      <w:r>
        <w:rPr>
          <w:rFonts w:hint="eastAsia" w:ascii="仿宋_GB2312"/>
          <w:b/>
          <w:color w:val="000000" w:themeColor="text1"/>
        </w:rPr>
        <w:t>7.轻伤</w:t>
      </w:r>
    </w:p>
    <w:p>
      <w:pPr>
        <w:ind w:firstLine="560"/>
        <w:rPr>
          <w:rFonts w:ascii="仿宋_GB2312"/>
          <w:color w:val="000000" w:themeColor="text1"/>
        </w:rPr>
      </w:pPr>
      <w:r>
        <w:rPr>
          <w:rFonts w:hint="eastAsia" w:ascii="仿宋_GB2312"/>
          <w:color w:val="000000" w:themeColor="text1"/>
        </w:rPr>
        <w:t>轻伤是指物理、化学及生物等各种外界因素作用于人体，造成组织、器官结构的一定程度的损害或者部分功能障碍，尚未构成重伤又不属轻微伤害的损伤。</w:t>
      </w:r>
    </w:p>
    <w:p>
      <w:pPr>
        <w:pStyle w:val="3"/>
        <w:ind w:firstLine="301"/>
      </w:pPr>
      <w:r>
        <w:rPr>
          <w:rFonts w:hint="eastAsia"/>
        </w:rPr>
        <w:br w:type="page"/>
      </w:r>
      <w:bookmarkStart w:id="172" w:name="_Toc49846964"/>
      <w:bookmarkStart w:id="173" w:name="_Toc475773823"/>
      <w:r>
        <w:rPr>
          <w:rFonts w:hint="eastAsia"/>
        </w:rPr>
        <w:t>附件2危险性分析</w:t>
      </w:r>
      <w:bookmarkEnd w:id="172"/>
    </w:p>
    <w:p>
      <w:pPr>
        <w:pStyle w:val="4"/>
        <w:ind w:firstLine="394"/>
      </w:pPr>
      <w:r>
        <w:rPr>
          <w:rFonts w:hint="eastAsia"/>
        </w:rPr>
        <w:t>2.1新北街道基本概况</w:t>
      </w:r>
    </w:p>
    <w:p>
      <w:pPr>
        <w:ind w:firstLine="560"/>
        <w:rPr>
          <w:rFonts w:ascii="仿宋_GB2312" w:cs="Times New Roman"/>
          <w:color w:val="000000" w:themeColor="text1"/>
        </w:rPr>
      </w:pPr>
      <w:r>
        <w:rPr>
          <w:rFonts w:hint="eastAsia" w:ascii="仿宋_GB2312" w:cs="Times New Roman"/>
          <w:color w:val="000000" w:themeColor="text1"/>
        </w:rPr>
        <w:t>新北街道东起京山铁路，西至新河干渠，南至京津塘高速延长线，北至北环铁路。东邻天津经济技术开发区，西邻天津滨海高新区和天津经济技术开发区西区。街道主要承载滨海新区的居住社区功能，街道辖区内功能分区以人员居住为主，附以其它居住设施，区域内产业结构、行业相对简单，主要以商业商贸、教育、餐饮住宿、文化娱乐为主。</w:t>
      </w:r>
    </w:p>
    <w:p>
      <w:pPr>
        <w:ind w:firstLine="560"/>
        <w:rPr>
          <w:rFonts w:ascii="仿宋_GB2312" w:cs="Times New Roman"/>
          <w:color w:val="000000" w:themeColor="text1"/>
        </w:rPr>
      </w:pPr>
      <w:r>
        <w:rPr>
          <w:rFonts w:hint="eastAsia" w:ascii="仿宋_GB2312" w:cs="Times New Roman"/>
          <w:color w:val="000000" w:themeColor="text1"/>
        </w:rPr>
        <w:t>安全监管区域内有加油站3家，不涉及重大危险源，无危险化学品生产、经营、储存企业，无危险化学品运输、管道运输等设施；重点工贸企业3家；规模以上的商业商贸企业25家；高职院校1所，中专1所，九年一贯制学校2所，小学3所，民办幼儿园6所；医疗及养老服务机构4所；文化、体育和娱乐场所22处；宾馆、酒店、饭店共33家；在建施工工地3处。</w:t>
      </w:r>
    </w:p>
    <w:p>
      <w:pPr>
        <w:pStyle w:val="83"/>
        <w:spacing w:before="314" w:after="314" w:line="240" w:lineRule="auto"/>
        <w:rPr>
          <w:color w:val="000000" w:themeColor="text1"/>
        </w:rPr>
      </w:pPr>
      <w:r>
        <w:rPr>
          <w:rFonts w:hint="eastAsia"/>
          <w:color w:val="000000" w:themeColor="text1"/>
        </w:rPr>
        <w:drawing>
          <wp:inline distT="0" distB="0" distL="0" distR="0">
            <wp:extent cx="5172075" cy="31051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srcRect/>
                    <a:stretch>
                      <a:fillRect/>
                    </a:stretch>
                  </pic:blipFill>
                  <pic:spPr>
                    <a:xfrm>
                      <a:off x="0" y="0"/>
                      <a:ext cx="5172075" cy="3105150"/>
                    </a:xfrm>
                    <a:prstGeom prst="rect">
                      <a:avLst/>
                    </a:prstGeom>
                    <a:noFill/>
                    <a:ln w="9525">
                      <a:noFill/>
                      <a:miter lim="800000"/>
                      <a:headEnd/>
                      <a:tailEnd/>
                    </a:ln>
                  </pic:spPr>
                </pic:pic>
              </a:graphicData>
            </a:graphic>
          </wp:inline>
        </w:drawing>
      </w:r>
    </w:p>
    <w:p>
      <w:pPr>
        <w:pStyle w:val="77"/>
        <w:spacing w:before="314" w:after="314"/>
        <w:rPr>
          <w:color w:val="000000" w:themeColor="text1"/>
        </w:rPr>
      </w:pPr>
      <w:r>
        <w:rPr>
          <w:rFonts w:hint="eastAsia"/>
          <w:color w:val="000000" w:themeColor="text1"/>
        </w:rPr>
        <w:t>图2-1 新北街平面概况图</w:t>
      </w:r>
    </w:p>
    <w:p>
      <w:pPr>
        <w:pStyle w:val="4"/>
        <w:ind w:firstLine="394"/>
      </w:pPr>
      <w:r>
        <w:rPr>
          <w:rFonts w:hint="eastAsia"/>
        </w:rPr>
        <w:t>2.2危险源辨识与风险分析</w:t>
      </w:r>
    </w:p>
    <w:p>
      <w:pPr>
        <w:pStyle w:val="5"/>
        <w:ind w:firstLine="562"/>
      </w:pPr>
      <w:r>
        <w:rPr>
          <w:rFonts w:hint="eastAsia"/>
        </w:rPr>
        <w:t>2.2.1危险源辨识</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加油站</w:t>
      </w:r>
    </w:p>
    <w:p>
      <w:pPr>
        <w:ind w:firstLine="560"/>
        <w:rPr>
          <w:rFonts w:ascii="仿宋_GB2312" w:hAnsi="Times New Roman" w:cs="Times New Roman"/>
          <w:color w:val="000000" w:themeColor="text1"/>
        </w:rPr>
      </w:pPr>
      <w:r>
        <w:rPr>
          <w:rFonts w:hint="eastAsia" w:ascii="仿宋_GB2312" w:hAnsi="Times New Roman" w:cs="Times New Roman"/>
          <w:color w:val="000000" w:themeColor="text1"/>
        </w:rPr>
        <w:t>新北街道安全监管区域内基本不涉及危险化学品行业生产、储存，危险化学品经营仅涉及关系民生的加油站3座，不涉及道路运输危险化学品。</w:t>
      </w:r>
    </w:p>
    <w:p>
      <w:pPr>
        <w:ind w:firstLine="560"/>
        <w:rPr>
          <w:rFonts w:ascii="仿宋_GB2312" w:cs="Times New Roman"/>
          <w:color w:val="000000" w:themeColor="text1"/>
        </w:rPr>
      </w:pPr>
      <w:r>
        <w:rPr>
          <w:rFonts w:hint="eastAsia" w:ascii="仿宋_GB2312" w:cs="Times New Roman"/>
          <w:color w:val="000000" w:themeColor="text1"/>
        </w:rPr>
        <w:t>新北街道涉及危险化学品风险主要集中在3个加油站，因加油站储存的主要危险有害物质是乙醇汽油和轻柴油，属于易燃易爆危险性物质，一旦发生火灾、爆炸事故，社会影响巨大。</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工程建设施工风险</w:t>
      </w:r>
    </w:p>
    <w:p>
      <w:pPr>
        <w:ind w:firstLine="560"/>
        <w:rPr>
          <w:rFonts w:ascii="仿宋_GB2312" w:hAnsi="Times New Roman" w:cs="Times New Roman"/>
          <w:color w:val="000000" w:themeColor="text1"/>
        </w:rPr>
      </w:pPr>
      <w:r>
        <w:rPr>
          <w:rFonts w:hint="eastAsia" w:ascii="仿宋_GB2312" w:hAnsi="Times New Roman" w:cs="Times New Roman"/>
          <w:color w:val="000000" w:themeColor="text1"/>
        </w:rPr>
        <w:t>工程建筑施工因具有作业性流动性大、露天作业多、产品体积大、形式多样、施工周期长、劳动强度大和作业人员更换频繁等特点，容易发生高处坠落、物体打击、触电、机械伤害、坍塌等安全事故，存在较大的安全风险。</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工贸企业</w:t>
      </w:r>
    </w:p>
    <w:p>
      <w:pPr>
        <w:ind w:firstLine="560"/>
        <w:rPr>
          <w:rFonts w:ascii="仿宋_GB2312" w:cs="Times New Roman"/>
          <w:color w:val="000000" w:themeColor="text1"/>
        </w:rPr>
      </w:pPr>
      <w:r>
        <w:rPr>
          <w:rFonts w:hint="eastAsia" w:ascii="仿宋_GB2312" w:cs="Times New Roman"/>
          <w:color w:val="000000" w:themeColor="text1"/>
        </w:rPr>
        <w:t>工贸类企业发生的安全事故与石油化工、危险化学品等企业不同，后者一旦发生安全事故往往是涉及面广，造成的人员和财产损失严重；工贸类企业具有安全事故频发、导致人员伤残和累计财产损失较小的特点，因而不能忽视。新北街道共</w:t>
      </w:r>
      <w:r>
        <w:rPr>
          <w:rFonts w:hint="eastAsia" w:ascii="仿宋_GB2312" w:hAnsi="Times New Roman" w:cs="Times New Roman"/>
          <w:color w:val="000000" w:themeColor="text1"/>
        </w:rPr>
        <w:t>有重点工贸企业3家</w:t>
      </w:r>
      <w:r>
        <w:rPr>
          <w:rFonts w:hint="eastAsia" w:ascii="仿宋_GB2312" w:cs="Times New Roman"/>
          <w:color w:val="000000" w:themeColor="text1"/>
        </w:rPr>
        <w:t>，主要涉及有限空间作业、临时用电、动火作业等特殊作业，容易出现中毒和窒息、机械伤害、触电等安全生产事故。</w:t>
      </w:r>
    </w:p>
    <w:p>
      <w:pPr>
        <w:numPr>
          <w:ilvl w:val="2"/>
          <w:numId w:val="28"/>
        </w:numPr>
        <w:ind w:firstLineChars="0"/>
        <w:rPr>
          <w:rFonts w:ascii="仿宋_GB2312" w:cs="Times New Roman"/>
          <w:color w:val="000000" w:themeColor="text1"/>
        </w:rPr>
      </w:pPr>
      <w:r>
        <w:rPr>
          <w:rFonts w:hint="eastAsia" w:ascii="仿宋_GB2312" w:cs="Times New Roman"/>
          <w:color w:val="000000" w:themeColor="text1"/>
        </w:rPr>
        <w:t>城镇热力供热站</w:t>
      </w:r>
    </w:p>
    <w:p>
      <w:pPr>
        <w:ind w:firstLine="560"/>
        <w:rPr>
          <w:rFonts w:ascii="仿宋_GB2312" w:hAnsi="Times New Roman" w:cs="Times New Roman"/>
          <w:color w:val="000000" w:themeColor="text1"/>
        </w:rPr>
      </w:pPr>
      <w:r>
        <w:rPr>
          <w:rFonts w:hint="eastAsia" w:ascii="仿宋_GB2312" w:hAnsi="Times New Roman" w:cs="Times New Roman"/>
          <w:color w:val="000000" w:themeColor="text1"/>
        </w:rPr>
        <w:t>新北街有3座供热站，金达、裕川供热站由原来的燃煤锅炉改造为燃气锅炉，由高新区代管，锅炉属于特种设备，具有爆炸危险，而燃气锅炉使用介质为城镇燃气，因城镇燃气95%的成分为天然气（甲烷：CH</w:t>
      </w:r>
      <w:r>
        <w:rPr>
          <w:rFonts w:hint="eastAsia" w:ascii="仿宋_GB2312" w:hAnsi="Times New Roman" w:cs="Times New Roman"/>
          <w:color w:val="000000" w:themeColor="text1"/>
          <w:vertAlign w:val="subscript"/>
        </w:rPr>
        <w:t>4</w:t>
      </w:r>
      <w:r>
        <w:rPr>
          <w:rFonts w:hint="eastAsia" w:ascii="仿宋_GB2312" w:hAnsi="Times New Roman" w:cs="Times New Roman"/>
          <w:color w:val="000000" w:themeColor="text1"/>
        </w:rPr>
        <w:t>），属于易燃易爆的甲类可燃气体，锅炉在运行中极易发生燃气泄漏管道事故，若安全附属设施失效不能及时预警，极易发生爆燃事故，供热站大都建在居民小区周边，一旦出现锅炉爆炸事故，对周围建筑、人员等损伤极大；福成供热站利用北塘电厂余热水进行供暖，主要设备为加压泵，使用、维修过程中易发生灼烫、机械伤害等事故。</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商场、专业市场风险源</w:t>
      </w:r>
    </w:p>
    <w:p>
      <w:pPr>
        <w:ind w:firstLine="560"/>
        <w:rPr>
          <w:rFonts w:ascii="仿宋_GB2312" w:hAnsi="Times New Roman" w:cs="Times New Roman"/>
          <w:color w:val="000000" w:themeColor="text1"/>
        </w:rPr>
      </w:pPr>
      <w:r>
        <w:rPr>
          <w:rFonts w:hint="eastAsia" w:ascii="仿宋_GB2312" w:cs="Times New Roman"/>
          <w:color w:val="000000" w:themeColor="text1"/>
        </w:rPr>
        <w:t>大型商场、商贸综合体、专业市场是集生活和人们社会活动的所有用品于一体，周转快，流动量大，是人员高度密集的场所，具有人员数最多，密度大，人员流动性强、人群组织程度低的特点，潜在火灾危害严重度较高</w:t>
      </w:r>
      <w:r>
        <w:rPr>
          <w:rFonts w:hint="eastAsia" w:ascii="仿宋_GB2312" w:hAnsi="Times New Roman" w:cs="Times New Roman"/>
          <w:color w:val="000000" w:themeColor="text1"/>
        </w:rPr>
        <w:t>。</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公共娱乐场所类风险源</w:t>
      </w:r>
    </w:p>
    <w:p>
      <w:pPr>
        <w:ind w:firstLine="560"/>
        <w:rPr>
          <w:rFonts w:ascii="仿宋_GB2312" w:hAnsi="Times New Roman" w:cs="Times New Roman"/>
          <w:color w:val="000000" w:themeColor="text1"/>
        </w:rPr>
      </w:pPr>
      <w:r>
        <w:rPr>
          <w:rFonts w:hint="eastAsia" w:ascii="仿宋_GB2312" w:cs="Times New Roman"/>
          <w:color w:val="000000" w:themeColor="text1"/>
        </w:rPr>
        <w:t>公共文化娱乐场所用电设备多，线路复杂，娱乐场所室内装饰、装修往往使用木材、塑料、纤维织品等可燃材料，火灾荷载超出规定要求，一旦发生火灾事故，火灾蔓延快，加上娱乐场所人员集中，疏散困难，秩序混乱，如果疏散通道不畅，极易造成群死群伤。</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宾馆酒店饭店类风险源</w:t>
      </w:r>
    </w:p>
    <w:p>
      <w:pPr>
        <w:ind w:firstLine="560"/>
        <w:rPr>
          <w:rFonts w:ascii="仿宋_GB2312" w:hAnsi="Times New Roman" w:cs="Times New Roman"/>
          <w:color w:val="000000" w:themeColor="text1"/>
        </w:rPr>
      </w:pPr>
      <w:r>
        <w:rPr>
          <w:rFonts w:hint="eastAsia" w:ascii="仿宋_GB2312" w:cs="Times New Roman"/>
          <w:color w:val="000000" w:themeColor="text1"/>
        </w:rPr>
        <w:t>宾馆、酒店和饭店一般都具有多功能、综合性的特点，使用功能复杂，装修豪华，人员集中，加之消防安全意识淡薄，致使近几年来重特大火灾频频发生。</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学校、幼儿园风险源</w:t>
      </w:r>
    </w:p>
    <w:p>
      <w:pPr>
        <w:ind w:firstLine="560"/>
        <w:rPr>
          <w:rFonts w:ascii="仿宋_GB2312" w:hAnsi="Times New Roman" w:cs="Times New Roman"/>
          <w:color w:val="000000" w:themeColor="text1"/>
        </w:rPr>
      </w:pPr>
      <w:r>
        <w:rPr>
          <w:rFonts w:hint="eastAsia" w:ascii="仿宋_GB2312" w:cs="Times New Roman"/>
          <w:color w:val="000000" w:themeColor="text1"/>
        </w:rPr>
        <w:t>学生公寓和宿舍人数多、活动时间相对集中，易形成人员拥挤和围观现象，一旦发生火灾，疏散困难，易造成重大伤亡。</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医院、养老院类风险源</w:t>
      </w:r>
    </w:p>
    <w:p>
      <w:pPr>
        <w:ind w:firstLine="560"/>
        <w:rPr>
          <w:rFonts w:ascii="仿宋_GB2312" w:hAnsi="Times New Roman" w:cs="Times New Roman"/>
          <w:color w:val="000000" w:themeColor="text1"/>
        </w:rPr>
      </w:pPr>
      <w:r>
        <w:rPr>
          <w:rFonts w:hint="eastAsia" w:ascii="仿宋_GB2312" w:cs="Times New Roman"/>
          <w:color w:val="000000" w:themeColor="text1"/>
        </w:rPr>
        <w:t>医院的药库、药房、胶片室、制剂室，放射机房内都存有大量的易燃、易爆物品和放射性物品，而且种类繁多，性质复杂，若发生火灾，加上脆弱性人群密集，不便控制和处理。医院是人员构成较为复杂的场所，若医患关系处理不当，则可能发生医闹事件，从而导致人员伤亡或财产损失。</w:t>
      </w:r>
    </w:p>
    <w:p>
      <w:pPr>
        <w:ind w:firstLine="560"/>
        <w:rPr>
          <w:rFonts w:ascii="仿宋_GB2312" w:hAnsi="Times New Roman" w:cs="Times New Roman"/>
          <w:color w:val="000000" w:themeColor="text1"/>
        </w:rPr>
      </w:pPr>
      <w:r>
        <w:rPr>
          <w:rFonts w:hint="eastAsia" w:ascii="仿宋_GB2312" w:cs="Times New Roman"/>
          <w:color w:val="000000" w:themeColor="text1"/>
        </w:rPr>
        <w:t>养老机构的服务对象主要是老年人、残疾人等特殊群体，他们大多体弱多病、行动不便，应对火灾的逃生能力很低。一旦发生火灾等特殊情况，养老机构如无法做到及时疏散和有效扑救，往往容易酿成事故。</w:t>
      </w:r>
    </w:p>
    <w:p>
      <w:pPr>
        <w:numPr>
          <w:ilvl w:val="2"/>
          <w:numId w:val="28"/>
        </w:numPr>
        <w:ind w:firstLineChars="0"/>
        <w:rPr>
          <w:rFonts w:ascii="仿宋_GB2312" w:hAnsi="Times New Roman" w:cs="Times New Roman"/>
          <w:color w:val="000000" w:themeColor="text1"/>
        </w:rPr>
      </w:pPr>
      <w:r>
        <w:rPr>
          <w:rFonts w:hint="eastAsia" w:ascii="仿宋_GB2312" w:cs="Times New Roman"/>
          <w:color w:val="000000" w:themeColor="text1"/>
        </w:rPr>
        <w:t>九小企业</w:t>
      </w:r>
    </w:p>
    <w:p>
      <w:pPr>
        <w:ind w:firstLine="560"/>
        <w:rPr>
          <w:rFonts w:ascii="仿宋_GB2312" w:hAnsi="Times New Roman" w:cs="Times New Roman"/>
          <w:color w:val="000000" w:themeColor="text1"/>
        </w:rPr>
      </w:pPr>
      <w:r>
        <w:rPr>
          <w:rFonts w:hint="eastAsia" w:ascii="仿宋_GB2312" w:cs="Times New Roman"/>
          <w:color w:val="000000" w:themeColor="text1"/>
        </w:rPr>
        <w:t>随着新北街道规划布局日趋完善及配套功能设施的逐渐落实，街道常驻人口数量逐年密集，服务于公众的人员密集场所和九小场所较多，火灾荷载较大，易引发消防火灾风险。一旦发生火灾事故，影响范围广，形势恶劣，社会影响大。</w:t>
      </w:r>
    </w:p>
    <w:p>
      <w:pPr>
        <w:pStyle w:val="5"/>
        <w:ind w:firstLine="562"/>
      </w:pPr>
      <w:r>
        <w:rPr>
          <w:rFonts w:hint="eastAsia"/>
        </w:rPr>
        <w:t>2.2.2重大危险源辨识</w:t>
      </w:r>
    </w:p>
    <w:p>
      <w:pPr>
        <w:ind w:firstLine="560"/>
        <w:rPr>
          <w:rFonts w:ascii="仿宋_GB2312" w:hAnsi="Times New Roman" w:cs="Times New Roman"/>
          <w:color w:val="000000" w:themeColor="text1"/>
        </w:rPr>
      </w:pPr>
      <w:r>
        <w:rPr>
          <w:rFonts w:hint="eastAsia" w:ascii="仿宋_GB2312" w:cs="Times New Roman"/>
          <w:color w:val="000000" w:themeColor="text1"/>
        </w:rPr>
        <w:t>新北街现有加油站</w:t>
      </w:r>
      <w:r>
        <w:rPr>
          <w:rFonts w:hint="eastAsia" w:ascii="仿宋_GB2312" w:hAnsi="Times New Roman" w:cs="Times New Roman"/>
          <w:color w:val="000000" w:themeColor="text1"/>
        </w:rPr>
        <w:t>3</w:t>
      </w:r>
      <w:r>
        <w:rPr>
          <w:rFonts w:hint="eastAsia" w:ascii="仿宋_GB2312" w:cs="Times New Roman"/>
          <w:color w:val="000000" w:themeColor="text1"/>
        </w:rPr>
        <w:t>家，涉</w:t>
      </w:r>
      <w:r>
        <w:rPr>
          <w:rFonts w:hint="eastAsia" w:ascii="仿宋_GB2312"/>
          <w:color w:val="000000" w:themeColor="text1"/>
        </w:rPr>
        <w:t>及的危险化学品储存物质有乙醇汽油、柴油，具体情况见下表。</w:t>
      </w:r>
    </w:p>
    <w:p>
      <w:pPr>
        <w:pStyle w:val="77"/>
      </w:pPr>
      <w:r>
        <w:rPr>
          <w:rFonts w:hint="eastAsia"/>
        </w:rPr>
        <w:t>表</w:t>
      </w:r>
      <w:r>
        <w:t xml:space="preserve">2-1 </w:t>
      </w:r>
      <w:r>
        <w:rPr>
          <w:rFonts w:hint="eastAsia"/>
        </w:rPr>
        <w:t>危险化学品储存情况</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86"/>
        <w:gridCol w:w="3711"/>
        <w:gridCol w:w="1494"/>
        <w:gridCol w:w="1290"/>
        <w:gridCol w:w="1494"/>
        <w:gridCol w:w="8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312" w:type="pct"/>
            <w:vAlign w:val="center"/>
          </w:tcPr>
          <w:p>
            <w:pPr>
              <w:pStyle w:val="79"/>
              <w:jc w:val="center"/>
              <w:rPr>
                <w:rFonts w:ascii="仿宋_GB2312"/>
                <w:b/>
              </w:rPr>
            </w:pPr>
            <w:r>
              <w:rPr>
                <w:rFonts w:hint="eastAsia" w:ascii="仿宋_GB2312"/>
                <w:b/>
              </w:rPr>
              <w:t>序号</w:t>
            </w:r>
          </w:p>
        </w:tc>
        <w:tc>
          <w:tcPr>
            <w:tcW w:w="1974" w:type="pct"/>
            <w:vAlign w:val="center"/>
          </w:tcPr>
          <w:p>
            <w:pPr>
              <w:pStyle w:val="79"/>
              <w:jc w:val="center"/>
              <w:rPr>
                <w:rFonts w:ascii="仿宋_GB2312"/>
                <w:b/>
              </w:rPr>
            </w:pPr>
            <w:r>
              <w:rPr>
                <w:rFonts w:hint="eastAsia" w:ascii="仿宋_GB2312"/>
                <w:b/>
              </w:rPr>
              <w:t>单位名称</w:t>
            </w:r>
          </w:p>
        </w:tc>
        <w:tc>
          <w:tcPr>
            <w:tcW w:w="795" w:type="pct"/>
            <w:vAlign w:val="center"/>
          </w:tcPr>
          <w:p>
            <w:pPr>
              <w:pStyle w:val="79"/>
              <w:jc w:val="center"/>
              <w:rPr>
                <w:rFonts w:ascii="仿宋_GB2312"/>
                <w:b/>
              </w:rPr>
            </w:pPr>
            <w:r>
              <w:rPr>
                <w:rFonts w:hint="eastAsia" w:ascii="仿宋_GB2312"/>
                <w:b/>
              </w:rPr>
              <w:t>经营介质</w:t>
            </w:r>
          </w:p>
        </w:tc>
        <w:tc>
          <w:tcPr>
            <w:tcW w:w="686" w:type="pct"/>
            <w:vAlign w:val="center"/>
          </w:tcPr>
          <w:p>
            <w:pPr>
              <w:pStyle w:val="79"/>
              <w:jc w:val="center"/>
              <w:rPr>
                <w:rFonts w:ascii="仿宋_GB2312"/>
                <w:b/>
              </w:rPr>
            </w:pPr>
            <w:r>
              <w:rPr>
                <w:rFonts w:hint="eastAsia" w:ascii="仿宋_GB2312"/>
                <w:b/>
              </w:rPr>
              <w:t>油罐储量（m</w:t>
            </w:r>
            <w:r>
              <w:rPr>
                <w:rFonts w:hint="eastAsia" w:ascii="仿宋_GB2312"/>
                <w:b/>
                <w:vertAlign w:val="superscript"/>
              </w:rPr>
              <w:t>3</w:t>
            </w:r>
            <w:r>
              <w:rPr>
                <w:rFonts w:hint="eastAsia" w:ascii="仿宋_GB2312"/>
                <w:b/>
              </w:rPr>
              <w:t>）</w:t>
            </w:r>
          </w:p>
        </w:tc>
        <w:tc>
          <w:tcPr>
            <w:tcW w:w="795" w:type="pct"/>
            <w:vAlign w:val="center"/>
          </w:tcPr>
          <w:p>
            <w:pPr>
              <w:pStyle w:val="79"/>
              <w:jc w:val="center"/>
              <w:rPr>
                <w:rFonts w:ascii="仿宋_GB2312"/>
                <w:b/>
              </w:rPr>
            </w:pPr>
            <w:r>
              <w:rPr>
                <w:rFonts w:hint="eastAsia" w:ascii="仿宋_GB2312"/>
                <w:b/>
              </w:rPr>
              <w:t>国家重点监管危险化学品</w:t>
            </w:r>
          </w:p>
        </w:tc>
        <w:tc>
          <w:tcPr>
            <w:tcW w:w="438" w:type="pct"/>
            <w:vAlign w:val="center"/>
          </w:tcPr>
          <w:p>
            <w:pPr>
              <w:pStyle w:val="79"/>
              <w:jc w:val="center"/>
              <w:rPr>
                <w:rFonts w:ascii="仿宋_GB2312"/>
                <w:b/>
              </w:rPr>
            </w:pPr>
            <w:r>
              <w:rPr>
                <w:rFonts w:hint="eastAsia" w:ascii="仿宋_GB2312"/>
                <w:b/>
              </w:rPr>
              <w:t>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12" w:type="pct"/>
            <w:vAlign w:val="center"/>
          </w:tcPr>
          <w:p>
            <w:pPr>
              <w:pStyle w:val="79"/>
              <w:jc w:val="center"/>
              <w:rPr>
                <w:rFonts w:ascii="仿宋_GB2312"/>
              </w:rPr>
            </w:pPr>
            <w:r>
              <w:rPr>
                <w:rFonts w:hint="eastAsia" w:ascii="仿宋_GB2312"/>
              </w:rPr>
              <w:t>1</w:t>
            </w:r>
          </w:p>
        </w:tc>
        <w:tc>
          <w:tcPr>
            <w:tcW w:w="1974" w:type="pct"/>
            <w:vAlign w:val="center"/>
          </w:tcPr>
          <w:p>
            <w:pPr>
              <w:pStyle w:val="79"/>
              <w:rPr>
                <w:rFonts w:ascii="仿宋_GB2312"/>
              </w:rPr>
            </w:pPr>
            <w:r>
              <w:rPr>
                <w:rFonts w:hint="eastAsia" w:ascii="仿宋_GB2312"/>
              </w:rPr>
              <w:t>中国石化销售有限公司天津石油分公司滨海金三角加油站</w:t>
            </w:r>
          </w:p>
        </w:tc>
        <w:tc>
          <w:tcPr>
            <w:tcW w:w="795" w:type="pct"/>
            <w:vAlign w:val="center"/>
          </w:tcPr>
          <w:p>
            <w:pPr>
              <w:pStyle w:val="79"/>
              <w:rPr>
                <w:rFonts w:ascii="仿宋_GB2312"/>
              </w:rPr>
            </w:pPr>
            <w:r>
              <w:rPr>
                <w:rFonts w:hint="eastAsia" w:ascii="仿宋_GB2312"/>
              </w:rPr>
              <w:t>乙醇汽油</w:t>
            </w:r>
          </w:p>
          <w:p>
            <w:pPr>
              <w:pStyle w:val="79"/>
              <w:rPr>
                <w:rFonts w:ascii="仿宋_GB2312"/>
              </w:rPr>
            </w:pPr>
            <w:r>
              <w:rPr>
                <w:rFonts w:hint="eastAsia" w:ascii="仿宋_GB2312"/>
              </w:rPr>
              <w:t>柴油</w:t>
            </w:r>
          </w:p>
        </w:tc>
        <w:tc>
          <w:tcPr>
            <w:tcW w:w="686" w:type="pct"/>
            <w:vAlign w:val="center"/>
          </w:tcPr>
          <w:p>
            <w:pPr>
              <w:pStyle w:val="79"/>
              <w:jc w:val="center"/>
              <w:rPr>
                <w:rFonts w:ascii="仿宋_GB2312"/>
              </w:rPr>
            </w:pPr>
            <w:r>
              <w:rPr>
                <w:rFonts w:hint="eastAsia" w:ascii="仿宋_GB2312"/>
              </w:rPr>
              <w:t>180</w:t>
            </w:r>
          </w:p>
        </w:tc>
        <w:tc>
          <w:tcPr>
            <w:tcW w:w="795" w:type="pct"/>
            <w:vAlign w:val="center"/>
          </w:tcPr>
          <w:p>
            <w:pPr>
              <w:pStyle w:val="79"/>
              <w:rPr>
                <w:rFonts w:ascii="仿宋_GB2312"/>
              </w:rPr>
            </w:pPr>
            <w:r>
              <w:rPr>
                <w:rFonts w:hint="eastAsia" w:ascii="仿宋_GB2312"/>
              </w:rPr>
              <w:t>乙醇汽油</w:t>
            </w:r>
          </w:p>
        </w:tc>
        <w:tc>
          <w:tcPr>
            <w:tcW w:w="438" w:type="pct"/>
            <w:vAlign w:val="center"/>
          </w:tcPr>
          <w:p>
            <w:pPr>
              <w:pStyle w:val="79"/>
              <w:rPr>
                <w:rFonts w:ascii="仿宋_GB2312"/>
              </w:rPr>
            </w:pPr>
            <w:r>
              <w:rPr>
                <w:rFonts w:hint="eastAsia" w:ascii="仿宋_GB2312"/>
              </w:rPr>
              <w:t>二级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12" w:type="pct"/>
            <w:vAlign w:val="center"/>
          </w:tcPr>
          <w:p>
            <w:pPr>
              <w:pStyle w:val="79"/>
              <w:jc w:val="center"/>
              <w:rPr>
                <w:rFonts w:ascii="仿宋_GB2312"/>
              </w:rPr>
            </w:pPr>
            <w:r>
              <w:rPr>
                <w:rFonts w:hint="eastAsia" w:ascii="仿宋_GB2312"/>
              </w:rPr>
              <w:t>2</w:t>
            </w:r>
          </w:p>
        </w:tc>
        <w:tc>
          <w:tcPr>
            <w:tcW w:w="1974" w:type="pct"/>
            <w:vAlign w:val="center"/>
          </w:tcPr>
          <w:p>
            <w:pPr>
              <w:pStyle w:val="79"/>
              <w:rPr>
                <w:rFonts w:ascii="仿宋_GB2312"/>
              </w:rPr>
            </w:pPr>
            <w:r>
              <w:rPr>
                <w:rFonts w:hint="eastAsia" w:ascii="仿宋_GB2312"/>
              </w:rPr>
              <w:t>中国石化销售有限公司天津石油分公司滨海新北加油站</w:t>
            </w:r>
          </w:p>
        </w:tc>
        <w:tc>
          <w:tcPr>
            <w:tcW w:w="795" w:type="pct"/>
            <w:vAlign w:val="center"/>
          </w:tcPr>
          <w:p>
            <w:pPr>
              <w:pStyle w:val="79"/>
              <w:rPr>
                <w:rFonts w:ascii="仿宋_GB2312"/>
              </w:rPr>
            </w:pPr>
            <w:r>
              <w:rPr>
                <w:rFonts w:hint="eastAsia" w:ascii="仿宋_GB2312"/>
              </w:rPr>
              <w:t>乙醇汽油</w:t>
            </w:r>
          </w:p>
          <w:p>
            <w:pPr>
              <w:pStyle w:val="79"/>
              <w:rPr>
                <w:rFonts w:ascii="仿宋_GB2312"/>
              </w:rPr>
            </w:pPr>
            <w:r>
              <w:rPr>
                <w:rFonts w:hint="eastAsia" w:ascii="仿宋_GB2312"/>
              </w:rPr>
              <w:t>柴油</w:t>
            </w:r>
          </w:p>
        </w:tc>
        <w:tc>
          <w:tcPr>
            <w:tcW w:w="686" w:type="pct"/>
            <w:vAlign w:val="center"/>
          </w:tcPr>
          <w:p>
            <w:pPr>
              <w:pStyle w:val="79"/>
              <w:jc w:val="center"/>
              <w:rPr>
                <w:rFonts w:ascii="仿宋_GB2312"/>
              </w:rPr>
            </w:pPr>
            <w:r>
              <w:rPr>
                <w:rFonts w:hint="eastAsia" w:ascii="仿宋_GB2312"/>
              </w:rPr>
              <w:t>100</w:t>
            </w:r>
          </w:p>
        </w:tc>
        <w:tc>
          <w:tcPr>
            <w:tcW w:w="795" w:type="pct"/>
            <w:vAlign w:val="center"/>
          </w:tcPr>
          <w:p>
            <w:pPr>
              <w:pStyle w:val="79"/>
              <w:rPr>
                <w:rFonts w:ascii="仿宋_GB2312"/>
              </w:rPr>
            </w:pPr>
            <w:r>
              <w:rPr>
                <w:rFonts w:hint="eastAsia" w:ascii="仿宋_GB2312"/>
              </w:rPr>
              <w:t>乙醇汽油</w:t>
            </w:r>
          </w:p>
        </w:tc>
        <w:tc>
          <w:tcPr>
            <w:tcW w:w="438" w:type="pct"/>
            <w:vAlign w:val="center"/>
          </w:tcPr>
          <w:p>
            <w:pPr>
              <w:pStyle w:val="79"/>
              <w:rPr>
                <w:rFonts w:ascii="仿宋_GB2312"/>
              </w:rPr>
            </w:pPr>
            <w:r>
              <w:rPr>
                <w:rFonts w:hint="eastAsia" w:ascii="仿宋_GB2312"/>
              </w:rPr>
              <w:t>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12" w:type="pct"/>
            <w:vAlign w:val="center"/>
          </w:tcPr>
          <w:p>
            <w:pPr>
              <w:pStyle w:val="79"/>
              <w:jc w:val="center"/>
              <w:rPr>
                <w:rFonts w:ascii="仿宋_GB2312"/>
              </w:rPr>
            </w:pPr>
            <w:r>
              <w:rPr>
                <w:rFonts w:hint="eastAsia" w:ascii="仿宋_GB2312"/>
              </w:rPr>
              <w:t>2</w:t>
            </w:r>
          </w:p>
        </w:tc>
        <w:tc>
          <w:tcPr>
            <w:tcW w:w="1974" w:type="pct"/>
            <w:vAlign w:val="center"/>
          </w:tcPr>
          <w:p>
            <w:pPr>
              <w:pStyle w:val="79"/>
              <w:rPr>
                <w:rFonts w:ascii="仿宋_GB2312"/>
              </w:rPr>
            </w:pPr>
            <w:r>
              <w:rPr>
                <w:rFonts w:hint="eastAsia" w:ascii="仿宋_GB2312"/>
              </w:rPr>
              <w:t>天津市塘沽协和加油服务有限公司</w:t>
            </w:r>
          </w:p>
        </w:tc>
        <w:tc>
          <w:tcPr>
            <w:tcW w:w="795" w:type="pct"/>
            <w:vAlign w:val="center"/>
          </w:tcPr>
          <w:p>
            <w:pPr>
              <w:pStyle w:val="79"/>
              <w:rPr>
                <w:rFonts w:ascii="仿宋_GB2312"/>
              </w:rPr>
            </w:pPr>
            <w:r>
              <w:rPr>
                <w:rFonts w:hint="eastAsia" w:ascii="仿宋_GB2312"/>
              </w:rPr>
              <w:t>乙醇汽油</w:t>
            </w:r>
          </w:p>
          <w:p>
            <w:pPr>
              <w:pStyle w:val="79"/>
              <w:rPr>
                <w:rFonts w:ascii="仿宋_GB2312"/>
              </w:rPr>
            </w:pPr>
            <w:r>
              <w:rPr>
                <w:rFonts w:hint="eastAsia" w:ascii="仿宋_GB2312"/>
              </w:rPr>
              <w:t>柴油</w:t>
            </w:r>
          </w:p>
        </w:tc>
        <w:tc>
          <w:tcPr>
            <w:tcW w:w="686" w:type="pct"/>
            <w:vAlign w:val="center"/>
          </w:tcPr>
          <w:p>
            <w:pPr>
              <w:pStyle w:val="79"/>
              <w:jc w:val="center"/>
              <w:rPr>
                <w:rFonts w:ascii="仿宋_GB2312"/>
              </w:rPr>
            </w:pPr>
            <w:r>
              <w:rPr>
                <w:rFonts w:hint="eastAsia" w:ascii="仿宋_GB2312"/>
              </w:rPr>
              <w:t>120</w:t>
            </w:r>
          </w:p>
        </w:tc>
        <w:tc>
          <w:tcPr>
            <w:tcW w:w="795" w:type="pct"/>
            <w:vAlign w:val="center"/>
          </w:tcPr>
          <w:p>
            <w:pPr>
              <w:pStyle w:val="79"/>
              <w:rPr>
                <w:rFonts w:ascii="仿宋_GB2312"/>
              </w:rPr>
            </w:pPr>
            <w:r>
              <w:rPr>
                <w:rFonts w:hint="eastAsia" w:ascii="仿宋_GB2312"/>
              </w:rPr>
              <w:t>乙醇汽油</w:t>
            </w:r>
          </w:p>
        </w:tc>
        <w:tc>
          <w:tcPr>
            <w:tcW w:w="438" w:type="pct"/>
            <w:vAlign w:val="center"/>
          </w:tcPr>
          <w:p>
            <w:pPr>
              <w:pStyle w:val="79"/>
              <w:rPr>
                <w:rFonts w:ascii="仿宋_GB2312"/>
              </w:rPr>
            </w:pPr>
            <w:r>
              <w:rPr>
                <w:rFonts w:hint="eastAsia" w:ascii="仿宋_GB2312"/>
              </w:rPr>
              <w:t>三级</w:t>
            </w:r>
          </w:p>
        </w:tc>
      </w:tr>
    </w:tbl>
    <w:p>
      <w:pPr>
        <w:pStyle w:val="83"/>
        <w:spacing w:before="314" w:after="314" w:line="540" w:lineRule="exact"/>
        <w:ind w:firstLine="560" w:firstLineChars="200"/>
        <w:jc w:val="left"/>
        <w:rPr>
          <w:rFonts w:hAnsi="Times New Roman"/>
          <w:b/>
          <w:color w:val="000000" w:themeColor="text1"/>
        </w:rPr>
      </w:pPr>
      <w:r>
        <w:rPr>
          <w:rFonts w:hint="eastAsia"/>
          <w:color w:val="000000" w:themeColor="text1"/>
        </w:rPr>
        <w:t>依据《危险化学品重大危险源辨识》（</w:t>
      </w:r>
      <w:r>
        <w:rPr>
          <w:rFonts w:hint="eastAsia" w:hAnsi="Times New Roman"/>
          <w:color w:val="000000" w:themeColor="text1"/>
        </w:rPr>
        <w:t>GB18218-2018</w:t>
      </w:r>
      <w:r>
        <w:rPr>
          <w:rFonts w:hint="eastAsia"/>
          <w:color w:val="000000" w:themeColor="text1"/>
        </w:rPr>
        <w:t>），乙醇汽油的临界量为200t，柴油的临界量为5000t。故新北街辖区内3家加油站均不构成重大危险源。</w:t>
      </w:r>
    </w:p>
    <w:p>
      <w:pPr>
        <w:pStyle w:val="5"/>
        <w:ind w:firstLine="562"/>
      </w:pPr>
      <w:r>
        <w:rPr>
          <w:rFonts w:hint="eastAsia"/>
        </w:rPr>
        <w:t>2.2.3主要危险源分析及后果预测</w:t>
      </w:r>
    </w:p>
    <w:p>
      <w:pPr>
        <w:ind w:firstLine="560"/>
        <w:rPr>
          <w:rFonts w:ascii="仿宋_GB2312" w:hAnsi="Times New Roman" w:cs="Times New Roman"/>
          <w:color w:val="000000" w:themeColor="text1"/>
        </w:rPr>
      </w:pPr>
      <w:r>
        <w:rPr>
          <w:rFonts w:hint="eastAsia" w:ascii="仿宋_GB2312" w:cs="Times New Roman"/>
          <w:color w:val="000000" w:themeColor="text1"/>
        </w:rPr>
        <w:t>新北街主要生产经营单位可能发生的生产安全事故种类如下。</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物体打击。指物体在重力或其他外力的作用下产生运动，打击人体而造成人身伤亡事故。不包括主体机械设备、车辆、起重机械、坍塌等引发的物体打击。</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车辆伤害。指企业机动车辆在行驶中引起的人体坠落和物体倒塌、飞落、挤压等伤亡事故。不包括起重提升、牵引车辆和车辆停驶时发生的事故。</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机械伤害。指机械设备运动或静止部件、工具、加工件直接与人体接触引起的挤压、碰撞、冲击、剪切、卷入、绞绕、甩出、切割、切断、刺扎等伤害，不包括车辆、起重机械引起的伤害。</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起重伤害。指各种起重作业（包括起重机械安装、检修、试验）中发生的挤压、坠落、物体（吊具、吊重物）打击等。</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触电。包括各种设备、设施的触电，电工作业时触电，雷击等。</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灼烫。指火焰烧伤、高温物体烫伤、化学灼伤（酸、碱、盐、有机物引起的体内外的灼伤）、物理灼伤（光、放射性物质引起的体内外的灼伤）。不包括电灼伤和火灾除此引起的烧伤。</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火灾。包括火灾引起的烧伤和死亡。</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高处坠落。指在高处作业中发生坠落造成的伤害事故。不包括触电坠落事故。</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坍塌。是指物体在外力或重力作用下，超过自身的强度极限或因结构稳定性破坏而造成的事故。如挖沟时的土石塌方、脚手架坍塌、堆置物倒塌、建筑物坍塌等。不适用于矿山冒顶片帮和车辆、起重机械、爆破引起的坍塌。</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化学性爆炸。指可燃性气体、粉尘等与空气混合形成爆炸混合物，接触引爆源发生的爆炸事故（包括气体分解、喷雾爆炸等）。</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物理性爆炸。包括锅炉爆炸、容器超压爆炸等。</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中毒和窒息。包括中毒、缺氧窒息、中毒性窒息。</w:t>
      </w:r>
    </w:p>
    <w:p>
      <w:pPr>
        <w:numPr>
          <w:ilvl w:val="0"/>
          <w:numId w:val="29"/>
        </w:numPr>
        <w:ind w:firstLineChars="0"/>
        <w:rPr>
          <w:rFonts w:ascii="仿宋_GB2312" w:hAnsi="Times New Roman" w:cs="Times New Roman"/>
          <w:color w:val="000000" w:themeColor="text1"/>
        </w:rPr>
      </w:pPr>
      <w:r>
        <w:rPr>
          <w:rFonts w:hint="eastAsia" w:ascii="仿宋_GB2312" w:cs="Times New Roman"/>
          <w:color w:val="000000" w:themeColor="text1"/>
        </w:rPr>
        <w:t>其他伤害。指除上述以外的伤害，如摔、扭、挫、擦等伤害。</w:t>
      </w:r>
    </w:p>
    <w:p>
      <w:pPr>
        <w:pStyle w:val="3"/>
        <w:ind w:firstLine="301"/>
      </w:pPr>
      <w:r>
        <w:rPr>
          <w:rFonts w:hint="eastAsia"/>
        </w:rPr>
        <w:br w:type="page"/>
      </w:r>
      <w:bookmarkStart w:id="174" w:name="_Toc49846965"/>
      <w:r>
        <w:rPr>
          <w:rFonts w:hint="eastAsia"/>
        </w:rPr>
        <w:t>附件3应急指挥部名单</w:t>
      </w:r>
      <w:bookmarkEnd w:id="174"/>
    </w:p>
    <w:tbl>
      <w:tblPr>
        <w:tblStyle w:val="34"/>
        <w:tblW w:w="3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55"/>
        <w:gridCol w:w="1253"/>
        <w:gridCol w:w="1253"/>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519" w:type="pct"/>
            <w:vAlign w:val="center"/>
          </w:tcPr>
          <w:p>
            <w:pPr>
              <w:pStyle w:val="79"/>
              <w:jc w:val="center"/>
              <w:rPr>
                <w:rFonts w:ascii="仿宋_GB2312"/>
                <w:b/>
              </w:rPr>
            </w:pPr>
            <w:r>
              <w:rPr>
                <w:rFonts w:hint="eastAsia" w:ascii="仿宋_GB2312"/>
                <w:b/>
              </w:rPr>
              <w:t>序号</w:t>
            </w:r>
          </w:p>
        </w:tc>
        <w:tc>
          <w:tcPr>
            <w:tcW w:w="991" w:type="pct"/>
            <w:vAlign w:val="center"/>
          </w:tcPr>
          <w:p>
            <w:pPr>
              <w:pStyle w:val="79"/>
              <w:jc w:val="center"/>
              <w:rPr>
                <w:rFonts w:ascii="仿宋_GB2312"/>
                <w:b/>
              </w:rPr>
            </w:pPr>
            <w:r>
              <w:rPr>
                <w:rFonts w:hint="eastAsia" w:ascii="仿宋_GB2312"/>
                <w:b/>
              </w:rPr>
              <w:t>职务</w:t>
            </w:r>
          </w:p>
        </w:tc>
        <w:tc>
          <w:tcPr>
            <w:tcW w:w="991" w:type="pct"/>
            <w:vAlign w:val="center"/>
          </w:tcPr>
          <w:p>
            <w:pPr>
              <w:pStyle w:val="79"/>
              <w:jc w:val="center"/>
              <w:rPr>
                <w:rFonts w:ascii="仿宋_GB2312"/>
                <w:b/>
              </w:rPr>
            </w:pPr>
            <w:r>
              <w:rPr>
                <w:rFonts w:hint="eastAsia" w:ascii="仿宋_GB2312"/>
                <w:b/>
              </w:rPr>
              <w:t>姓  名</w:t>
            </w:r>
          </w:p>
        </w:tc>
        <w:tc>
          <w:tcPr>
            <w:tcW w:w="2497" w:type="pct"/>
            <w:vAlign w:val="center"/>
          </w:tcPr>
          <w:p>
            <w:pPr>
              <w:pStyle w:val="79"/>
              <w:jc w:val="center"/>
              <w:rPr>
                <w:rFonts w:ascii="仿宋_GB2312"/>
                <w:b/>
              </w:rPr>
            </w:pPr>
            <w:r>
              <w:rPr>
                <w:rFonts w:hint="eastAsia" w:ascii="仿宋_GB2312"/>
                <w:b/>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总指挥</w:t>
            </w:r>
          </w:p>
        </w:tc>
        <w:tc>
          <w:tcPr>
            <w:tcW w:w="991" w:type="pct"/>
            <w:vAlign w:val="center"/>
          </w:tcPr>
          <w:p>
            <w:pPr>
              <w:pStyle w:val="79"/>
              <w:jc w:val="center"/>
              <w:rPr>
                <w:rFonts w:ascii="仿宋_GB2312"/>
              </w:rPr>
            </w:pPr>
            <w:r>
              <w:rPr>
                <w:rFonts w:hint="eastAsia" w:ascii="仿宋_GB2312"/>
              </w:rPr>
              <w:t>杨  静</w:t>
            </w:r>
          </w:p>
        </w:tc>
        <w:tc>
          <w:tcPr>
            <w:tcW w:w="2497" w:type="pct"/>
            <w:vAlign w:val="center"/>
          </w:tcPr>
          <w:p>
            <w:pPr>
              <w:pStyle w:val="79"/>
              <w:rPr>
                <w:rFonts w:ascii="仿宋_GB2312"/>
              </w:rPr>
            </w:pPr>
            <w:r>
              <w:rPr>
                <w:rFonts w:hint="eastAsia" w:ascii="仿宋_GB2312"/>
              </w:rPr>
              <w:t>新北街道办事处书记、</w:t>
            </w:r>
          </w:p>
          <w:p>
            <w:pPr>
              <w:pStyle w:val="79"/>
              <w:rPr>
                <w:rFonts w:ascii="仿宋_GB2312"/>
              </w:rPr>
            </w:pPr>
            <w:r>
              <w:rPr>
                <w:rFonts w:hint="eastAsia" w:ascii="仿宋_GB2312"/>
              </w:rPr>
              <w:t>人大工委主任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副总指挥</w:t>
            </w:r>
          </w:p>
        </w:tc>
        <w:tc>
          <w:tcPr>
            <w:tcW w:w="991" w:type="pct"/>
            <w:vAlign w:val="center"/>
          </w:tcPr>
          <w:p>
            <w:pPr>
              <w:pStyle w:val="79"/>
              <w:jc w:val="center"/>
              <w:rPr>
                <w:rFonts w:ascii="仿宋_GB2312"/>
              </w:rPr>
            </w:pPr>
            <w:r>
              <w:rPr>
                <w:rFonts w:hint="eastAsia" w:ascii="仿宋_GB2312"/>
              </w:rPr>
              <w:t>李武满</w:t>
            </w:r>
          </w:p>
        </w:tc>
        <w:tc>
          <w:tcPr>
            <w:tcW w:w="2497" w:type="pct"/>
            <w:vAlign w:val="center"/>
          </w:tcPr>
          <w:p>
            <w:pPr>
              <w:pStyle w:val="79"/>
              <w:rPr>
                <w:rFonts w:ascii="仿宋_GB2312"/>
              </w:rPr>
            </w:pPr>
            <w:r>
              <w:rPr>
                <w:rFonts w:hint="eastAsia" w:ascii="仿宋_GB2312"/>
              </w:rPr>
              <w:t>新北街道办事分管安全</w:t>
            </w:r>
          </w:p>
          <w:p>
            <w:pPr>
              <w:pStyle w:val="79"/>
              <w:rPr>
                <w:rFonts w:ascii="仿宋_GB2312"/>
              </w:rPr>
            </w:pPr>
            <w:r>
              <w:rPr>
                <w:rFonts w:hint="eastAsia" w:ascii="仿宋_GB2312"/>
              </w:rPr>
              <w:t>副主任、工委委员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张永兰</w:t>
            </w:r>
          </w:p>
        </w:tc>
        <w:tc>
          <w:tcPr>
            <w:tcW w:w="2497" w:type="pct"/>
            <w:vAlign w:val="center"/>
          </w:tcPr>
          <w:p>
            <w:pPr>
              <w:pStyle w:val="79"/>
              <w:rPr>
                <w:rFonts w:ascii="仿宋_GB2312"/>
              </w:rPr>
            </w:pPr>
            <w:r>
              <w:rPr>
                <w:rFonts w:hint="eastAsia" w:ascii="仿宋_GB2312"/>
              </w:rPr>
              <w:t>新北街道人大工委副主任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宋玉虹</w:t>
            </w:r>
          </w:p>
        </w:tc>
        <w:tc>
          <w:tcPr>
            <w:tcW w:w="2497" w:type="pct"/>
            <w:vAlign w:val="center"/>
          </w:tcPr>
          <w:p>
            <w:pPr>
              <w:pStyle w:val="79"/>
              <w:rPr>
                <w:rFonts w:ascii="仿宋_GB2312"/>
              </w:rPr>
            </w:pPr>
            <w:r>
              <w:rPr>
                <w:rFonts w:hint="eastAsia" w:ascii="仿宋_GB2312"/>
              </w:rPr>
              <w:t>新北街道纪工委书记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王金华</w:t>
            </w:r>
          </w:p>
        </w:tc>
        <w:tc>
          <w:tcPr>
            <w:tcW w:w="2497" w:type="pct"/>
            <w:vAlign w:val="center"/>
          </w:tcPr>
          <w:p>
            <w:pPr>
              <w:pStyle w:val="79"/>
              <w:rPr>
                <w:rFonts w:ascii="仿宋_GB2312"/>
              </w:rPr>
            </w:pPr>
            <w:r>
              <w:rPr>
                <w:rFonts w:hint="eastAsia" w:ascii="仿宋_GB2312"/>
              </w:rPr>
              <w:t>新北街道武装部部长、</w:t>
            </w:r>
          </w:p>
          <w:p>
            <w:pPr>
              <w:pStyle w:val="79"/>
              <w:rPr>
                <w:rFonts w:ascii="仿宋_GB2312"/>
              </w:rPr>
            </w:pPr>
            <w:r>
              <w:rPr>
                <w:rFonts w:hint="eastAsia" w:ascii="仿宋_GB2312"/>
              </w:rPr>
              <w:t>工委委员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刘  伟</w:t>
            </w:r>
          </w:p>
        </w:tc>
        <w:tc>
          <w:tcPr>
            <w:tcW w:w="2497" w:type="pct"/>
            <w:vAlign w:val="center"/>
          </w:tcPr>
          <w:p>
            <w:pPr>
              <w:pStyle w:val="79"/>
              <w:rPr>
                <w:rFonts w:ascii="仿宋_GB2312"/>
              </w:rPr>
            </w:pPr>
            <w:r>
              <w:rPr>
                <w:rFonts w:hint="eastAsia" w:ascii="仿宋_GB2312"/>
              </w:rPr>
              <w:t>新北街道办事处副主任、</w:t>
            </w:r>
          </w:p>
          <w:p>
            <w:pPr>
              <w:pStyle w:val="79"/>
              <w:rPr>
                <w:rFonts w:ascii="仿宋_GB2312"/>
              </w:rPr>
            </w:pPr>
            <w:r>
              <w:rPr>
                <w:rFonts w:hint="eastAsia" w:ascii="仿宋_GB2312"/>
              </w:rPr>
              <w:t>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马连宏</w:t>
            </w:r>
          </w:p>
        </w:tc>
        <w:tc>
          <w:tcPr>
            <w:tcW w:w="2497" w:type="pct"/>
            <w:vAlign w:val="center"/>
          </w:tcPr>
          <w:p>
            <w:pPr>
              <w:pStyle w:val="79"/>
              <w:rPr>
                <w:rFonts w:ascii="仿宋_GB2312"/>
              </w:rPr>
            </w:pPr>
            <w:r>
              <w:rPr>
                <w:rFonts w:hint="eastAsia" w:ascii="仿宋_GB2312"/>
              </w:rPr>
              <w:t>新北街道办事处副主任、</w:t>
            </w:r>
          </w:p>
          <w:p>
            <w:pPr>
              <w:pStyle w:val="79"/>
              <w:rPr>
                <w:rFonts w:ascii="仿宋_GB2312"/>
              </w:rPr>
            </w:pPr>
            <w:r>
              <w:rPr>
                <w:rFonts w:hint="eastAsia" w:ascii="仿宋_GB2312"/>
              </w:rPr>
              <w:t>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黄奕玲</w:t>
            </w:r>
          </w:p>
        </w:tc>
        <w:tc>
          <w:tcPr>
            <w:tcW w:w="2497" w:type="pct"/>
            <w:vAlign w:val="center"/>
          </w:tcPr>
          <w:p>
            <w:pPr>
              <w:pStyle w:val="79"/>
              <w:rPr>
                <w:rFonts w:ascii="仿宋_GB2312"/>
              </w:rPr>
            </w:pPr>
            <w:r>
              <w:rPr>
                <w:rFonts w:hint="eastAsia" w:ascii="仿宋_GB2312"/>
              </w:rPr>
              <w:t>新北街道办事处副主任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孙有</w:t>
            </w:r>
          </w:p>
        </w:tc>
        <w:tc>
          <w:tcPr>
            <w:tcW w:w="2497" w:type="pct"/>
            <w:vAlign w:val="center"/>
          </w:tcPr>
          <w:p>
            <w:pPr>
              <w:pStyle w:val="79"/>
              <w:rPr>
                <w:rFonts w:ascii="仿宋_GB2312"/>
              </w:rPr>
            </w:pPr>
            <w:r>
              <w:rPr>
                <w:rFonts w:hint="eastAsia" w:ascii="仿宋_GB2312"/>
              </w:rPr>
              <w:t>新北街道办事处副主任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程  江</w:t>
            </w:r>
          </w:p>
        </w:tc>
        <w:tc>
          <w:tcPr>
            <w:tcW w:w="2497" w:type="pct"/>
            <w:vAlign w:val="center"/>
          </w:tcPr>
          <w:p>
            <w:pPr>
              <w:pStyle w:val="79"/>
              <w:rPr>
                <w:rFonts w:ascii="仿宋_GB2312"/>
              </w:rPr>
            </w:pPr>
            <w:r>
              <w:rPr>
                <w:rFonts w:hint="eastAsia" w:ascii="仿宋_GB2312"/>
              </w:rPr>
              <w:t>新北街道办事处</w:t>
            </w:r>
          </w:p>
          <w:p>
            <w:pPr>
              <w:pStyle w:val="79"/>
              <w:rPr>
                <w:rFonts w:ascii="仿宋_GB2312"/>
              </w:rPr>
            </w:pPr>
            <w:r>
              <w:rPr>
                <w:rFonts w:hint="eastAsia" w:ascii="仿宋_GB2312"/>
              </w:rPr>
              <w:t>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朱小平</w:t>
            </w:r>
          </w:p>
        </w:tc>
        <w:tc>
          <w:tcPr>
            <w:tcW w:w="2497" w:type="pct"/>
            <w:vAlign w:val="center"/>
          </w:tcPr>
          <w:p>
            <w:pPr>
              <w:pStyle w:val="79"/>
              <w:rPr>
                <w:rFonts w:ascii="仿宋_GB2312"/>
              </w:rPr>
            </w:pPr>
            <w:r>
              <w:rPr>
                <w:rFonts w:hint="eastAsia" w:ascii="仿宋_GB2312"/>
              </w:rPr>
              <w:t>新北街道办事处</w:t>
            </w:r>
          </w:p>
          <w:p>
            <w:pPr>
              <w:pStyle w:val="79"/>
              <w:rPr>
                <w:rFonts w:ascii="仿宋_GB2312"/>
              </w:rPr>
            </w:pPr>
            <w:r>
              <w:rPr>
                <w:rFonts w:hint="eastAsia" w:ascii="仿宋_GB2312"/>
              </w:rPr>
              <w:t>二级调研员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崔  利</w:t>
            </w:r>
          </w:p>
        </w:tc>
        <w:tc>
          <w:tcPr>
            <w:tcW w:w="2497" w:type="pct"/>
            <w:vAlign w:val="center"/>
          </w:tcPr>
          <w:p>
            <w:pPr>
              <w:pStyle w:val="79"/>
              <w:rPr>
                <w:rFonts w:ascii="仿宋_GB2312"/>
              </w:rPr>
            </w:pPr>
            <w:r>
              <w:rPr>
                <w:rFonts w:hint="eastAsia" w:ascii="仿宋_GB2312"/>
              </w:rPr>
              <w:t>新北街道办事处</w:t>
            </w:r>
          </w:p>
          <w:p>
            <w:pPr>
              <w:pStyle w:val="79"/>
              <w:rPr>
                <w:rFonts w:ascii="仿宋_GB2312"/>
              </w:rPr>
            </w:pPr>
            <w:r>
              <w:rPr>
                <w:rFonts w:hint="eastAsia" w:ascii="仿宋_GB2312"/>
              </w:rPr>
              <w:t>四级调研员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常生林</w:t>
            </w:r>
          </w:p>
        </w:tc>
        <w:tc>
          <w:tcPr>
            <w:tcW w:w="2497" w:type="pct"/>
            <w:vAlign w:val="center"/>
          </w:tcPr>
          <w:p>
            <w:pPr>
              <w:pStyle w:val="79"/>
              <w:rPr>
                <w:rFonts w:ascii="仿宋_GB2312"/>
              </w:rPr>
            </w:pPr>
            <w:r>
              <w:rPr>
                <w:rFonts w:hint="eastAsia" w:ascii="仿宋_GB2312"/>
              </w:rPr>
              <w:t>新北街道办事处</w:t>
            </w:r>
          </w:p>
          <w:p>
            <w:pPr>
              <w:pStyle w:val="79"/>
              <w:rPr>
                <w:rFonts w:ascii="仿宋_GB2312"/>
              </w:rPr>
            </w:pPr>
            <w:r>
              <w:rPr>
                <w:rFonts w:hint="eastAsia" w:ascii="仿宋_GB2312"/>
              </w:rPr>
              <w:t>四级调研员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唐  勇</w:t>
            </w:r>
          </w:p>
        </w:tc>
        <w:tc>
          <w:tcPr>
            <w:tcW w:w="2497" w:type="pct"/>
            <w:vAlign w:val="center"/>
          </w:tcPr>
          <w:p>
            <w:pPr>
              <w:pStyle w:val="79"/>
              <w:rPr>
                <w:rFonts w:ascii="仿宋_GB2312"/>
              </w:rPr>
            </w:pPr>
            <w:r>
              <w:rPr>
                <w:rFonts w:hint="eastAsia" w:ascii="仿宋_GB2312"/>
              </w:rPr>
              <w:t>新北街道办事处</w:t>
            </w:r>
          </w:p>
          <w:p>
            <w:pPr>
              <w:pStyle w:val="79"/>
              <w:rPr>
                <w:rFonts w:ascii="仿宋_GB2312"/>
              </w:rPr>
            </w:pPr>
            <w:r>
              <w:rPr>
                <w:rFonts w:hint="eastAsia" w:ascii="仿宋_GB2312"/>
              </w:rPr>
              <w:t>四级调研员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杨春国</w:t>
            </w:r>
          </w:p>
        </w:tc>
        <w:tc>
          <w:tcPr>
            <w:tcW w:w="2497" w:type="pct"/>
            <w:vAlign w:val="center"/>
          </w:tcPr>
          <w:p>
            <w:pPr>
              <w:pStyle w:val="79"/>
              <w:rPr>
                <w:rFonts w:ascii="仿宋_GB2312"/>
              </w:rPr>
            </w:pPr>
            <w:r>
              <w:rPr>
                <w:rFonts w:hint="eastAsia" w:ascii="仿宋_GB2312"/>
              </w:rPr>
              <w:t>新北街道办事处</w:t>
            </w:r>
          </w:p>
          <w:p>
            <w:pPr>
              <w:pStyle w:val="79"/>
              <w:rPr>
                <w:rFonts w:ascii="仿宋_GB2312"/>
              </w:rPr>
            </w:pPr>
            <w:r>
              <w:rPr>
                <w:rFonts w:hint="eastAsia" w:ascii="仿宋_GB2312"/>
              </w:rPr>
              <w:t>四级调研员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崔学武</w:t>
            </w:r>
          </w:p>
        </w:tc>
        <w:tc>
          <w:tcPr>
            <w:tcW w:w="2497" w:type="pct"/>
            <w:vAlign w:val="center"/>
          </w:tcPr>
          <w:p>
            <w:pPr>
              <w:pStyle w:val="79"/>
              <w:rPr>
                <w:rFonts w:ascii="仿宋_GB2312"/>
              </w:rPr>
            </w:pPr>
            <w:r>
              <w:rPr>
                <w:rFonts w:hint="eastAsia" w:ascii="仿宋_GB2312"/>
              </w:rPr>
              <w:t>滨海新区公安局新北派出所所长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王世金</w:t>
            </w:r>
          </w:p>
        </w:tc>
        <w:tc>
          <w:tcPr>
            <w:tcW w:w="2497" w:type="pct"/>
            <w:vAlign w:val="center"/>
          </w:tcPr>
          <w:p>
            <w:pPr>
              <w:pStyle w:val="79"/>
              <w:rPr>
                <w:rFonts w:ascii="仿宋_GB2312"/>
              </w:rPr>
            </w:pPr>
            <w:r>
              <w:rPr>
                <w:rFonts w:hint="eastAsia" w:ascii="仿宋_GB2312"/>
              </w:rPr>
              <w:t>塘沽公安交警杭州道大队队长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王春林</w:t>
            </w:r>
          </w:p>
        </w:tc>
        <w:tc>
          <w:tcPr>
            <w:tcW w:w="2497" w:type="pct"/>
            <w:vAlign w:val="center"/>
          </w:tcPr>
          <w:p>
            <w:pPr>
              <w:pStyle w:val="79"/>
              <w:rPr>
                <w:rFonts w:ascii="仿宋_GB2312"/>
              </w:rPr>
            </w:pPr>
            <w:r>
              <w:rPr>
                <w:rFonts w:hint="eastAsia" w:ascii="仿宋_GB2312"/>
              </w:rPr>
              <w:t>天津市消防救援总队滨海新区支队塘沽大队新北中队队长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赵  彬</w:t>
            </w:r>
          </w:p>
        </w:tc>
        <w:tc>
          <w:tcPr>
            <w:tcW w:w="2497" w:type="pct"/>
            <w:vAlign w:val="center"/>
          </w:tcPr>
          <w:p>
            <w:pPr>
              <w:pStyle w:val="79"/>
              <w:rPr>
                <w:rFonts w:ascii="仿宋_GB2312"/>
              </w:rPr>
            </w:pPr>
            <w:r>
              <w:rPr>
                <w:rFonts w:hint="eastAsia" w:ascii="仿宋_GB2312"/>
              </w:rPr>
              <w:t>天津市消防救援总队滨海新区支队塘沽大队海洋高新区中队队长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梁秋明</w:t>
            </w:r>
          </w:p>
        </w:tc>
        <w:tc>
          <w:tcPr>
            <w:tcW w:w="2497" w:type="pct"/>
            <w:vAlign w:val="center"/>
          </w:tcPr>
          <w:p>
            <w:pPr>
              <w:pStyle w:val="79"/>
              <w:rPr>
                <w:rFonts w:ascii="仿宋_GB2312"/>
              </w:rPr>
            </w:pPr>
            <w:r>
              <w:rPr>
                <w:rFonts w:hint="eastAsia" w:ascii="仿宋_GB2312"/>
              </w:rPr>
              <w:t>新北街道人大工委办公室主任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孙宝胜</w:t>
            </w:r>
          </w:p>
        </w:tc>
        <w:tc>
          <w:tcPr>
            <w:tcW w:w="2497" w:type="pct"/>
            <w:vAlign w:val="center"/>
          </w:tcPr>
          <w:p>
            <w:pPr>
              <w:pStyle w:val="79"/>
              <w:rPr>
                <w:rFonts w:ascii="仿宋_GB2312"/>
              </w:rPr>
            </w:pPr>
            <w:r>
              <w:rPr>
                <w:rFonts w:hint="eastAsia" w:ascii="仿宋_GB2312"/>
              </w:rPr>
              <w:t>新北街道党建办公室主任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靳建强</w:t>
            </w:r>
          </w:p>
        </w:tc>
        <w:tc>
          <w:tcPr>
            <w:tcW w:w="2497" w:type="pct"/>
            <w:vAlign w:val="center"/>
          </w:tcPr>
          <w:p>
            <w:pPr>
              <w:pStyle w:val="79"/>
              <w:rPr>
                <w:rFonts w:ascii="仿宋_GB2312"/>
              </w:rPr>
            </w:pPr>
            <w:r>
              <w:rPr>
                <w:rFonts w:hint="eastAsia" w:ascii="仿宋_GB2312"/>
              </w:rPr>
              <w:t>新北街道办事处综合办公室主任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李  莉</w:t>
            </w:r>
          </w:p>
        </w:tc>
        <w:tc>
          <w:tcPr>
            <w:tcW w:w="2497" w:type="pct"/>
            <w:vAlign w:val="center"/>
          </w:tcPr>
          <w:p>
            <w:pPr>
              <w:pStyle w:val="79"/>
              <w:rPr>
                <w:rFonts w:ascii="仿宋_GB2312"/>
              </w:rPr>
            </w:pPr>
            <w:r>
              <w:rPr>
                <w:rFonts w:hint="eastAsia" w:ascii="仿宋_GB2312"/>
              </w:rPr>
              <w:t>新北街道办事处财务工作负责人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郝德柱</w:t>
            </w:r>
          </w:p>
        </w:tc>
        <w:tc>
          <w:tcPr>
            <w:tcW w:w="2497" w:type="pct"/>
            <w:vAlign w:val="center"/>
          </w:tcPr>
          <w:p>
            <w:pPr>
              <w:pStyle w:val="79"/>
              <w:rPr>
                <w:rFonts w:ascii="仿宋_GB2312"/>
              </w:rPr>
            </w:pPr>
            <w:r>
              <w:rPr>
                <w:rFonts w:hint="eastAsia" w:ascii="仿宋_GB2312"/>
              </w:rPr>
              <w:t>新北街综合执法大队大队长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王  涛</w:t>
            </w:r>
          </w:p>
        </w:tc>
        <w:tc>
          <w:tcPr>
            <w:tcW w:w="2497" w:type="pct"/>
            <w:vAlign w:val="center"/>
          </w:tcPr>
          <w:p>
            <w:pPr>
              <w:pStyle w:val="79"/>
              <w:rPr>
                <w:rFonts w:ascii="仿宋_GB2312"/>
              </w:rPr>
            </w:pPr>
            <w:r>
              <w:rPr>
                <w:rFonts w:hint="eastAsia" w:ascii="仿宋_GB2312"/>
              </w:rPr>
              <w:t>新北街道纪工委副书记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魏  军</w:t>
            </w:r>
          </w:p>
        </w:tc>
        <w:tc>
          <w:tcPr>
            <w:tcW w:w="2497" w:type="pct"/>
            <w:vAlign w:val="center"/>
          </w:tcPr>
          <w:p>
            <w:pPr>
              <w:pStyle w:val="79"/>
              <w:rPr>
                <w:rFonts w:ascii="仿宋_GB2312"/>
              </w:rPr>
            </w:pPr>
            <w:r>
              <w:rPr>
                <w:rFonts w:hint="eastAsia" w:ascii="仿宋_GB2312"/>
              </w:rPr>
              <w:t>新北街道办事处公共管理办公室主任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 xml:space="preserve">王  </w:t>
            </w:r>
            <w:r>
              <w:rPr>
                <w:rFonts w:hint="eastAsia" w:ascii="仿宋_GB2312" w:eastAsia="宋体" w:cs="宋体"/>
              </w:rPr>
              <w:t>珺</w:t>
            </w:r>
          </w:p>
        </w:tc>
        <w:tc>
          <w:tcPr>
            <w:tcW w:w="2497" w:type="pct"/>
            <w:vAlign w:val="center"/>
          </w:tcPr>
          <w:p>
            <w:pPr>
              <w:pStyle w:val="79"/>
              <w:rPr>
                <w:rFonts w:ascii="仿宋_GB2312"/>
              </w:rPr>
            </w:pPr>
            <w:r>
              <w:rPr>
                <w:rFonts w:hint="eastAsia" w:ascii="仿宋_GB2312"/>
              </w:rPr>
              <w:t>新北街道办事处公共服务办公室主任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林起主</w:t>
            </w:r>
          </w:p>
        </w:tc>
        <w:tc>
          <w:tcPr>
            <w:tcW w:w="2497" w:type="pct"/>
            <w:vAlign w:val="center"/>
          </w:tcPr>
          <w:p>
            <w:pPr>
              <w:pStyle w:val="79"/>
              <w:rPr>
                <w:rFonts w:ascii="仿宋_GB2312"/>
              </w:rPr>
            </w:pPr>
            <w:r>
              <w:rPr>
                <w:rFonts w:hint="eastAsia" w:ascii="仿宋_GB2312"/>
              </w:rPr>
              <w:t>新北街道办事处经济发展办公室副主任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王  丽</w:t>
            </w:r>
          </w:p>
        </w:tc>
        <w:tc>
          <w:tcPr>
            <w:tcW w:w="2497" w:type="pct"/>
            <w:vAlign w:val="center"/>
          </w:tcPr>
          <w:p>
            <w:pPr>
              <w:pStyle w:val="79"/>
              <w:rPr>
                <w:rFonts w:ascii="仿宋_GB2312"/>
              </w:rPr>
            </w:pPr>
            <w:r>
              <w:rPr>
                <w:rFonts w:hint="eastAsia" w:ascii="仿宋_GB2312"/>
              </w:rPr>
              <w:t>新北街道办事处社区建设办公室主任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刘海云</w:t>
            </w:r>
          </w:p>
        </w:tc>
        <w:tc>
          <w:tcPr>
            <w:tcW w:w="2497" w:type="pct"/>
            <w:vAlign w:val="center"/>
          </w:tcPr>
          <w:p>
            <w:pPr>
              <w:pStyle w:val="79"/>
              <w:rPr>
                <w:rFonts w:ascii="仿宋_GB2312"/>
              </w:rPr>
            </w:pPr>
            <w:r>
              <w:rPr>
                <w:rFonts w:hint="eastAsia" w:ascii="仿宋_GB2312"/>
              </w:rPr>
              <w:t>新北街道办事处物业办</w:t>
            </w:r>
          </w:p>
          <w:p>
            <w:pPr>
              <w:pStyle w:val="79"/>
              <w:rPr>
                <w:rFonts w:ascii="仿宋_GB2312"/>
              </w:rPr>
            </w:pPr>
            <w:r>
              <w:rPr>
                <w:rFonts w:hint="eastAsia" w:ascii="仿宋_GB2312"/>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王  梅</w:t>
            </w:r>
          </w:p>
        </w:tc>
        <w:tc>
          <w:tcPr>
            <w:tcW w:w="2497" w:type="pct"/>
            <w:vAlign w:val="center"/>
          </w:tcPr>
          <w:p>
            <w:pPr>
              <w:pStyle w:val="79"/>
              <w:rPr>
                <w:rFonts w:ascii="仿宋_GB2312"/>
              </w:rPr>
            </w:pPr>
            <w:r>
              <w:rPr>
                <w:rFonts w:hint="eastAsia" w:ascii="仿宋_GB2312"/>
              </w:rPr>
              <w:t>新北街道总工会副主席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张  辉</w:t>
            </w:r>
          </w:p>
        </w:tc>
        <w:tc>
          <w:tcPr>
            <w:tcW w:w="2497" w:type="pct"/>
            <w:vAlign w:val="center"/>
          </w:tcPr>
          <w:p>
            <w:pPr>
              <w:pStyle w:val="79"/>
              <w:rPr>
                <w:rFonts w:ascii="仿宋_GB2312"/>
              </w:rPr>
            </w:pPr>
            <w:r>
              <w:rPr>
                <w:rFonts w:hint="eastAsia" w:ascii="仿宋_GB2312"/>
              </w:rPr>
              <w:t>新北街道妇联主席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付  琳</w:t>
            </w:r>
          </w:p>
        </w:tc>
        <w:tc>
          <w:tcPr>
            <w:tcW w:w="2497" w:type="pct"/>
            <w:vAlign w:val="center"/>
          </w:tcPr>
          <w:p>
            <w:pPr>
              <w:pStyle w:val="79"/>
              <w:rPr>
                <w:rFonts w:ascii="仿宋_GB2312"/>
              </w:rPr>
            </w:pPr>
            <w:r>
              <w:rPr>
                <w:rFonts w:hint="eastAsia" w:ascii="仿宋_GB2312"/>
              </w:rPr>
              <w:t>新北街道共青团委书记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皮悦文</w:t>
            </w:r>
          </w:p>
        </w:tc>
        <w:tc>
          <w:tcPr>
            <w:tcW w:w="2497" w:type="pct"/>
            <w:vAlign w:val="center"/>
          </w:tcPr>
          <w:p>
            <w:pPr>
              <w:pStyle w:val="79"/>
              <w:rPr>
                <w:rFonts w:ascii="仿宋_GB2312"/>
              </w:rPr>
            </w:pPr>
            <w:r>
              <w:rPr>
                <w:rFonts w:hint="eastAsia" w:ascii="仿宋_GB2312"/>
              </w:rPr>
              <w:t>新北街道办事处公共安全办公室主任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张砚硕</w:t>
            </w:r>
          </w:p>
        </w:tc>
        <w:tc>
          <w:tcPr>
            <w:tcW w:w="2497" w:type="pct"/>
            <w:vAlign w:val="center"/>
          </w:tcPr>
          <w:p>
            <w:pPr>
              <w:pStyle w:val="79"/>
              <w:rPr>
                <w:rFonts w:ascii="仿宋_GB2312"/>
              </w:rPr>
            </w:pPr>
            <w:r>
              <w:rPr>
                <w:rFonts w:hint="eastAsia" w:ascii="仿宋_GB2312"/>
              </w:rPr>
              <w:t>新北街道办事处安监执法中队副队长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马喜魁</w:t>
            </w:r>
          </w:p>
        </w:tc>
        <w:tc>
          <w:tcPr>
            <w:tcW w:w="2497" w:type="pct"/>
            <w:vAlign w:val="center"/>
          </w:tcPr>
          <w:p>
            <w:pPr>
              <w:pStyle w:val="79"/>
              <w:rPr>
                <w:rFonts w:ascii="仿宋_GB2312"/>
              </w:rPr>
            </w:pPr>
            <w:r>
              <w:rPr>
                <w:rFonts w:hint="eastAsia" w:ascii="仿宋_GB2312"/>
              </w:rPr>
              <w:t>新北街道办事处武装部</w:t>
            </w:r>
          </w:p>
          <w:p>
            <w:pPr>
              <w:pStyle w:val="79"/>
              <w:rPr>
                <w:rFonts w:ascii="仿宋_GB2312"/>
              </w:rPr>
            </w:pPr>
            <w:r>
              <w:rPr>
                <w:rFonts w:hint="eastAsia" w:ascii="仿宋_GB2312"/>
              </w:rPr>
              <w:t>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19" w:type="pct"/>
            <w:vAlign w:val="center"/>
          </w:tcPr>
          <w:p>
            <w:pPr>
              <w:pStyle w:val="79"/>
              <w:numPr>
                <w:ilvl w:val="0"/>
                <w:numId w:val="30"/>
              </w:numPr>
              <w:jc w:val="center"/>
              <w:rPr>
                <w:rFonts w:ascii="仿宋_GB2312"/>
              </w:rPr>
            </w:pPr>
          </w:p>
        </w:tc>
        <w:tc>
          <w:tcPr>
            <w:tcW w:w="991" w:type="pct"/>
            <w:vAlign w:val="center"/>
          </w:tcPr>
          <w:p>
            <w:pPr>
              <w:pStyle w:val="79"/>
              <w:jc w:val="center"/>
              <w:rPr>
                <w:rFonts w:ascii="仿宋_GB2312"/>
              </w:rPr>
            </w:pPr>
            <w:r>
              <w:rPr>
                <w:rFonts w:hint="eastAsia" w:ascii="仿宋_GB2312"/>
              </w:rPr>
              <w:t>成员</w:t>
            </w:r>
          </w:p>
        </w:tc>
        <w:tc>
          <w:tcPr>
            <w:tcW w:w="991" w:type="pct"/>
            <w:vAlign w:val="center"/>
          </w:tcPr>
          <w:p>
            <w:pPr>
              <w:pStyle w:val="79"/>
              <w:jc w:val="center"/>
              <w:rPr>
                <w:rFonts w:ascii="仿宋_GB2312"/>
              </w:rPr>
            </w:pPr>
            <w:r>
              <w:rPr>
                <w:rFonts w:hint="eastAsia" w:ascii="仿宋_GB2312"/>
              </w:rPr>
              <w:t>何文贞</w:t>
            </w:r>
          </w:p>
        </w:tc>
        <w:tc>
          <w:tcPr>
            <w:tcW w:w="2497" w:type="pct"/>
            <w:vAlign w:val="center"/>
          </w:tcPr>
          <w:p>
            <w:pPr>
              <w:pStyle w:val="79"/>
              <w:rPr>
                <w:rFonts w:ascii="仿宋_GB2312"/>
              </w:rPr>
            </w:pPr>
            <w:r>
              <w:rPr>
                <w:rFonts w:hint="eastAsia" w:ascii="仿宋_GB2312"/>
              </w:rPr>
              <w:t>新北街道办事处综治信访负责人</w:t>
            </w:r>
          </w:p>
        </w:tc>
      </w:tr>
    </w:tbl>
    <w:p>
      <w:pPr>
        <w:pStyle w:val="70"/>
        <w:rPr>
          <w:rFonts w:ascii="仿宋_GB2312" w:eastAsia="仿宋_GB2312"/>
          <w:color w:val="000000" w:themeColor="text1"/>
        </w:rPr>
        <w:sectPr>
          <w:pgSz w:w="11905" w:h="16838"/>
          <w:pgMar w:top="1418" w:right="1134" w:bottom="1134" w:left="1588" w:header="850" w:footer="850" w:gutter="0"/>
          <w:cols w:space="720" w:num="1"/>
          <w:docGrid w:linePitch="628" w:charSpace="0"/>
        </w:sectPr>
      </w:pPr>
    </w:p>
    <w:p>
      <w:pPr>
        <w:pStyle w:val="3"/>
        <w:ind w:firstLine="301"/>
      </w:pPr>
      <w:bookmarkStart w:id="175" w:name="_Toc49846966"/>
      <w:r>
        <w:rPr>
          <w:rFonts w:hint="eastAsia"/>
        </w:rPr>
        <w:t>附件4资源调集与援助联络表</w:t>
      </w:r>
      <w:bookmarkEnd w:id="175"/>
    </w:p>
    <w:bookmarkEnd w:id="173"/>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8" w:type="dxa"/>
            <w:vAlign w:val="center"/>
          </w:tcPr>
          <w:p>
            <w:pPr>
              <w:pStyle w:val="79"/>
              <w:jc w:val="center"/>
              <w:rPr>
                <w:rFonts w:ascii="仿宋_GB2312"/>
                <w:b/>
              </w:rPr>
            </w:pPr>
            <w:r>
              <w:rPr>
                <w:rFonts w:hint="eastAsia" w:ascii="仿宋_GB2312"/>
                <w:b/>
              </w:rPr>
              <w:t>序号</w:t>
            </w:r>
          </w:p>
        </w:tc>
        <w:tc>
          <w:tcPr>
            <w:tcW w:w="5386" w:type="dxa"/>
            <w:vAlign w:val="center"/>
          </w:tcPr>
          <w:p>
            <w:pPr>
              <w:pStyle w:val="79"/>
              <w:jc w:val="center"/>
              <w:rPr>
                <w:rFonts w:ascii="仿宋_GB2312"/>
                <w:b/>
              </w:rPr>
            </w:pPr>
            <w:r>
              <w:rPr>
                <w:rFonts w:hint="eastAsia" w:ascii="仿宋_GB2312"/>
                <w:b/>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天津市滨海新区公安局塘沽分局新北街派出所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天津市消防救援总队滨海新区支队塘沽大队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天津市消防救援总队滨海新区支队海洋高新区中队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天津市消防救援总队滨海新区支队新北路中队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滨海新区公安局交通管理支队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天津市滨海新区公安局交通管理支队杭州道大队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杭州道街道办事处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新河街道办事处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vAlign w:val="center"/>
          </w:tcPr>
          <w:p>
            <w:pPr>
              <w:pStyle w:val="79"/>
              <w:numPr>
                <w:ilvl w:val="0"/>
                <w:numId w:val="31"/>
              </w:numPr>
              <w:jc w:val="center"/>
              <w:rPr>
                <w:rFonts w:ascii="仿宋_GB2312"/>
              </w:rPr>
            </w:pPr>
          </w:p>
        </w:tc>
        <w:tc>
          <w:tcPr>
            <w:tcW w:w="5386" w:type="dxa"/>
            <w:vAlign w:val="center"/>
          </w:tcPr>
          <w:p>
            <w:pPr>
              <w:pStyle w:val="79"/>
              <w:rPr>
                <w:rFonts w:ascii="仿宋_GB2312"/>
              </w:rPr>
            </w:pPr>
            <w:r>
              <w:rPr>
                <w:rFonts w:hint="eastAsia" w:ascii="仿宋_GB2312"/>
              </w:rPr>
              <w:t>泰达街道办事处</w:t>
            </w:r>
          </w:p>
        </w:tc>
      </w:tr>
    </w:tbl>
    <w:p>
      <w:pPr>
        <w:ind w:firstLine="560"/>
        <w:rPr>
          <w:rFonts w:ascii="仿宋_GB2312"/>
          <w:color w:val="000000" w:themeColor="text1"/>
        </w:rPr>
        <w:sectPr>
          <w:type w:val="nextColumn"/>
          <w:pgSz w:w="11905" w:h="16838"/>
          <w:pgMar w:top="1418" w:right="1134" w:bottom="1134" w:left="1588" w:header="850" w:footer="850" w:gutter="0"/>
          <w:cols w:space="720" w:num="1"/>
          <w:docGrid w:linePitch="628" w:charSpace="0"/>
        </w:sectPr>
      </w:pPr>
    </w:p>
    <w:p>
      <w:pPr>
        <w:pStyle w:val="3"/>
        <w:ind w:firstLine="301"/>
      </w:pPr>
      <w:bookmarkStart w:id="176" w:name="_Toc49846967"/>
      <w:r>
        <w:rPr>
          <w:rFonts w:hint="eastAsia"/>
        </w:rPr>
        <w:t>附件5应急避难场所</w:t>
      </w:r>
      <w:bookmarkEnd w:id="176"/>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b/>
              </w:rPr>
            </w:pPr>
            <w:r>
              <w:rPr>
                <w:rFonts w:hint="eastAsia" w:ascii="仿宋_GB2312"/>
                <w:b/>
              </w:rPr>
              <w:t>序号</w:t>
            </w:r>
          </w:p>
        </w:tc>
        <w:tc>
          <w:tcPr>
            <w:tcW w:w="4110" w:type="dxa"/>
            <w:vAlign w:val="center"/>
          </w:tcPr>
          <w:p>
            <w:pPr>
              <w:pStyle w:val="79"/>
              <w:jc w:val="center"/>
              <w:rPr>
                <w:rFonts w:ascii="仿宋_GB2312"/>
                <w:b/>
              </w:rPr>
            </w:pPr>
            <w:r>
              <w:rPr>
                <w:rFonts w:hint="eastAsia" w:ascii="仿宋_GB2312"/>
                <w:b/>
              </w:rPr>
              <w:t>坐落地址</w:t>
            </w:r>
          </w:p>
        </w:tc>
        <w:tc>
          <w:tcPr>
            <w:tcW w:w="3188" w:type="dxa"/>
            <w:vAlign w:val="center"/>
          </w:tcPr>
          <w:p>
            <w:pPr>
              <w:pStyle w:val="79"/>
              <w:jc w:val="center"/>
              <w:rPr>
                <w:rFonts w:ascii="仿宋_GB2312"/>
                <w:b/>
              </w:rPr>
            </w:pPr>
            <w:r>
              <w:rPr>
                <w:rFonts w:hint="eastAsia" w:ascii="仿宋_GB2312"/>
                <w:b/>
              </w:rPr>
              <w:t>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rPr>
            </w:pPr>
            <w:r>
              <w:rPr>
                <w:rFonts w:hint="eastAsia" w:ascii="仿宋_GB2312"/>
              </w:rPr>
              <w:t>1</w:t>
            </w:r>
          </w:p>
        </w:tc>
        <w:tc>
          <w:tcPr>
            <w:tcW w:w="4110" w:type="dxa"/>
            <w:vAlign w:val="center"/>
          </w:tcPr>
          <w:p>
            <w:pPr>
              <w:pStyle w:val="79"/>
              <w:jc w:val="center"/>
              <w:rPr>
                <w:rFonts w:ascii="仿宋_GB2312"/>
              </w:rPr>
            </w:pPr>
            <w:r>
              <w:rPr>
                <w:rFonts w:hint="eastAsia" w:ascii="仿宋_GB2312"/>
              </w:rPr>
              <w:t>谐海路与尧山道交口</w:t>
            </w:r>
          </w:p>
        </w:tc>
        <w:tc>
          <w:tcPr>
            <w:tcW w:w="3188" w:type="dxa"/>
            <w:vAlign w:val="center"/>
          </w:tcPr>
          <w:p>
            <w:pPr>
              <w:pStyle w:val="79"/>
              <w:jc w:val="center"/>
              <w:rPr>
                <w:rFonts w:ascii="仿宋_GB2312"/>
              </w:rPr>
            </w:pPr>
            <w:r>
              <w:rPr>
                <w:rFonts w:hint="eastAsia" w:ascii="仿宋_GB2312"/>
              </w:rPr>
              <w:t>尧山道公园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rPr>
            </w:pPr>
            <w:r>
              <w:rPr>
                <w:rFonts w:hint="eastAsia" w:ascii="仿宋_GB2312"/>
              </w:rPr>
              <w:t>2</w:t>
            </w:r>
          </w:p>
        </w:tc>
        <w:tc>
          <w:tcPr>
            <w:tcW w:w="4110" w:type="dxa"/>
            <w:vAlign w:val="center"/>
          </w:tcPr>
          <w:p>
            <w:pPr>
              <w:pStyle w:val="79"/>
              <w:jc w:val="center"/>
              <w:rPr>
                <w:rFonts w:ascii="仿宋_GB2312"/>
              </w:rPr>
            </w:pPr>
            <w:r>
              <w:rPr>
                <w:rFonts w:hint="eastAsia" w:ascii="仿宋_GB2312"/>
              </w:rPr>
              <w:t>庐山道与第九大街交叉口东南200米</w:t>
            </w:r>
          </w:p>
        </w:tc>
        <w:tc>
          <w:tcPr>
            <w:tcW w:w="3188" w:type="dxa"/>
            <w:vAlign w:val="center"/>
          </w:tcPr>
          <w:p>
            <w:pPr>
              <w:pStyle w:val="79"/>
              <w:jc w:val="center"/>
              <w:rPr>
                <w:rFonts w:ascii="仿宋_GB2312"/>
              </w:rPr>
            </w:pPr>
            <w:r>
              <w:rPr>
                <w:rFonts w:hint="eastAsia" w:ascii="仿宋_GB2312"/>
              </w:rPr>
              <w:t>庐山道公园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rPr>
            </w:pPr>
            <w:r>
              <w:rPr>
                <w:rFonts w:hint="eastAsia" w:ascii="仿宋_GB2312"/>
              </w:rPr>
              <w:t>3</w:t>
            </w:r>
          </w:p>
        </w:tc>
        <w:tc>
          <w:tcPr>
            <w:tcW w:w="4110" w:type="dxa"/>
            <w:vAlign w:val="center"/>
          </w:tcPr>
          <w:p>
            <w:pPr>
              <w:pStyle w:val="79"/>
              <w:jc w:val="center"/>
              <w:rPr>
                <w:rFonts w:ascii="仿宋_GB2312"/>
              </w:rPr>
            </w:pPr>
            <w:r>
              <w:rPr>
                <w:rFonts w:hint="eastAsia" w:ascii="仿宋_GB2312"/>
              </w:rPr>
              <w:t>塘汉路389号</w:t>
            </w:r>
          </w:p>
        </w:tc>
        <w:tc>
          <w:tcPr>
            <w:tcW w:w="3188" w:type="dxa"/>
            <w:vAlign w:val="center"/>
          </w:tcPr>
          <w:p>
            <w:pPr>
              <w:pStyle w:val="79"/>
              <w:jc w:val="center"/>
              <w:rPr>
                <w:rFonts w:ascii="仿宋_GB2312"/>
              </w:rPr>
            </w:pPr>
            <w:r>
              <w:rPr>
                <w:rFonts w:hint="eastAsia" w:ascii="仿宋_GB2312"/>
              </w:rPr>
              <w:t>塘沽区第一职专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rPr>
            </w:pPr>
            <w:r>
              <w:rPr>
                <w:rFonts w:hint="eastAsia" w:ascii="仿宋_GB2312"/>
              </w:rPr>
              <w:t>4</w:t>
            </w:r>
          </w:p>
        </w:tc>
        <w:tc>
          <w:tcPr>
            <w:tcW w:w="4110" w:type="dxa"/>
            <w:vAlign w:val="center"/>
          </w:tcPr>
          <w:p>
            <w:pPr>
              <w:pStyle w:val="79"/>
              <w:jc w:val="center"/>
              <w:rPr>
                <w:rFonts w:ascii="仿宋_GB2312"/>
              </w:rPr>
            </w:pPr>
            <w:r>
              <w:rPr>
                <w:rFonts w:hint="eastAsia" w:ascii="仿宋_GB2312"/>
              </w:rPr>
              <w:t>河北路49号</w:t>
            </w:r>
          </w:p>
        </w:tc>
        <w:tc>
          <w:tcPr>
            <w:tcW w:w="3188" w:type="dxa"/>
            <w:vAlign w:val="center"/>
          </w:tcPr>
          <w:p>
            <w:pPr>
              <w:pStyle w:val="79"/>
              <w:jc w:val="center"/>
              <w:rPr>
                <w:rFonts w:ascii="仿宋_GB2312"/>
              </w:rPr>
            </w:pPr>
            <w:r>
              <w:rPr>
                <w:rFonts w:hint="eastAsia" w:ascii="仿宋_GB2312"/>
              </w:rPr>
              <w:t>工农村小学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rPr>
            </w:pPr>
            <w:r>
              <w:rPr>
                <w:rFonts w:hint="eastAsia" w:ascii="仿宋_GB2312"/>
              </w:rPr>
              <w:t>5</w:t>
            </w:r>
          </w:p>
        </w:tc>
        <w:tc>
          <w:tcPr>
            <w:tcW w:w="4110" w:type="dxa"/>
            <w:vAlign w:val="center"/>
          </w:tcPr>
          <w:p>
            <w:pPr>
              <w:pStyle w:val="79"/>
              <w:jc w:val="center"/>
              <w:rPr>
                <w:rFonts w:ascii="仿宋_GB2312"/>
              </w:rPr>
            </w:pPr>
            <w:r>
              <w:rPr>
                <w:rFonts w:hint="eastAsia" w:ascii="仿宋_GB2312"/>
              </w:rPr>
              <w:t>云山道与河北西路交叉路口往西北约100米</w:t>
            </w:r>
          </w:p>
        </w:tc>
        <w:tc>
          <w:tcPr>
            <w:tcW w:w="3188" w:type="dxa"/>
            <w:vAlign w:val="center"/>
          </w:tcPr>
          <w:p>
            <w:pPr>
              <w:pStyle w:val="79"/>
              <w:jc w:val="center"/>
              <w:rPr>
                <w:rFonts w:ascii="仿宋_GB2312"/>
              </w:rPr>
            </w:pPr>
            <w:r>
              <w:rPr>
                <w:rFonts w:hint="eastAsia" w:ascii="仿宋_GB2312"/>
              </w:rPr>
              <w:t>云山道学校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01" w:type="dxa"/>
            <w:vAlign w:val="center"/>
          </w:tcPr>
          <w:p>
            <w:pPr>
              <w:pStyle w:val="79"/>
              <w:jc w:val="center"/>
              <w:rPr>
                <w:rFonts w:ascii="仿宋_GB2312"/>
              </w:rPr>
            </w:pPr>
            <w:r>
              <w:rPr>
                <w:rFonts w:hint="eastAsia" w:ascii="仿宋_GB2312"/>
              </w:rPr>
              <w:t>6</w:t>
            </w:r>
          </w:p>
        </w:tc>
        <w:tc>
          <w:tcPr>
            <w:tcW w:w="4110" w:type="dxa"/>
            <w:vAlign w:val="center"/>
          </w:tcPr>
          <w:p>
            <w:pPr>
              <w:pStyle w:val="79"/>
              <w:jc w:val="center"/>
              <w:rPr>
                <w:rFonts w:ascii="仿宋_GB2312"/>
              </w:rPr>
            </w:pPr>
            <w:r>
              <w:rPr>
                <w:rFonts w:hint="eastAsia" w:ascii="仿宋_GB2312"/>
              </w:rPr>
              <w:t>天津市滨海新区滨宇东道与新北路交口</w:t>
            </w:r>
          </w:p>
        </w:tc>
        <w:tc>
          <w:tcPr>
            <w:tcW w:w="3188" w:type="dxa"/>
            <w:vAlign w:val="center"/>
          </w:tcPr>
          <w:p>
            <w:pPr>
              <w:pStyle w:val="79"/>
              <w:jc w:val="center"/>
              <w:rPr>
                <w:rFonts w:ascii="仿宋_GB2312"/>
              </w:rPr>
            </w:pPr>
            <w:r>
              <w:rPr>
                <w:rFonts w:hint="eastAsia" w:ascii="仿宋_GB2312"/>
              </w:rPr>
              <w:t>水域未来城学校</w:t>
            </w:r>
          </w:p>
        </w:tc>
      </w:tr>
    </w:tbl>
    <w:p>
      <w:pPr>
        <w:ind w:firstLine="0" w:firstLineChars="0"/>
        <w:rPr>
          <w:rFonts w:ascii="仿宋_GB2312"/>
          <w:color w:val="000000" w:themeColor="text1"/>
        </w:rPr>
        <w:sectPr>
          <w:pgSz w:w="11905" w:h="16838"/>
          <w:pgMar w:top="1418" w:right="1134" w:bottom="1134" w:left="1588" w:header="850" w:footer="850" w:gutter="0"/>
          <w:cols w:space="720" w:num="1"/>
          <w:docGrid w:linePitch="628" w:charSpace="0"/>
        </w:sectPr>
      </w:pPr>
    </w:p>
    <w:p>
      <w:pPr>
        <w:pStyle w:val="3"/>
        <w:ind w:firstLine="301"/>
      </w:pPr>
      <w:bookmarkStart w:id="177" w:name="_Toc49846968"/>
      <w:r>
        <w:rPr>
          <w:rFonts w:hint="eastAsia"/>
        </w:rPr>
        <w:t>附件6医疗资源</w:t>
      </w:r>
      <w:bookmarkEnd w:id="177"/>
    </w:p>
    <w:p>
      <w:pPr>
        <w:ind w:firstLine="560"/>
        <w:rPr>
          <w:rFonts w:ascii="仿宋_GB2312" w:cs="仿宋_GB2312"/>
          <w:color w:val="000000" w:themeColor="text1"/>
        </w:rPr>
      </w:pPr>
      <w:r>
        <w:rPr>
          <w:rFonts w:hint="eastAsia" w:ascii="仿宋_GB2312" w:cs="仿宋_GB2312"/>
          <w:color w:val="000000" w:themeColor="text1"/>
        </w:rPr>
        <w:t>新北街道安全监管辖区内有蓝卡医院、宁泰医院和6所社区卫生服务站。街道周边和塘沽核心区内有天津市第五中心医院、泰达心血管医院、泰达医院等医疗资源，可以满足事故状态下医疗救护能力。</w:t>
      </w:r>
    </w:p>
    <w:p>
      <w:pPr>
        <w:ind w:firstLine="560"/>
        <w:rPr>
          <w:rFonts w:ascii="仿宋_GB2312" w:cs="仿宋_GB2312"/>
          <w:color w:val="000000" w:themeColor="text1"/>
        </w:rPr>
      </w:pPr>
    </w:p>
    <w:tbl>
      <w:tblPr>
        <w:tblStyle w:val="34"/>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2968"/>
        <w:gridCol w:w="3713"/>
        <w:gridCol w:w="271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1579" w:type="pct"/>
            <w:vAlign w:val="center"/>
          </w:tcPr>
          <w:p>
            <w:pPr>
              <w:pStyle w:val="79"/>
              <w:jc w:val="center"/>
              <w:rPr>
                <w:rFonts w:ascii="仿宋_GB2312"/>
                <w:b/>
              </w:rPr>
            </w:pPr>
            <w:r>
              <w:rPr>
                <w:rFonts w:hint="eastAsia" w:ascii="仿宋_GB2312"/>
                <w:b/>
              </w:rPr>
              <w:t>医院名称</w:t>
            </w:r>
          </w:p>
        </w:tc>
        <w:tc>
          <w:tcPr>
            <w:tcW w:w="1975" w:type="pct"/>
            <w:vAlign w:val="center"/>
          </w:tcPr>
          <w:p>
            <w:pPr>
              <w:pStyle w:val="79"/>
              <w:jc w:val="center"/>
              <w:rPr>
                <w:rFonts w:ascii="仿宋_GB2312"/>
                <w:b/>
              </w:rPr>
            </w:pPr>
            <w:r>
              <w:rPr>
                <w:rFonts w:hint="eastAsia" w:ascii="仿宋_GB2312"/>
                <w:b/>
              </w:rPr>
              <w:t>地点</w:t>
            </w:r>
          </w:p>
        </w:tc>
        <w:tc>
          <w:tcPr>
            <w:tcW w:w="1446" w:type="pct"/>
            <w:vAlign w:val="center"/>
          </w:tcPr>
          <w:p>
            <w:pPr>
              <w:pStyle w:val="79"/>
              <w:jc w:val="center"/>
              <w:rPr>
                <w:rFonts w:ascii="仿宋_GB2312"/>
                <w:b/>
              </w:rPr>
            </w:pPr>
            <w:r>
              <w:rPr>
                <w:rFonts w:hint="eastAsia" w:ascii="仿宋_GB2312"/>
                <w:b/>
              </w:rPr>
              <w:t>电话</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79" w:type="pct"/>
            <w:vAlign w:val="center"/>
          </w:tcPr>
          <w:p>
            <w:pPr>
              <w:pStyle w:val="79"/>
              <w:rPr>
                <w:rFonts w:ascii="仿宋_GB2312"/>
              </w:rPr>
            </w:pPr>
            <w:r>
              <w:rPr>
                <w:rFonts w:hint="eastAsia" w:ascii="仿宋_GB2312"/>
              </w:rPr>
              <w:t>宁泰医院</w:t>
            </w:r>
          </w:p>
        </w:tc>
        <w:tc>
          <w:tcPr>
            <w:tcW w:w="1975" w:type="pct"/>
            <w:vAlign w:val="center"/>
          </w:tcPr>
          <w:p>
            <w:pPr>
              <w:pStyle w:val="79"/>
              <w:rPr>
                <w:rFonts w:ascii="仿宋_GB2312"/>
              </w:rPr>
            </w:pPr>
            <w:r>
              <w:rPr>
                <w:rFonts w:hint="eastAsia" w:ascii="仿宋_GB2312"/>
              </w:rPr>
              <w:t>天津市滨海新区河北路4930号</w:t>
            </w:r>
          </w:p>
        </w:tc>
        <w:tc>
          <w:tcPr>
            <w:tcW w:w="1446" w:type="pct"/>
            <w:vAlign w:val="center"/>
          </w:tcPr>
          <w:p>
            <w:pPr>
              <w:pStyle w:val="79"/>
              <w:rPr>
                <w:rFonts w:ascii="仿宋_GB2312"/>
              </w:rPr>
            </w:pPr>
            <w:r>
              <w:rPr>
                <w:rFonts w:hint="eastAsia" w:ascii="仿宋_GB2312"/>
              </w:rPr>
              <w:t>25342653（导诊）</w:t>
            </w:r>
          </w:p>
          <w:p>
            <w:pPr>
              <w:pStyle w:val="79"/>
              <w:rPr>
                <w:rFonts w:ascii="仿宋_GB2312"/>
              </w:rPr>
            </w:pPr>
            <w:r>
              <w:rPr>
                <w:rFonts w:hint="eastAsia" w:ascii="仿宋_GB2312"/>
              </w:rPr>
              <w:t>25826053（办公室）</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79" w:type="pct"/>
            <w:vAlign w:val="center"/>
          </w:tcPr>
          <w:p>
            <w:pPr>
              <w:pStyle w:val="79"/>
              <w:rPr>
                <w:rFonts w:ascii="仿宋_GB2312"/>
              </w:rPr>
            </w:pPr>
            <w:r>
              <w:rPr>
                <w:rFonts w:hint="eastAsia" w:ascii="仿宋_GB2312"/>
              </w:rPr>
              <w:t>蓝卡医院</w:t>
            </w:r>
          </w:p>
        </w:tc>
        <w:tc>
          <w:tcPr>
            <w:tcW w:w="1975" w:type="pct"/>
            <w:vAlign w:val="center"/>
          </w:tcPr>
          <w:p>
            <w:pPr>
              <w:pStyle w:val="79"/>
              <w:rPr>
                <w:rFonts w:ascii="仿宋_GB2312"/>
              </w:rPr>
            </w:pPr>
            <w:r>
              <w:rPr>
                <w:rFonts w:hint="eastAsia" w:ascii="仿宋_GB2312"/>
              </w:rPr>
              <w:t>天津市滨海新区厦门路2519号</w:t>
            </w:r>
          </w:p>
        </w:tc>
        <w:tc>
          <w:tcPr>
            <w:tcW w:w="1446" w:type="pct"/>
            <w:vAlign w:val="center"/>
          </w:tcPr>
          <w:p>
            <w:pPr>
              <w:pStyle w:val="79"/>
              <w:rPr>
                <w:rFonts w:ascii="仿宋_GB2312"/>
              </w:rPr>
            </w:pPr>
            <w:r>
              <w:rPr>
                <w:rFonts w:hint="eastAsia" w:ascii="仿宋_GB2312"/>
              </w:rPr>
              <w:t>4001191011（总机）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79" w:type="pct"/>
            <w:vAlign w:val="center"/>
          </w:tcPr>
          <w:p>
            <w:pPr>
              <w:pStyle w:val="79"/>
              <w:rPr>
                <w:rFonts w:ascii="仿宋_GB2312"/>
              </w:rPr>
            </w:pPr>
            <w:r>
              <w:rPr>
                <w:rFonts w:hint="eastAsia" w:ascii="仿宋_GB2312"/>
              </w:rPr>
              <w:t>天津市第五中心医院</w:t>
            </w:r>
          </w:p>
        </w:tc>
        <w:tc>
          <w:tcPr>
            <w:tcW w:w="1975" w:type="pct"/>
            <w:vAlign w:val="center"/>
          </w:tcPr>
          <w:p>
            <w:pPr>
              <w:pStyle w:val="79"/>
              <w:rPr>
                <w:rFonts w:ascii="仿宋_GB2312"/>
              </w:rPr>
            </w:pPr>
            <w:r>
              <w:rPr>
                <w:rFonts w:hint="eastAsia" w:ascii="仿宋_GB2312"/>
              </w:rPr>
              <w:t>天津市滨海新区浙江路41号</w:t>
            </w:r>
          </w:p>
        </w:tc>
        <w:tc>
          <w:tcPr>
            <w:tcW w:w="1446" w:type="pct"/>
            <w:vAlign w:val="center"/>
          </w:tcPr>
          <w:p>
            <w:pPr>
              <w:pStyle w:val="79"/>
              <w:rPr>
                <w:rFonts w:ascii="仿宋_GB2312"/>
              </w:rPr>
            </w:pPr>
            <w:r>
              <w:rPr>
                <w:rFonts w:hint="eastAsia" w:ascii="仿宋_GB2312"/>
              </w:rPr>
              <w:t>65665885（办公室）</w:t>
            </w:r>
          </w:p>
          <w:p>
            <w:pPr>
              <w:pStyle w:val="79"/>
              <w:rPr>
                <w:rFonts w:ascii="仿宋_GB2312"/>
              </w:rPr>
            </w:pPr>
            <w:r>
              <w:rPr>
                <w:rFonts w:hint="eastAsia" w:ascii="仿宋_GB2312"/>
              </w:rPr>
              <w:t>65665000（咨询台）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79" w:type="pct"/>
            <w:vAlign w:val="center"/>
          </w:tcPr>
          <w:p>
            <w:pPr>
              <w:pStyle w:val="79"/>
              <w:rPr>
                <w:rFonts w:ascii="仿宋_GB2312"/>
              </w:rPr>
            </w:pPr>
            <w:r>
              <w:rPr>
                <w:rFonts w:hint="eastAsia" w:ascii="仿宋_GB2312" w:cs="仿宋_GB2312"/>
              </w:rPr>
              <w:t>泰达医院</w:t>
            </w:r>
          </w:p>
        </w:tc>
        <w:tc>
          <w:tcPr>
            <w:tcW w:w="1975" w:type="pct"/>
            <w:vAlign w:val="center"/>
          </w:tcPr>
          <w:p>
            <w:pPr>
              <w:pStyle w:val="79"/>
              <w:rPr>
                <w:rFonts w:ascii="仿宋_GB2312"/>
              </w:rPr>
            </w:pPr>
            <w:r>
              <w:rPr>
                <w:rFonts w:hint="eastAsia" w:ascii="仿宋_GB2312" w:cs="仿宋_GB2312"/>
              </w:rPr>
              <w:t>天津</w:t>
            </w:r>
            <w:ins w:id="16" w:author="kylin" w:date="2024-01-19T16:46:13Z">
              <w:r>
                <w:rPr>
                  <w:rFonts w:hint="eastAsia" w:ascii="仿宋_GB2312" w:cs="仿宋_GB2312"/>
                  <w:lang w:eastAsia="zh-CN"/>
                </w:rPr>
                <w:t>市</w:t>
              </w:r>
            </w:ins>
            <w:ins w:id="17" w:author="kylin" w:date="2024-01-19T16:46:16Z">
              <w:r>
                <w:rPr>
                  <w:rFonts w:hint="eastAsia" w:ascii="仿宋_GB2312" w:cs="仿宋_GB2312"/>
                  <w:lang w:eastAsia="zh-CN"/>
                </w:rPr>
                <w:t>滨海新区</w:t>
              </w:r>
            </w:ins>
            <w:del w:id="18" w:author="kylin" w:date="2024-01-19T16:46:10Z">
              <w:r>
                <w:rPr>
                  <w:rFonts w:hint="eastAsia" w:ascii="仿宋_GB2312" w:cs="仿宋_GB2312"/>
                </w:rPr>
                <w:delText>开</w:delText>
              </w:r>
            </w:del>
            <w:del w:id="19" w:author="kylin" w:date="2024-01-19T16:46:09Z">
              <w:r>
                <w:rPr>
                  <w:rFonts w:hint="eastAsia" w:ascii="仿宋_GB2312" w:cs="仿宋_GB2312"/>
                </w:rPr>
                <w:delText>发区</w:delText>
              </w:r>
            </w:del>
            <w:r>
              <w:rPr>
                <w:rFonts w:hint="eastAsia" w:ascii="仿宋_GB2312" w:cs="仿宋_GB2312"/>
              </w:rPr>
              <w:t>第三大街65号</w:t>
            </w:r>
          </w:p>
        </w:tc>
        <w:tc>
          <w:tcPr>
            <w:tcW w:w="1446" w:type="pct"/>
            <w:vAlign w:val="center"/>
          </w:tcPr>
          <w:p>
            <w:pPr>
              <w:pStyle w:val="79"/>
              <w:rPr>
                <w:rFonts w:ascii="仿宋_GB2312"/>
              </w:rPr>
            </w:pPr>
            <w:r>
              <w:rPr>
                <w:rFonts w:hint="eastAsia" w:ascii="仿宋_GB2312"/>
              </w:rPr>
              <w:t>65202000（咨询台）</w:t>
            </w:r>
          </w:p>
          <w:p>
            <w:pPr>
              <w:pStyle w:val="79"/>
              <w:rPr>
                <w:rFonts w:ascii="仿宋_GB2312"/>
              </w:rPr>
            </w:pPr>
            <w:r>
              <w:rPr>
                <w:rFonts w:hint="eastAsia" w:ascii="仿宋_GB2312"/>
              </w:rPr>
              <w:t>652021999（医政科）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79" w:type="pct"/>
            <w:vAlign w:val="center"/>
          </w:tcPr>
          <w:p>
            <w:pPr>
              <w:pStyle w:val="79"/>
              <w:rPr>
                <w:rFonts w:ascii="仿宋_GB2312"/>
              </w:rPr>
            </w:pPr>
            <w:r>
              <w:rPr>
                <w:rFonts w:hint="eastAsia" w:ascii="仿宋_GB2312"/>
              </w:rPr>
              <w:t>泰达心血管医院</w:t>
            </w:r>
          </w:p>
        </w:tc>
        <w:tc>
          <w:tcPr>
            <w:tcW w:w="1975" w:type="pct"/>
            <w:vAlign w:val="center"/>
          </w:tcPr>
          <w:p>
            <w:pPr>
              <w:pStyle w:val="79"/>
              <w:rPr>
                <w:rFonts w:ascii="仿宋_GB2312"/>
              </w:rPr>
            </w:pPr>
            <w:r>
              <w:rPr>
                <w:rFonts w:hint="eastAsia" w:ascii="仿宋_GB2312"/>
              </w:rPr>
              <w:t>天津</w:t>
            </w:r>
            <w:ins w:id="20" w:author="kylin" w:date="2024-01-19T16:46:22Z">
              <w:r>
                <w:rPr>
                  <w:rFonts w:hint="eastAsia" w:ascii="仿宋_GB2312"/>
                  <w:lang w:eastAsia="zh-CN"/>
                </w:rPr>
                <w:t>市</w:t>
              </w:r>
            </w:ins>
            <w:ins w:id="21" w:author="kylin" w:date="2024-01-19T16:46:24Z">
              <w:r>
                <w:rPr>
                  <w:rFonts w:hint="eastAsia" w:ascii="仿宋_GB2312"/>
                  <w:lang w:eastAsia="zh-CN"/>
                </w:rPr>
                <w:t>滨海新区</w:t>
              </w:r>
            </w:ins>
            <w:del w:id="22" w:author="kylin" w:date="2024-01-19T16:46:19Z">
              <w:r>
                <w:rPr>
                  <w:rFonts w:hint="eastAsia" w:ascii="仿宋_GB2312"/>
                </w:rPr>
                <w:delText>开发区</w:delText>
              </w:r>
            </w:del>
            <w:r>
              <w:rPr>
                <w:rFonts w:hint="eastAsia" w:ascii="仿宋_GB2312"/>
              </w:rPr>
              <w:t>第三大街61号</w:t>
            </w:r>
          </w:p>
        </w:tc>
        <w:tc>
          <w:tcPr>
            <w:tcW w:w="1446" w:type="pct"/>
            <w:vAlign w:val="center"/>
          </w:tcPr>
          <w:p>
            <w:pPr>
              <w:pStyle w:val="79"/>
              <w:rPr>
                <w:rFonts w:ascii="仿宋_GB2312"/>
              </w:rPr>
            </w:pPr>
            <w:r>
              <w:rPr>
                <w:rFonts w:hint="eastAsia" w:ascii="仿宋_GB2312" w:cs="仿宋_GB2312"/>
              </w:rPr>
              <w:t>65209999（急诊科）</w:t>
            </w:r>
          </w:p>
        </w:tc>
      </w:tr>
    </w:tbl>
    <w:p>
      <w:pPr>
        <w:ind w:firstLine="560"/>
        <w:rPr>
          <w:rFonts w:ascii="仿宋_GB2312"/>
        </w:rPr>
      </w:pPr>
    </w:p>
    <w:p>
      <w:pPr>
        <w:ind w:firstLine="560"/>
        <w:rPr>
          <w:rFonts w:ascii="仿宋_GB2312"/>
        </w:rPr>
        <w:sectPr>
          <w:type w:val="nextColumn"/>
          <w:pgSz w:w="11905" w:h="16838"/>
          <w:pgMar w:top="1418" w:right="1134" w:bottom="1134" w:left="1588" w:header="850" w:footer="850" w:gutter="0"/>
          <w:cols w:space="720" w:num="1"/>
          <w:docGrid w:linePitch="628" w:charSpace="0"/>
        </w:sectPr>
      </w:pPr>
    </w:p>
    <w:p>
      <w:pPr>
        <w:pStyle w:val="3"/>
        <w:ind w:firstLine="301"/>
      </w:pPr>
      <w:bookmarkStart w:id="178" w:name="_Toc49846969"/>
      <w:r>
        <w:rPr>
          <w:rFonts w:hint="eastAsia"/>
        </w:rPr>
        <w:t>附件7应急物资储备情况表</w:t>
      </w:r>
      <w:bookmarkEnd w:id="178"/>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701"/>
        <w:gridCol w:w="1701"/>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792" w:type="pct"/>
            <w:vAlign w:val="center"/>
          </w:tcPr>
          <w:p>
            <w:pPr>
              <w:pStyle w:val="79"/>
              <w:jc w:val="center"/>
              <w:rPr>
                <w:rFonts w:ascii="仿宋_GB2312"/>
                <w:b/>
              </w:rPr>
            </w:pPr>
            <w:r>
              <w:rPr>
                <w:rFonts w:hint="eastAsia" w:ascii="仿宋_GB2312"/>
                <w:b/>
              </w:rPr>
              <w:t>名称</w:t>
            </w:r>
          </w:p>
        </w:tc>
        <w:tc>
          <w:tcPr>
            <w:tcW w:w="905" w:type="pct"/>
            <w:vAlign w:val="center"/>
          </w:tcPr>
          <w:p>
            <w:pPr>
              <w:pStyle w:val="79"/>
              <w:jc w:val="center"/>
              <w:rPr>
                <w:rFonts w:ascii="仿宋_GB2312"/>
                <w:b/>
              </w:rPr>
            </w:pPr>
            <w:r>
              <w:rPr>
                <w:rFonts w:hint="eastAsia" w:ascii="仿宋_GB2312"/>
                <w:b/>
              </w:rPr>
              <w:t>数量</w:t>
            </w:r>
          </w:p>
        </w:tc>
        <w:tc>
          <w:tcPr>
            <w:tcW w:w="905" w:type="pct"/>
            <w:vAlign w:val="center"/>
          </w:tcPr>
          <w:p>
            <w:pPr>
              <w:pStyle w:val="79"/>
              <w:jc w:val="center"/>
              <w:rPr>
                <w:rFonts w:ascii="仿宋_GB2312"/>
                <w:b/>
              </w:rPr>
            </w:pPr>
            <w:r>
              <w:rPr>
                <w:rFonts w:hint="eastAsia" w:ascii="仿宋_GB2312"/>
                <w:b/>
              </w:rPr>
              <w:t>单位</w:t>
            </w:r>
          </w:p>
        </w:tc>
        <w:tc>
          <w:tcPr>
            <w:tcW w:w="1398" w:type="pct"/>
            <w:vAlign w:val="center"/>
          </w:tcPr>
          <w:p>
            <w:pPr>
              <w:pStyle w:val="79"/>
              <w:jc w:val="center"/>
              <w:rPr>
                <w:rFonts w:ascii="仿宋_GB2312"/>
                <w:b/>
              </w:rPr>
            </w:pPr>
            <w:r>
              <w:rPr>
                <w:rFonts w:hint="eastAsia" w:ascii="仿宋_GB2312"/>
                <w:b/>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安全头盔</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顶</w:t>
            </w:r>
          </w:p>
        </w:tc>
        <w:tc>
          <w:tcPr>
            <w:tcW w:w="1398" w:type="pct"/>
            <w:vMerge w:val="restart"/>
            <w:vAlign w:val="center"/>
          </w:tcPr>
          <w:p>
            <w:pPr>
              <w:pStyle w:val="79"/>
              <w:jc w:val="center"/>
              <w:rPr>
                <w:rFonts w:ascii="仿宋_GB2312"/>
              </w:rPr>
            </w:pPr>
            <w:r>
              <w:rPr>
                <w:rFonts w:hint="eastAsia" w:ascii="仿宋_GB2312"/>
              </w:rPr>
              <w:t>河北路4-396号新北街道办事处物资器材库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呼吸面具</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防护镜</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副</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垫肩</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护膝、护肘</w:t>
            </w:r>
          </w:p>
        </w:tc>
        <w:tc>
          <w:tcPr>
            <w:tcW w:w="905" w:type="pct"/>
            <w:vAlign w:val="center"/>
          </w:tcPr>
          <w:p>
            <w:pPr>
              <w:pStyle w:val="79"/>
              <w:jc w:val="center"/>
              <w:rPr>
                <w:rFonts w:ascii="仿宋_GB2312"/>
              </w:rPr>
            </w:pPr>
            <w:r>
              <w:rPr>
                <w:rFonts w:hint="eastAsia" w:ascii="仿宋_GB2312"/>
              </w:rPr>
              <w:t>各40</w:t>
            </w:r>
          </w:p>
        </w:tc>
        <w:tc>
          <w:tcPr>
            <w:tcW w:w="905" w:type="pct"/>
            <w:vAlign w:val="center"/>
          </w:tcPr>
          <w:p>
            <w:pPr>
              <w:pStyle w:val="79"/>
              <w:jc w:val="center"/>
              <w:rPr>
                <w:rFonts w:ascii="仿宋_GB2312"/>
              </w:rPr>
            </w:pPr>
            <w:r>
              <w:rPr>
                <w:rFonts w:hint="eastAsia" w:ascii="仿宋_GB2312"/>
              </w:rPr>
              <w:t>副</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安全鞋</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双</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空气呼吸器</w:t>
            </w:r>
          </w:p>
        </w:tc>
        <w:tc>
          <w:tcPr>
            <w:tcW w:w="905" w:type="pct"/>
            <w:vAlign w:val="center"/>
          </w:tcPr>
          <w:p>
            <w:pPr>
              <w:pStyle w:val="79"/>
              <w:jc w:val="center"/>
              <w:rPr>
                <w:rFonts w:ascii="仿宋_GB2312"/>
              </w:rPr>
            </w:pPr>
            <w:r>
              <w:rPr>
                <w:rFonts w:hint="eastAsia" w:ascii="仿宋_GB2312"/>
              </w:rPr>
              <w:t>1</w:t>
            </w:r>
          </w:p>
        </w:tc>
        <w:tc>
          <w:tcPr>
            <w:tcW w:w="905" w:type="pct"/>
            <w:vAlign w:val="center"/>
          </w:tcPr>
          <w:p>
            <w:pPr>
              <w:pStyle w:val="79"/>
              <w:jc w:val="center"/>
              <w:rPr>
                <w:rFonts w:ascii="仿宋_GB2312"/>
              </w:rPr>
            </w:pPr>
            <w:r>
              <w:rPr>
                <w:rFonts w:hint="eastAsia" w:ascii="仿宋_GB2312"/>
              </w:rPr>
              <w:t>套</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对讲机</w:t>
            </w:r>
          </w:p>
        </w:tc>
        <w:tc>
          <w:tcPr>
            <w:tcW w:w="905" w:type="pct"/>
            <w:vAlign w:val="center"/>
          </w:tcPr>
          <w:p>
            <w:pPr>
              <w:pStyle w:val="79"/>
              <w:jc w:val="center"/>
              <w:rPr>
                <w:rFonts w:ascii="仿宋_GB2312"/>
              </w:rPr>
            </w:pPr>
            <w:r>
              <w:rPr>
                <w:rFonts w:hint="eastAsia" w:ascii="仿宋_GB2312"/>
              </w:rPr>
              <w:t>5</w:t>
            </w:r>
          </w:p>
        </w:tc>
        <w:tc>
          <w:tcPr>
            <w:tcW w:w="905" w:type="pct"/>
            <w:vAlign w:val="center"/>
          </w:tcPr>
          <w:p>
            <w:pPr>
              <w:pStyle w:val="79"/>
              <w:jc w:val="center"/>
              <w:rPr>
                <w:rFonts w:ascii="仿宋_GB2312"/>
              </w:rPr>
            </w:pPr>
            <w:r>
              <w:rPr>
                <w:rFonts w:hint="eastAsia" w:ascii="仿宋_GB2312"/>
              </w:rPr>
              <w:t>部</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喊话器</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部</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强光手电筒</w:t>
            </w:r>
          </w:p>
        </w:tc>
        <w:tc>
          <w:tcPr>
            <w:tcW w:w="905" w:type="pct"/>
            <w:vAlign w:val="center"/>
          </w:tcPr>
          <w:p>
            <w:pPr>
              <w:pStyle w:val="79"/>
              <w:jc w:val="center"/>
              <w:rPr>
                <w:rFonts w:ascii="仿宋_GB2312"/>
              </w:rPr>
            </w:pPr>
            <w:r>
              <w:rPr>
                <w:rFonts w:hint="eastAsia" w:ascii="仿宋_GB2312"/>
              </w:rPr>
              <w:t>10</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应急灯</w:t>
            </w:r>
          </w:p>
        </w:tc>
        <w:tc>
          <w:tcPr>
            <w:tcW w:w="905" w:type="pct"/>
            <w:vAlign w:val="center"/>
          </w:tcPr>
          <w:p>
            <w:pPr>
              <w:pStyle w:val="79"/>
              <w:jc w:val="center"/>
              <w:rPr>
                <w:rFonts w:ascii="仿宋_GB2312"/>
              </w:rPr>
            </w:pPr>
            <w:r>
              <w:rPr>
                <w:rFonts w:hint="eastAsia" w:ascii="仿宋_GB2312"/>
              </w:rPr>
              <w:t>4</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移动升降照明灯</w:t>
            </w:r>
          </w:p>
        </w:tc>
        <w:tc>
          <w:tcPr>
            <w:tcW w:w="905" w:type="pct"/>
            <w:vAlign w:val="center"/>
          </w:tcPr>
          <w:p>
            <w:pPr>
              <w:pStyle w:val="79"/>
              <w:jc w:val="center"/>
              <w:rPr>
                <w:rFonts w:ascii="仿宋_GB2312"/>
              </w:rPr>
            </w:pPr>
            <w:r>
              <w:rPr>
                <w:rFonts w:hint="eastAsia" w:ascii="仿宋_GB2312"/>
              </w:rPr>
              <w:t>4</w:t>
            </w:r>
          </w:p>
        </w:tc>
        <w:tc>
          <w:tcPr>
            <w:tcW w:w="905" w:type="pct"/>
            <w:vAlign w:val="center"/>
          </w:tcPr>
          <w:p>
            <w:pPr>
              <w:pStyle w:val="79"/>
              <w:jc w:val="center"/>
              <w:rPr>
                <w:rFonts w:ascii="仿宋_GB2312"/>
              </w:rPr>
            </w:pPr>
            <w:r>
              <w:rPr>
                <w:rFonts w:hint="eastAsia" w:ascii="仿宋_GB2312"/>
              </w:rPr>
              <w:t>套</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头灯</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救生衣</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件</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救生圈</w:t>
            </w:r>
          </w:p>
        </w:tc>
        <w:tc>
          <w:tcPr>
            <w:tcW w:w="905" w:type="pct"/>
            <w:vAlign w:val="center"/>
          </w:tcPr>
          <w:p>
            <w:pPr>
              <w:pStyle w:val="79"/>
              <w:jc w:val="center"/>
              <w:rPr>
                <w:rFonts w:ascii="仿宋_GB2312"/>
              </w:rPr>
            </w:pPr>
            <w:r>
              <w:rPr>
                <w:rFonts w:hint="eastAsia" w:ascii="仿宋_GB2312"/>
              </w:rPr>
              <w:t>20</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漂浮绳</w:t>
            </w:r>
          </w:p>
        </w:tc>
        <w:tc>
          <w:tcPr>
            <w:tcW w:w="905" w:type="pct"/>
            <w:vAlign w:val="center"/>
          </w:tcPr>
          <w:p>
            <w:pPr>
              <w:pStyle w:val="79"/>
              <w:jc w:val="center"/>
              <w:rPr>
                <w:rFonts w:ascii="仿宋_GB2312"/>
              </w:rPr>
            </w:pPr>
            <w:r>
              <w:rPr>
                <w:rFonts w:hint="eastAsia" w:ascii="仿宋_GB2312"/>
              </w:rPr>
              <w:t>5</w:t>
            </w:r>
          </w:p>
        </w:tc>
        <w:tc>
          <w:tcPr>
            <w:tcW w:w="905" w:type="pct"/>
            <w:vAlign w:val="center"/>
          </w:tcPr>
          <w:p>
            <w:pPr>
              <w:pStyle w:val="79"/>
              <w:jc w:val="center"/>
              <w:rPr>
                <w:rFonts w:ascii="仿宋_GB2312"/>
              </w:rPr>
            </w:pPr>
            <w:r>
              <w:rPr>
                <w:rFonts w:hint="eastAsia" w:ascii="仿宋_GB2312"/>
              </w:rPr>
              <w:t>条</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扩张钳</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套</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千斤顶</w:t>
            </w:r>
          </w:p>
        </w:tc>
        <w:tc>
          <w:tcPr>
            <w:tcW w:w="905" w:type="pct"/>
            <w:vAlign w:val="center"/>
          </w:tcPr>
          <w:p>
            <w:pPr>
              <w:pStyle w:val="79"/>
              <w:jc w:val="center"/>
              <w:rPr>
                <w:rFonts w:ascii="仿宋_GB2312"/>
              </w:rPr>
            </w:pPr>
            <w:r>
              <w:rPr>
                <w:rFonts w:hint="eastAsia" w:ascii="仿宋_GB2312"/>
              </w:rPr>
              <w:t>4</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钢钎</w:t>
            </w:r>
          </w:p>
        </w:tc>
        <w:tc>
          <w:tcPr>
            <w:tcW w:w="905" w:type="pct"/>
            <w:vAlign w:val="center"/>
          </w:tcPr>
          <w:p>
            <w:pPr>
              <w:pStyle w:val="79"/>
              <w:jc w:val="center"/>
              <w:rPr>
                <w:rFonts w:ascii="仿宋_GB2312"/>
              </w:rPr>
            </w:pPr>
            <w:r>
              <w:rPr>
                <w:rFonts w:hint="eastAsia" w:ascii="仿宋_GB2312"/>
              </w:rPr>
              <w:t>5</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撬棍</w:t>
            </w:r>
          </w:p>
        </w:tc>
        <w:tc>
          <w:tcPr>
            <w:tcW w:w="905" w:type="pct"/>
            <w:vAlign w:val="center"/>
          </w:tcPr>
          <w:p>
            <w:pPr>
              <w:pStyle w:val="79"/>
              <w:jc w:val="center"/>
              <w:rPr>
                <w:rFonts w:ascii="仿宋_GB2312"/>
              </w:rPr>
            </w:pPr>
            <w:r>
              <w:rPr>
                <w:rFonts w:hint="eastAsia" w:ascii="仿宋_GB2312"/>
              </w:rPr>
              <w:t>4</w:t>
            </w:r>
          </w:p>
        </w:tc>
        <w:tc>
          <w:tcPr>
            <w:tcW w:w="905" w:type="pct"/>
            <w:vAlign w:val="center"/>
          </w:tcPr>
          <w:p>
            <w:pPr>
              <w:pStyle w:val="79"/>
              <w:jc w:val="center"/>
              <w:rPr>
                <w:rFonts w:ascii="仿宋_GB2312"/>
              </w:rPr>
            </w:pPr>
            <w:r>
              <w:rPr>
                <w:rFonts w:hint="eastAsia" w:ascii="仿宋_GB2312"/>
              </w:rPr>
              <w:t>根</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斧子</w:t>
            </w:r>
          </w:p>
        </w:tc>
        <w:tc>
          <w:tcPr>
            <w:tcW w:w="905" w:type="pct"/>
            <w:vAlign w:val="center"/>
          </w:tcPr>
          <w:p>
            <w:pPr>
              <w:pStyle w:val="79"/>
              <w:jc w:val="center"/>
              <w:rPr>
                <w:rFonts w:ascii="仿宋_GB2312"/>
              </w:rPr>
            </w:pPr>
            <w:r>
              <w:rPr>
                <w:rFonts w:hint="eastAsia" w:ascii="仿宋_GB2312"/>
              </w:rPr>
              <w:t>10</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电锯</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无齿锯</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链锯</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铁锹</w:t>
            </w:r>
          </w:p>
        </w:tc>
        <w:tc>
          <w:tcPr>
            <w:tcW w:w="905" w:type="pct"/>
            <w:vAlign w:val="center"/>
          </w:tcPr>
          <w:p>
            <w:pPr>
              <w:pStyle w:val="79"/>
              <w:jc w:val="center"/>
              <w:rPr>
                <w:rFonts w:ascii="仿宋_GB2312"/>
              </w:rPr>
            </w:pPr>
            <w:r>
              <w:rPr>
                <w:rFonts w:hint="eastAsia" w:ascii="仿宋_GB2312"/>
              </w:rPr>
              <w:t>130</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十字镐</w:t>
            </w:r>
          </w:p>
        </w:tc>
        <w:tc>
          <w:tcPr>
            <w:tcW w:w="905" w:type="pct"/>
            <w:vAlign w:val="center"/>
          </w:tcPr>
          <w:p>
            <w:pPr>
              <w:pStyle w:val="79"/>
              <w:jc w:val="center"/>
              <w:rPr>
                <w:rFonts w:ascii="仿宋_GB2312"/>
              </w:rPr>
            </w:pPr>
            <w:r>
              <w:rPr>
                <w:rFonts w:hint="eastAsia" w:ascii="仿宋_GB2312"/>
              </w:rPr>
              <w:t>30</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大锤</w:t>
            </w:r>
          </w:p>
        </w:tc>
        <w:tc>
          <w:tcPr>
            <w:tcW w:w="905" w:type="pct"/>
            <w:vAlign w:val="center"/>
          </w:tcPr>
          <w:p>
            <w:pPr>
              <w:pStyle w:val="79"/>
              <w:jc w:val="center"/>
              <w:rPr>
                <w:rFonts w:ascii="仿宋_GB2312"/>
              </w:rPr>
            </w:pPr>
            <w:r>
              <w:rPr>
                <w:rFonts w:hint="eastAsia" w:ascii="仿宋_GB2312"/>
              </w:rPr>
              <w:t>10</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太阳伞</w:t>
            </w:r>
          </w:p>
        </w:tc>
        <w:tc>
          <w:tcPr>
            <w:tcW w:w="905" w:type="pct"/>
            <w:vAlign w:val="center"/>
          </w:tcPr>
          <w:p>
            <w:pPr>
              <w:pStyle w:val="79"/>
              <w:jc w:val="center"/>
              <w:rPr>
                <w:rFonts w:ascii="仿宋_GB2312"/>
              </w:rPr>
            </w:pPr>
            <w:r>
              <w:rPr>
                <w:rFonts w:hint="eastAsia" w:ascii="仿宋_GB2312"/>
              </w:rPr>
              <w:t>8</w:t>
            </w:r>
          </w:p>
        </w:tc>
        <w:tc>
          <w:tcPr>
            <w:tcW w:w="905" w:type="pct"/>
            <w:vAlign w:val="center"/>
          </w:tcPr>
          <w:p>
            <w:pPr>
              <w:pStyle w:val="79"/>
              <w:jc w:val="center"/>
              <w:rPr>
                <w:rFonts w:ascii="仿宋_GB2312"/>
              </w:rPr>
            </w:pPr>
            <w:r>
              <w:rPr>
                <w:rFonts w:hint="eastAsia" w:ascii="仿宋_GB2312"/>
              </w:rPr>
              <w:t>顶</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灭火器</w:t>
            </w:r>
          </w:p>
        </w:tc>
        <w:tc>
          <w:tcPr>
            <w:tcW w:w="905" w:type="pct"/>
            <w:vAlign w:val="center"/>
          </w:tcPr>
          <w:p>
            <w:pPr>
              <w:pStyle w:val="79"/>
              <w:jc w:val="center"/>
              <w:rPr>
                <w:rFonts w:ascii="仿宋_GB2312"/>
              </w:rPr>
            </w:pPr>
            <w:r>
              <w:rPr>
                <w:rFonts w:hint="eastAsia" w:ascii="仿宋_GB2312"/>
              </w:rPr>
              <w:t>10</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防火衣</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套</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灭火毯</w:t>
            </w:r>
          </w:p>
        </w:tc>
        <w:tc>
          <w:tcPr>
            <w:tcW w:w="905" w:type="pct"/>
            <w:vAlign w:val="center"/>
          </w:tcPr>
          <w:p>
            <w:pPr>
              <w:pStyle w:val="79"/>
              <w:jc w:val="center"/>
              <w:rPr>
                <w:rFonts w:ascii="仿宋_GB2312"/>
              </w:rPr>
            </w:pPr>
            <w:r>
              <w:rPr>
                <w:rFonts w:hint="eastAsia" w:ascii="仿宋_GB2312"/>
              </w:rPr>
              <w:t>10</w:t>
            </w:r>
          </w:p>
        </w:tc>
        <w:tc>
          <w:tcPr>
            <w:tcW w:w="905" w:type="pct"/>
            <w:vAlign w:val="center"/>
          </w:tcPr>
          <w:p>
            <w:pPr>
              <w:pStyle w:val="79"/>
              <w:jc w:val="center"/>
              <w:rPr>
                <w:rFonts w:ascii="仿宋_GB2312"/>
              </w:rPr>
            </w:pPr>
            <w:r>
              <w:rPr>
                <w:rFonts w:hint="eastAsia" w:ascii="仿宋_GB2312"/>
              </w:rPr>
              <w:t>张</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打火鞭</w:t>
            </w:r>
          </w:p>
        </w:tc>
        <w:tc>
          <w:tcPr>
            <w:tcW w:w="905" w:type="pct"/>
            <w:vAlign w:val="center"/>
          </w:tcPr>
          <w:p>
            <w:pPr>
              <w:pStyle w:val="79"/>
              <w:jc w:val="center"/>
              <w:rPr>
                <w:rFonts w:ascii="仿宋_GB2312"/>
              </w:rPr>
            </w:pPr>
            <w:r>
              <w:rPr>
                <w:rFonts w:hint="eastAsia" w:ascii="仿宋_GB2312"/>
              </w:rPr>
              <w:t>10</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防爆盾牌</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具</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防爆警棍</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根</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铁丝</w:t>
            </w:r>
          </w:p>
        </w:tc>
        <w:tc>
          <w:tcPr>
            <w:tcW w:w="905" w:type="pct"/>
            <w:vAlign w:val="center"/>
          </w:tcPr>
          <w:p>
            <w:pPr>
              <w:pStyle w:val="79"/>
              <w:jc w:val="center"/>
              <w:rPr>
                <w:rFonts w:ascii="仿宋_GB2312"/>
              </w:rPr>
            </w:pPr>
            <w:r>
              <w:rPr>
                <w:rFonts w:hint="eastAsia" w:ascii="仿宋_GB2312"/>
              </w:rPr>
              <w:t>50</w:t>
            </w:r>
          </w:p>
        </w:tc>
        <w:tc>
          <w:tcPr>
            <w:tcW w:w="905" w:type="pct"/>
            <w:vAlign w:val="center"/>
          </w:tcPr>
          <w:p>
            <w:pPr>
              <w:pStyle w:val="79"/>
              <w:jc w:val="center"/>
              <w:rPr>
                <w:rFonts w:ascii="仿宋_GB2312"/>
              </w:rPr>
            </w:pPr>
            <w:r>
              <w:rPr>
                <w:rFonts w:hint="eastAsia" w:ascii="仿宋_GB2312"/>
              </w:rPr>
              <w:t>公斤</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雨衣</w:t>
            </w:r>
          </w:p>
        </w:tc>
        <w:tc>
          <w:tcPr>
            <w:tcW w:w="905" w:type="pct"/>
            <w:vAlign w:val="center"/>
          </w:tcPr>
          <w:p>
            <w:pPr>
              <w:pStyle w:val="79"/>
              <w:jc w:val="center"/>
              <w:rPr>
                <w:rFonts w:ascii="仿宋_GB2312"/>
              </w:rPr>
            </w:pPr>
            <w:r>
              <w:rPr>
                <w:rFonts w:hint="eastAsia" w:ascii="仿宋_GB2312"/>
              </w:rPr>
              <w:t>140</w:t>
            </w:r>
          </w:p>
        </w:tc>
        <w:tc>
          <w:tcPr>
            <w:tcW w:w="905" w:type="pct"/>
            <w:vAlign w:val="center"/>
          </w:tcPr>
          <w:p>
            <w:pPr>
              <w:pStyle w:val="79"/>
              <w:jc w:val="center"/>
              <w:rPr>
                <w:rFonts w:ascii="仿宋_GB2312"/>
              </w:rPr>
            </w:pPr>
            <w:r>
              <w:rPr>
                <w:rFonts w:hint="eastAsia" w:ascii="仿宋_GB2312"/>
              </w:rPr>
              <w:t>件</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雨靴</w:t>
            </w:r>
          </w:p>
        </w:tc>
        <w:tc>
          <w:tcPr>
            <w:tcW w:w="905" w:type="pct"/>
            <w:vAlign w:val="center"/>
          </w:tcPr>
          <w:p>
            <w:pPr>
              <w:pStyle w:val="79"/>
              <w:jc w:val="center"/>
              <w:rPr>
                <w:rFonts w:ascii="仿宋_GB2312"/>
              </w:rPr>
            </w:pPr>
            <w:r>
              <w:rPr>
                <w:rFonts w:hint="eastAsia" w:ascii="仿宋_GB2312"/>
              </w:rPr>
              <w:t>40</w:t>
            </w:r>
          </w:p>
        </w:tc>
        <w:tc>
          <w:tcPr>
            <w:tcW w:w="905" w:type="pct"/>
            <w:vAlign w:val="center"/>
          </w:tcPr>
          <w:p>
            <w:pPr>
              <w:pStyle w:val="79"/>
              <w:jc w:val="center"/>
              <w:rPr>
                <w:rFonts w:ascii="仿宋_GB2312"/>
              </w:rPr>
            </w:pPr>
            <w:r>
              <w:rPr>
                <w:rFonts w:hint="eastAsia" w:ascii="仿宋_GB2312"/>
              </w:rPr>
              <w:t>双</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排水泵</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台</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担架</w:t>
            </w:r>
          </w:p>
        </w:tc>
        <w:tc>
          <w:tcPr>
            <w:tcW w:w="905" w:type="pct"/>
            <w:vAlign w:val="center"/>
          </w:tcPr>
          <w:p>
            <w:pPr>
              <w:pStyle w:val="79"/>
              <w:jc w:val="center"/>
              <w:rPr>
                <w:rFonts w:ascii="仿宋_GB2312"/>
              </w:rPr>
            </w:pPr>
            <w:r>
              <w:rPr>
                <w:rFonts w:hint="eastAsia" w:ascii="仿宋_GB2312"/>
              </w:rPr>
              <w:t>1</w:t>
            </w:r>
          </w:p>
        </w:tc>
        <w:tc>
          <w:tcPr>
            <w:tcW w:w="905" w:type="pct"/>
            <w:vAlign w:val="center"/>
          </w:tcPr>
          <w:p>
            <w:pPr>
              <w:pStyle w:val="79"/>
              <w:jc w:val="center"/>
              <w:rPr>
                <w:rFonts w:ascii="仿宋_GB2312"/>
              </w:rPr>
            </w:pPr>
            <w:r>
              <w:rPr>
                <w:rFonts w:hint="eastAsia" w:ascii="仿宋_GB2312"/>
              </w:rPr>
              <w:t>幅</w:t>
            </w:r>
          </w:p>
        </w:tc>
        <w:tc>
          <w:tcPr>
            <w:tcW w:w="1398" w:type="pct"/>
            <w:vMerge w:val="restart"/>
            <w:vAlign w:val="center"/>
          </w:tcPr>
          <w:p>
            <w:pPr>
              <w:pStyle w:val="79"/>
              <w:jc w:val="center"/>
              <w:rPr>
                <w:rFonts w:ascii="仿宋_GB2312"/>
              </w:rPr>
            </w:pPr>
            <w:r>
              <w:rPr>
                <w:rFonts w:hint="eastAsia" w:ascii="仿宋_GB2312"/>
              </w:rPr>
              <w:t>贻成豪庭社区库房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急救箱</w:t>
            </w:r>
          </w:p>
        </w:tc>
        <w:tc>
          <w:tcPr>
            <w:tcW w:w="905" w:type="pct"/>
            <w:vAlign w:val="center"/>
          </w:tcPr>
          <w:p>
            <w:pPr>
              <w:pStyle w:val="79"/>
              <w:jc w:val="center"/>
              <w:rPr>
                <w:rFonts w:ascii="仿宋_GB2312"/>
              </w:rPr>
            </w:pPr>
            <w:r>
              <w:rPr>
                <w:rFonts w:hint="eastAsia" w:ascii="仿宋_GB2312"/>
              </w:rPr>
              <w:t>1</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棉帐篷</w:t>
            </w:r>
          </w:p>
        </w:tc>
        <w:tc>
          <w:tcPr>
            <w:tcW w:w="905" w:type="pct"/>
            <w:vAlign w:val="center"/>
          </w:tcPr>
          <w:p>
            <w:pPr>
              <w:pStyle w:val="79"/>
              <w:jc w:val="center"/>
              <w:rPr>
                <w:rFonts w:ascii="仿宋_GB2312"/>
              </w:rPr>
            </w:pPr>
            <w:r>
              <w:rPr>
                <w:rFonts w:hint="eastAsia" w:ascii="仿宋_GB2312"/>
              </w:rPr>
              <w:t>1</w:t>
            </w:r>
          </w:p>
        </w:tc>
        <w:tc>
          <w:tcPr>
            <w:tcW w:w="905" w:type="pct"/>
            <w:vAlign w:val="center"/>
          </w:tcPr>
          <w:p>
            <w:pPr>
              <w:pStyle w:val="79"/>
              <w:jc w:val="center"/>
              <w:rPr>
                <w:rFonts w:ascii="仿宋_GB2312"/>
              </w:rPr>
            </w:pPr>
            <w:r>
              <w:rPr>
                <w:rFonts w:hint="eastAsia" w:ascii="仿宋_GB2312"/>
              </w:rPr>
              <w:t>顶</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电子血压计</w:t>
            </w:r>
          </w:p>
        </w:tc>
        <w:tc>
          <w:tcPr>
            <w:tcW w:w="905" w:type="pct"/>
            <w:vAlign w:val="center"/>
          </w:tcPr>
          <w:p>
            <w:pPr>
              <w:pStyle w:val="79"/>
              <w:jc w:val="center"/>
              <w:rPr>
                <w:rFonts w:ascii="仿宋_GB2312"/>
              </w:rPr>
            </w:pPr>
            <w:r>
              <w:rPr>
                <w:rFonts w:hint="eastAsia" w:ascii="仿宋_GB2312"/>
              </w:rPr>
              <w:t>1</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喊话器</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部</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对讲机</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部</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应急救助生活包</w:t>
            </w:r>
          </w:p>
        </w:tc>
        <w:tc>
          <w:tcPr>
            <w:tcW w:w="905" w:type="pct"/>
            <w:vAlign w:val="center"/>
          </w:tcPr>
          <w:p>
            <w:pPr>
              <w:pStyle w:val="79"/>
              <w:jc w:val="center"/>
              <w:rPr>
                <w:rFonts w:ascii="仿宋_GB2312"/>
              </w:rPr>
            </w:pPr>
            <w:r>
              <w:rPr>
                <w:rFonts w:hint="eastAsia" w:ascii="仿宋_GB2312" w:cs="仿宋_GB2312"/>
                <w:sz w:val="28"/>
              </w:rPr>
              <w:t>12</w:t>
            </w:r>
          </w:p>
        </w:tc>
        <w:tc>
          <w:tcPr>
            <w:tcW w:w="905" w:type="pct"/>
            <w:vAlign w:val="center"/>
          </w:tcPr>
          <w:p>
            <w:pPr>
              <w:pStyle w:val="79"/>
              <w:jc w:val="center"/>
              <w:rPr>
                <w:rFonts w:ascii="仿宋_GB2312"/>
              </w:rPr>
            </w:pP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应急疏导指示牌</w:t>
            </w:r>
          </w:p>
        </w:tc>
        <w:tc>
          <w:tcPr>
            <w:tcW w:w="905" w:type="pct"/>
            <w:vAlign w:val="center"/>
          </w:tcPr>
          <w:p>
            <w:pPr>
              <w:pStyle w:val="79"/>
              <w:jc w:val="center"/>
              <w:rPr>
                <w:rFonts w:ascii="仿宋_GB2312"/>
              </w:rPr>
            </w:pPr>
            <w:r>
              <w:rPr>
                <w:rFonts w:hint="eastAsia" w:ascii="仿宋_GB2312" w:cs="仿宋_GB2312"/>
                <w:sz w:val="28"/>
              </w:rPr>
              <w:t>5</w:t>
            </w:r>
          </w:p>
        </w:tc>
        <w:tc>
          <w:tcPr>
            <w:tcW w:w="905" w:type="pct"/>
            <w:vAlign w:val="center"/>
          </w:tcPr>
          <w:p>
            <w:pPr>
              <w:pStyle w:val="79"/>
              <w:jc w:val="center"/>
              <w:rPr>
                <w:rFonts w:ascii="仿宋_GB2312"/>
              </w:rPr>
            </w:pP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地震应急破拆工具</w:t>
            </w:r>
          </w:p>
        </w:tc>
        <w:tc>
          <w:tcPr>
            <w:tcW w:w="905" w:type="pct"/>
            <w:vAlign w:val="center"/>
          </w:tcPr>
          <w:p>
            <w:pPr>
              <w:pStyle w:val="79"/>
              <w:jc w:val="center"/>
              <w:rPr>
                <w:rFonts w:ascii="仿宋_GB2312"/>
              </w:rPr>
            </w:pPr>
            <w:r>
              <w:rPr>
                <w:rFonts w:hint="eastAsia" w:ascii="仿宋_GB2312" w:cs="仿宋_GB2312"/>
                <w:sz w:val="28"/>
              </w:rPr>
              <w:t>1</w:t>
            </w:r>
          </w:p>
        </w:tc>
        <w:tc>
          <w:tcPr>
            <w:tcW w:w="905" w:type="pct"/>
            <w:vAlign w:val="center"/>
          </w:tcPr>
          <w:p>
            <w:pPr>
              <w:pStyle w:val="79"/>
              <w:jc w:val="center"/>
              <w:rPr>
                <w:rFonts w:ascii="仿宋_GB2312"/>
              </w:rPr>
            </w:pP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地震应急救援SOS工具盒</w:t>
            </w:r>
          </w:p>
        </w:tc>
        <w:tc>
          <w:tcPr>
            <w:tcW w:w="905" w:type="pct"/>
            <w:vAlign w:val="center"/>
          </w:tcPr>
          <w:p>
            <w:pPr>
              <w:pStyle w:val="79"/>
              <w:jc w:val="center"/>
              <w:rPr>
                <w:rFonts w:ascii="仿宋_GB2312" w:cs="仿宋_GB2312"/>
              </w:rPr>
            </w:pPr>
            <w:r>
              <w:rPr>
                <w:rFonts w:hint="eastAsia" w:ascii="仿宋_GB2312" w:cs="仿宋_GB2312"/>
                <w:sz w:val="28"/>
              </w:rPr>
              <w:t>35</w:t>
            </w:r>
          </w:p>
        </w:tc>
        <w:tc>
          <w:tcPr>
            <w:tcW w:w="905" w:type="pct"/>
            <w:vAlign w:val="center"/>
          </w:tcPr>
          <w:p>
            <w:pPr>
              <w:pStyle w:val="79"/>
              <w:jc w:val="center"/>
              <w:rPr>
                <w:rFonts w:ascii="仿宋_GB2312"/>
              </w:rPr>
            </w:pP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地震宣传展架</w:t>
            </w:r>
          </w:p>
        </w:tc>
        <w:tc>
          <w:tcPr>
            <w:tcW w:w="905" w:type="pct"/>
            <w:vAlign w:val="center"/>
          </w:tcPr>
          <w:p>
            <w:pPr>
              <w:pStyle w:val="79"/>
              <w:jc w:val="center"/>
              <w:rPr>
                <w:rFonts w:ascii="仿宋_GB2312"/>
              </w:rPr>
            </w:pPr>
            <w:r>
              <w:rPr>
                <w:rFonts w:hint="eastAsia" w:ascii="仿宋_GB2312" w:cs="仿宋_GB2312"/>
                <w:sz w:val="28"/>
              </w:rPr>
              <w:t>4</w:t>
            </w:r>
          </w:p>
        </w:tc>
        <w:tc>
          <w:tcPr>
            <w:tcW w:w="905" w:type="pct"/>
            <w:vAlign w:val="center"/>
          </w:tcPr>
          <w:p>
            <w:pPr>
              <w:pStyle w:val="79"/>
              <w:jc w:val="center"/>
              <w:rPr>
                <w:rFonts w:ascii="仿宋_GB2312"/>
              </w:rPr>
            </w:pP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红十字地震应急随身包</w:t>
            </w:r>
          </w:p>
        </w:tc>
        <w:tc>
          <w:tcPr>
            <w:tcW w:w="905" w:type="pct"/>
            <w:vAlign w:val="center"/>
          </w:tcPr>
          <w:p>
            <w:pPr>
              <w:pStyle w:val="79"/>
              <w:jc w:val="center"/>
              <w:rPr>
                <w:rFonts w:ascii="仿宋_GB2312" w:cs="仿宋_GB2312"/>
              </w:rPr>
            </w:pPr>
            <w:r>
              <w:rPr>
                <w:rFonts w:hint="eastAsia" w:ascii="仿宋_GB2312" w:cs="仿宋_GB2312"/>
                <w:sz w:val="28"/>
              </w:rPr>
              <w:t>18</w:t>
            </w:r>
          </w:p>
        </w:tc>
        <w:tc>
          <w:tcPr>
            <w:tcW w:w="905" w:type="pct"/>
            <w:vAlign w:val="center"/>
          </w:tcPr>
          <w:p>
            <w:pPr>
              <w:pStyle w:val="79"/>
              <w:jc w:val="center"/>
              <w:rPr>
                <w:rFonts w:ascii="仿宋_GB2312"/>
              </w:rPr>
            </w:pP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LED超强光探照灯</w:t>
            </w:r>
          </w:p>
        </w:tc>
        <w:tc>
          <w:tcPr>
            <w:tcW w:w="905" w:type="pct"/>
            <w:vAlign w:val="center"/>
          </w:tcPr>
          <w:p>
            <w:pPr>
              <w:pStyle w:val="79"/>
              <w:jc w:val="center"/>
              <w:rPr>
                <w:rFonts w:ascii="仿宋_GB2312"/>
              </w:rPr>
            </w:pPr>
            <w:r>
              <w:rPr>
                <w:rFonts w:hint="eastAsia" w:ascii="仿宋_GB2312"/>
              </w:rPr>
              <w:t>2</w:t>
            </w:r>
          </w:p>
        </w:tc>
        <w:tc>
          <w:tcPr>
            <w:tcW w:w="905" w:type="pct"/>
            <w:vAlign w:val="center"/>
          </w:tcPr>
          <w:p>
            <w:pPr>
              <w:pStyle w:val="79"/>
              <w:jc w:val="center"/>
              <w:rPr>
                <w:rFonts w:ascii="仿宋_GB2312"/>
              </w:rPr>
            </w:pPr>
            <w:r>
              <w:rPr>
                <w:rFonts w:hint="eastAsia" w:ascii="仿宋_GB2312"/>
              </w:rPr>
              <w:t>把</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液压钳</w:t>
            </w:r>
          </w:p>
        </w:tc>
        <w:tc>
          <w:tcPr>
            <w:tcW w:w="905" w:type="pct"/>
            <w:vAlign w:val="center"/>
          </w:tcPr>
          <w:p>
            <w:pPr>
              <w:pStyle w:val="79"/>
              <w:jc w:val="center"/>
              <w:rPr>
                <w:rFonts w:ascii="仿宋_GB2312"/>
              </w:rPr>
            </w:pPr>
            <w:r>
              <w:rPr>
                <w:rFonts w:hint="eastAsia" w:ascii="仿宋_GB2312"/>
              </w:rPr>
              <w:t>1</w:t>
            </w:r>
          </w:p>
        </w:tc>
        <w:tc>
          <w:tcPr>
            <w:tcW w:w="905" w:type="pct"/>
            <w:vAlign w:val="center"/>
          </w:tcPr>
          <w:p>
            <w:pPr>
              <w:pStyle w:val="79"/>
              <w:jc w:val="center"/>
              <w:rPr>
                <w:rFonts w:ascii="仿宋_GB2312"/>
              </w:rPr>
            </w:pPr>
            <w:r>
              <w:rPr>
                <w:rFonts w:hint="eastAsia" w:ascii="仿宋_GB2312"/>
              </w:rPr>
              <w:t>个</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3M口罩</w:t>
            </w:r>
          </w:p>
        </w:tc>
        <w:tc>
          <w:tcPr>
            <w:tcW w:w="905" w:type="pct"/>
            <w:vAlign w:val="center"/>
          </w:tcPr>
          <w:p>
            <w:pPr>
              <w:pStyle w:val="79"/>
              <w:jc w:val="center"/>
              <w:rPr>
                <w:rFonts w:ascii="仿宋_GB2312" w:cs="仿宋_GB2312"/>
              </w:rPr>
            </w:pPr>
            <w:r>
              <w:rPr>
                <w:rFonts w:hint="eastAsia" w:ascii="仿宋_GB2312" w:cs="仿宋_GB2312"/>
                <w:sz w:val="28"/>
              </w:rPr>
              <w:t>1</w:t>
            </w:r>
          </w:p>
        </w:tc>
        <w:tc>
          <w:tcPr>
            <w:tcW w:w="905" w:type="pct"/>
            <w:vAlign w:val="center"/>
          </w:tcPr>
          <w:p>
            <w:pPr>
              <w:pStyle w:val="79"/>
              <w:jc w:val="center"/>
              <w:rPr>
                <w:rFonts w:ascii="仿宋_GB2312"/>
              </w:rPr>
            </w:pPr>
            <w:r>
              <w:rPr>
                <w:rFonts w:hint="eastAsia" w:ascii="仿宋_GB2312" w:cs="仿宋_GB2312"/>
                <w:sz w:val="28"/>
              </w:rPr>
              <w:t>盒</w:t>
            </w:r>
          </w:p>
        </w:tc>
        <w:tc>
          <w:tcPr>
            <w:tcW w:w="1398" w:type="pct"/>
            <w:vMerge w:val="continue"/>
            <w:vAlign w:val="center"/>
          </w:tcPr>
          <w:p>
            <w:pPr>
              <w:pStyle w:val="79"/>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92" w:type="pct"/>
            <w:vAlign w:val="center"/>
          </w:tcPr>
          <w:p>
            <w:pPr>
              <w:pStyle w:val="79"/>
              <w:jc w:val="center"/>
              <w:rPr>
                <w:rFonts w:ascii="仿宋_GB2312"/>
              </w:rPr>
            </w:pPr>
            <w:r>
              <w:rPr>
                <w:rFonts w:hint="eastAsia" w:ascii="仿宋_GB2312"/>
              </w:rPr>
              <w:t>一次性口罩</w:t>
            </w:r>
          </w:p>
        </w:tc>
        <w:tc>
          <w:tcPr>
            <w:tcW w:w="905" w:type="pct"/>
            <w:vAlign w:val="center"/>
          </w:tcPr>
          <w:p>
            <w:pPr>
              <w:pStyle w:val="79"/>
              <w:jc w:val="center"/>
              <w:rPr>
                <w:rFonts w:ascii="仿宋_GB2312" w:cs="仿宋_GB2312"/>
              </w:rPr>
            </w:pPr>
            <w:r>
              <w:rPr>
                <w:rFonts w:hint="eastAsia" w:ascii="仿宋_GB2312" w:cs="仿宋_GB2312"/>
                <w:sz w:val="28"/>
              </w:rPr>
              <w:t>5</w:t>
            </w:r>
          </w:p>
        </w:tc>
        <w:tc>
          <w:tcPr>
            <w:tcW w:w="905" w:type="pct"/>
            <w:vAlign w:val="center"/>
          </w:tcPr>
          <w:p>
            <w:pPr>
              <w:pStyle w:val="79"/>
              <w:jc w:val="center"/>
              <w:rPr>
                <w:rFonts w:ascii="仿宋_GB2312"/>
              </w:rPr>
            </w:pPr>
            <w:r>
              <w:rPr>
                <w:rFonts w:hint="eastAsia" w:ascii="仿宋_GB2312" w:cs="仿宋_GB2312"/>
                <w:sz w:val="28"/>
              </w:rPr>
              <w:t>盒</w:t>
            </w:r>
          </w:p>
        </w:tc>
        <w:tc>
          <w:tcPr>
            <w:tcW w:w="1398" w:type="pct"/>
            <w:vMerge w:val="continue"/>
            <w:vAlign w:val="center"/>
          </w:tcPr>
          <w:p>
            <w:pPr>
              <w:pStyle w:val="79"/>
              <w:jc w:val="center"/>
              <w:rPr>
                <w:rFonts w:ascii="仿宋_GB2312"/>
              </w:rPr>
            </w:pPr>
          </w:p>
        </w:tc>
      </w:tr>
    </w:tbl>
    <w:p>
      <w:pPr>
        <w:ind w:firstLine="0" w:firstLineChars="0"/>
        <w:rPr>
          <w:rFonts w:ascii="仿宋_GB2312"/>
          <w:color w:val="000000" w:themeColor="text1"/>
        </w:rPr>
      </w:pPr>
    </w:p>
    <w:p>
      <w:pPr>
        <w:pStyle w:val="76"/>
        <w:jc w:val="both"/>
        <w:rPr>
          <w:rFonts w:ascii="仿宋_GB2312"/>
          <w:color w:val="000000" w:themeColor="text1"/>
        </w:rPr>
      </w:pPr>
      <w:bookmarkStart w:id="179" w:name="_1.2_编制依据"/>
      <w:bookmarkEnd w:id="179"/>
    </w:p>
    <w:sectPr>
      <w:type w:val="nextColumn"/>
      <w:pgSz w:w="11905" w:h="16838"/>
      <w:pgMar w:top="1418" w:right="1134" w:bottom="1134" w:left="1588" w:header="850" w:footer="850" w:gutter="0"/>
      <w:cols w:space="720" w:num="1"/>
      <w:docGrid w:linePitch="62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MingLiU">
    <w:altName w:val="Droid Sans Japanese"/>
    <w:panose1 w:val="02020509000000000000"/>
    <w:charset w:val="88"/>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Georgia">
    <w:altName w:val="FreeSerif"/>
    <w:panose1 w:val="02040502050405020303"/>
    <w:charset w:val="00"/>
    <w:family w:val="roman"/>
    <w:pitch w:val="default"/>
    <w:sig w:usb0="00000000" w:usb1="00000000" w:usb2="00000000" w:usb3="00000000" w:csb0="200000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crosoft JhengHei Light">
    <w:altName w:val="方正书宋_GBK"/>
    <w:panose1 w:val="020B0304030504040204"/>
    <w:charset w:val="88"/>
    <w:family w:val="swiss"/>
    <w:pitch w:val="default"/>
    <w:sig w:usb0="00000000" w:usb1="00000000" w:usb2="00000016" w:usb3="00000000" w:csb0="00100009"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天津市滨海新区人民政府新北街道办事处生产安全事故专项应急预案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D11B1"/>
    <w:multiLevelType w:val="multilevel"/>
    <w:tmpl w:val="07BD11B1"/>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D8E30D0"/>
    <w:multiLevelType w:val="multilevel"/>
    <w:tmpl w:val="0D8E30D0"/>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78C1C04"/>
    <w:multiLevelType w:val="multilevel"/>
    <w:tmpl w:val="178C1C04"/>
    <w:lvl w:ilvl="0" w:tentative="0">
      <w:start w:val="1"/>
      <w:numFmt w:val="decimal"/>
      <w:lvlText w:val="%1."/>
      <w:lvlJc w:val="left"/>
      <w:pPr>
        <w:ind w:left="980" w:hanging="420"/>
      </w:pPr>
      <w:rPr>
        <w:rFonts w:hint="eastAsia"/>
        <w:sz w:val="28"/>
        <w:szCs w:val="28"/>
      </w:rPr>
    </w:lvl>
    <w:lvl w:ilvl="1" w:tentative="0">
      <w:start w:val="1"/>
      <w:numFmt w:val="lowerLetter"/>
      <w:lvlText w:val="%2)"/>
      <w:lvlJc w:val="left"/>
      <w:pPr>
        <w:ind w:left="1400" w:hanging="420"/>
      </w:pPr>
    </w:lvl>
    <w:lvl w:ilvl="2" w:tentative="0">
      <w:start w:val="1"/>
      <w:numFmt w:val="decimal"/>
      <w:suff w:val="nothing"/>
      <w:lvlText w:val="%3."/>
      <w:lvlJc w:val="left"/>
      <w:pPr>
        <w:ind w:left="0" w:firstLine="567"/>
      </w:pPr>
      <w:rPr>
        <w:rFonts w:hint="eastAsia" w:ascii="仿宋_GB2312" w:hAnsi="Times New Roman" w:eastAsia="仿宋_GB2312" w:cs="Times New Roman"/>
        <w:sz w:val="28"/>
        <w:szCs w:val="28"/>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A1434C2"/>
    <w:multiLevelType w:val="multilevel"/>
    <w:tmpl w:val="1A1434C2"/>
    <w:lvl w:ilvl="0" w:tentative="0">
      <w:start w:val="1"/>
      <w:numFmt w:val="decimal"/>
      <w:suff w:val="nothing"/>
      <w:lvlText w:val="%1."/>
      <w:lvlJc w:val="left"/>
      <w:pPr>
        <w:ind w:left="0" w:firstLine="567"/>
      </w:pPr>
      <w:rPr>
        <w:rFonts w:hint="eastAsia" w:ascii="仿宋_GB2312" w:eastAsia="仿宋_GB231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A1F48EC"/>
    <w:multiLevelType w:val="multilevel"/>
    <w:tmpl w:val="1A1F48EC"/>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A9D1C2B"/>
    <w:multiLevelType w:val="multilevel"/>
    <w:tmpl w:val="1A9D1C2B"/>
    <w:lvl w:ilvl="0" w:tentative="0">
      <w:start w:val="1"/>
      <w:numFmt w:val="decimal"/>
      <w:suff w:val="nothing"/>
      <w:lvlText w:val="%1"/>
      <w:lvlJc w:val="left"/>
      <w:pPr>
        <w:ind w:left="4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0475D8"/>
    <w:multiLevelType w:val="multilevel"/>
    <w:tmpl w:val="200475D8"/>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44231E4"/>
    <w:multiLevelType w:val="multilevel"/>
    <w:tmpl w:val="244231E4"/>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decimal"/>
      <w:suff w:val="nothing"/>
      <w:lvlText w:val="%3."/>
      <w:lvlJc w:val="left"/>
      <w:pPr>
        <w:ind w:left="0" w:firstLine="567"/>
      </w:pPr>
      <w:rPr>
        <w:rFonts w:hint="eastAsia" w:ascii="仿宋_GB2312" w:hAnsi="Times New Roman" w:eastAsia="仿宋_GB2312" w:cs="Times New Roman"/>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69F6CF8"/>
    <w:multiLevelType w:val="multilevel"/>
    <w:tmpl w:val="269F6CF8"/>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29D46887"/>
    <w:multiLevelType w:val="multilevel"/>
    <w:tmpl w:val="29D46887"/>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2B325FFF"/>
    <w:multiLevelType w:val="multilevel"/>
    <w:tmpl w:val="2B325FFF"/>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BE405C7"/>
    <w:multiLevelType w:val="multilevel"/>
    <w:tmpl w:val="2BE405C7"/>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724517"/>
    <w:multiLevelType w:val="multilevel"/>
    <w:tmpl w:val="37724517"/>
    <w:lvl w:ilvl="0" w:tentative="0">
      <w:start w:val="1"/>
      <w:numFmt w:val="decimal"/>
      <w:suff w:val="nothing"/>
      <w:lvlText w:val="%1"/>
      <w:lvlJc w:val="left"/>
      <w:pPr>
        <w:ind w:left="4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E690A43"/>
    <w:multiLevelType w:val="multilevel"/>
    <w:tmpl w:val="3E690A43"/>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decimal"/>
      <w:suff w:val="nothing"/>
      <w:lvlText w:val="%3."/>
      <w:lvlJc w:val="left"/>
      <w:pPr>
        <w:ind w:left="0" w:firstLine="567"/>
      </w:pPr>
      <w:rPr>
        <w:rFonts w:hint="eastAsia" w:ascii="仿宋_GB2312" w:eastAsia="仿宋_GB2312"/>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413F4C3A"/>
    <w:multiLevelType w:val="multilevel"/>
    <w:tmpl w:val="413F4C3A"/>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42CA7AAD"/>
    <w:multiLevelType w:val="multilevel"/>
    <w:tmpl w:val="42CA7AAD"/>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6FE4769"/>
    <w:multiLevelType w:val="multilevel"/>
    <w:tmpl w:val="46FE4769"/>
    <w:lvl w:ilvl="0" w:tentative="0">
      <w:start w:val="1"/>
      <w:numFmt w:val="decimal"/>
      <w:lvlText w:val="%1."/>
      <w:lvlJc w:val="left"/>
      <w:pPr>
        <w:ind w:left="980" w:hanging="420"/>
      </w:pPr>
      <w:rPr>
        <w:rFonts w:hint="eastAsia"/>
        <w:sz w:val="28"/>
        <w:szCs w:val="28"/>
      </w:rPr>
    </w:lvl>
    <w:lvl w:ilvl="1" w:tentative="0">
      <w:start w:val="1"/>
      <w:numFmt w:val="lowerLetter"/>
      <w:lvlText w:val="%2)"/>
      <w:lvlJc w:val="left"/>
      <w:pPr>
        <w:ind w:left="1400" w:hanging="420"/>
      </w:pPr>
    </w:lvl>
    <w:lvl w:ilvl="2" w:tentative="0">
      <w:start w:val="1"/>
      <w:numFmt w:val="decimal"/>
      <w:suff w:val="nothing"/>
      <w:lvlText w:val="%3."/>
      <w:lvlJc w:val="left"/>
      <w:pPr>
        <w:ind w:left="0" w:firstLine="567"/>
      </w:pPr>
      <w:rPr>
        <w:rFonts w:hint="eastAsia" w:ascii="仿宋_GB2312" w:hAnsi="Times New Roman" w:eastAsia="仿宋_GB2312" w:cs="Times New Roman"/>
        <w:sz w:val="28"/>
        <w:szCs w:val="28"/>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475D741A"/>
    <w:multiLevelType w:val="multilevel"/>
    <w:tmpl w:val="475D741A"/>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8855B8"/>
    <w:multiLevelType w:val="multilevel"/>
    <w:tmpl w:val="538855B8"/>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52E04C6"/>
    <w:multiLevelType w:val="multilevel"/>
    <w:tmpl w:val="552E04C6"/>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EE70ABE"/>
    <w:multiLevelType w:val="multilevel"/>
    <w:tmpl w:val="5EE70ABE"/>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61640C1B"/>
    <w:multiLevelType w:val="multilevel"/>
    <w:tmpl w:val="61640C1B"/>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decimal"/>
      <w:suff w:val="nothing"/>
      <w:lvlText w:val="%3."/>
      <w:lvlJc w:val="left"/>
      <w:pPr>
        <w:ind w:left="0" w:firstLine="567"/>
      </w:pPr>
      <w:rPr>
        <w:rFonts w:hint="eastAsia" w:ascii="仿宋_GB2312" w:hAnsi="Times New Roman" w:eastAsia="仿宋_GB2312" w:cs="Times New Roman"/>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61FC5545"/>
    <w:multiLevelType w:val="multilevel"/>
    <w:tmpl w:val="61FC5545"/>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62A5313C"/>
    <w:multiLevelType w:val="multilevel"/>
    <w:tmpl w:val="62A5313C"/>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8F266E1"/>
    <w:multiLevelType w:val="multilevel"/>
    <w:tmpl w:val="68F266E1"/>
    <w:lvl w:ilvl="0" w:tentative="0">
      <w:start w:val="1"/>
      <w:numFmt w:val="decimal"/>
      <w:suff w:val="nothing"/>
      <w:lvlText w:val="%1."/>
      <w:lvlJc w:val="left"/>
      <w:pPr>
        <w:ind w:left="0" w:firstLine="567"/>
      </w:pPr>
      <w:rPr>
        <w:rFonts w:hint="eastAsia" w:ascii="仿宋_GB2312"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E050EA2"/>
    <w:multiLevelType w:val="multilevel"/>
    <w:tmpl w:val="6E050EA2"/>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2D771C4"/>
    <w:multiLevelType w:val="multilevel"/>
    <w:tmpl w:val="72D771C4"/>
    <w:lvl w:ilvl="0" w:tentative="0">
      <w:start w:val="1"/>
      <w:numFmt w:val="decimal"/>
      <w:lvlText w:val="%1."/>
      <w:lvlJc w:val="left"/>
      <w:pPr>
        <w:ind w:left="980" w:hanging="420"/>
      </w:pPr>
      <w:rPr>
        <w:rFonts w:hint="eastAsia"/>
        <w:sz w:val="28"/>
        <w:szCs w:val="28"/>
      </w:rPr>
    </w:lvl>
    <w:lvl w:ilvl="1" w:tentative="0">
      <w:start w:val="1"/>
      <w:numFmt w:val="lowerLetter"/>
      <w:lvlText w:val="%2)"/>
      <w:lvlJc w:val="left"/>
      <w:pPr>
        <w:ind w:left="1400" w:hanging="420"/>
      </w:pPr>
    </w:lvl>
    <w:lvl w:ilvl="2" w:tentative="0">
      <w:start w:val="1"/>
      <w:numFmt w:val="decimal"/>
      <w:suff w:val="nothing"/>
      <w:lvlText w:val="%3."/>
      <w:lvlJc w:val="left"/>
      <w:pPr>
        <w:ind w:left="0" w:firstLine="567"/>
      </w:pPr>
      <w:rPr>
        <w:rFonts w:hint="eastAsia" w:ascii="仿宋_GB2312" w:hAnsi="Times New Roman" w:eastAsia="仿宋_GB2312" w:cs="Times New Roman"/>
        <w:sz w:val="28"/>
        <w:szCs w:val="28"/>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793532CF"/>
    <w:multiLevelType w:val="multilevel"/>
    <w:tmpl w:val="793532CF"/>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520E44"/>
    <w:multiLevelType w:val="multilevel"/>
    <w:tmpl w:val="79520E44"/>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rPr>
        <w:rFonts w:hint="eastAsia"/>
      </w:rPr>
    </w:lvl>
    <w:lvl w:ilvl="2" w:tentative="0">
      <w:start w:val="1"/>
      <w:numFmt w:val="decimal"/>
      <w:suff w:val="nothing"/>
      <w:lvlText w:val="%3."/>
      <w:lvlJc w:val="left"/>
      <w:pPr>
        <w:ind w:left="0" w:firstLine="567"/>
      </w:pPr>
      <w:rPr>
        <w:rFonts w:hint="eastAsia" w:ascii="仿宋_GB2312" w:eastAsia="仿宋_GB2312"/>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9">
    <w:nsid w:val="7CB3297D"/>
    <w:multiLevelType w:val="multilevel"/>
    <w:tmpl w:val="7CB3297D"/>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9E5693"/>
    <w:multiLevelType w:val="multilevel"/>
    <w:tmpl w:val="7E9E5693"/>
    <w:lvl w:ilvl="0" w:tentative="0">
      <w:start w:val="1"/>
      <w:numFmt w:val="decimal"/>
      <w:suff w:val="nothing"/>
      <w:lvlText w:val="%1."/>
      <w:lvlJc w:val="left"/>
      <w:pPr>
        <w:ind w:left="0" w:firstLine="567"/>
      </w:pPr>
      <w:rPr>
        <w:rFonts w:hint="eastAsia" w:ascii="仿宋_GB2312" w:hAnsi="Times New Roman" w:eastAsia="仿宋_GB2312" w:cs="Times New Roman"/>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26"/>
  </w:num>
  <w:num w:numId="3">
    <w:abstractNumId w:val="25"/>
  </w:num>
  <w:num w:numId="4">
    <w:abstractNumId w:val="16"/>
  </w:num>
  <w:num w:numId="5">
    <w:abstractNumId w:val="27"/>
  </w:num>
  <w:num w:numId="6">
    <w:abstractNumId w:val="17"/>
  </w:num>
  <w:num w:numId="7">
    <w:abstractNumId w:val="30"/>
  </w:num>
  <w:num w:numId="8">
    <w:abstractNumId w:val="4"/>
  </w:num>
  <w:num w:numId="9">
    <w:abstractNumId w:val="29"/>
  </w:num>
  <w:num w:numId="10">
    <w:abstractNumId w:val="19"/>
  </w:num>
  <w:num w:numId="11">
    <w:abstractNumId w:val="10"/>
  </w:num>
  <w:num w:numId="12">
    <w:abstractNumId w:val="20"/>
  </w:num>
  <w:num w:numId="13">
    <w:abstractNumId w:val="8"/>
  </w:num>
  <w:num w:numId="14">
    <w:abstractNumId w:val="21"/>
  </w:num>
  <w:num w:numId="15">
    <w:abstractNumId w:val="23"/>
  </w:num>
  <w:num w:numId="16">
    <w:abstractNumId w:val="24"/>
  </w:num>
  <w:num w:numId="17">
    <w:abstractNumId w:val="1"/>
  </w:num>
  <w:num w:numId="18">
    <w:abstractNumId w:val="14"/>
  </w:num>
  <w:num w:numId="19">
    <w:abstractNumId w:val="6"/>
  </w:num>
  <w:num w:numId="20">
    <w:abstractNumId w:val="13"/>
  </w:num>
  <w:num w:numId="21">
    <w:abstractNumId w:val="18"/>
  </w:num>
  <w:num w:numId="22">
    <w:abstractNumId w:val="15"/>
  </w:num>
  <w:num w:numId="23">
    <w:abstractNumId w:val="9"/>
  </w:num>
  <w:num w:numId="24">
    <w:abstractNumId w:val="22"/>
  </w:num>
  <w:num w:numId="25">
    <w:abstractNumId w:val="0"/>
  </w:num>
  <w:num w:numId="26">
    <w:abstractNumId w:val="7"/>
  </w:num>
  <w:num w:numId="27">
    <w:abstractNumId w:val="11"/>
  </w:num>
  <w:num w:numId="28">
    <w:abstractNumId w:val="28"/>
  </w:num>
  <w:num w:numId="29">
    <w:abstractNumId w:val="3"/>
  </w:num>
  <w:num w:numId="30">
    <w:abstractNumId w:val="5"/>
  </w:num>
  <w:num w:numId="3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revisionView w:markup="0"/>
  <w:trackRevisions w:val="1"/>
  <w:documentProtection w:enforcement="0"/>
  <w:defaultTabStop w:val="420"/>
  <w:drawingGridHorizontalSpacing w:val="140"/>
  <w:drawingGridVerticalSpacing w:val="314"/>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68"/>
    <w:rsid w:val="00001E80"/>
    <w:rsid w:val="000021F6"/>
    <w:rsid w:val="00010629"/>
    <w:rsid w:val="00013E9C"/>
    <w:rsid w:val="000220FC"/>
    <w:rsid w:val="00022209"/>
    <w:rsid w:val="000235B4"/>
    <w:rsid w:val="00026773"/>
    <w:rsid w:val="00026B7B"/>
    <w:rsid w:val="000308DA"/>
    <w:rsid w:val="00030920"/>
    <w:rsid w:val="00030A72"/>
    <w:rsid w:val="00031A3F"/>
    <w:rsid w:val="00032AEB"/>
    <w:rsid w:val="0003461F"/>
    <w:rsid w:val="00034766"/>
    <w:rsid w:val="000407F2"/>
    <w:rsid w:val="00042B52"/>
    <w:rsid w:val="000433CF"/>
    <w:rsid w:val="00043B55"/>
    <w:rsid w:val="00050852"/>
    <w:rsid w:val="0005213B"/>
    <w:rsid w:val="00052D26"/>
    <w:rsid w:val="0005553B"/>
    <w:rsid w:val="00055722"/>
    <w:rsid w:val="00057FAA"/>
    <w:rsid w:val="000603EF"/>
    <w:rsid w:val="00061C7D"/>
    <w:rsid w:val="00062034"/>
    <w:rsid w:val="00064D33"/>
    <w:rsid w:val="00064E30"/>
    <w:rsid w:val="0006669B"/>
    <w:rsid w:val="0007499D"/>
    <w:rsid w:val="00074B5B"/>
    <w:rsid w:val="00075DA7"/>
    <w:rsid w:val="0008129A"/>
    <w:rsid w:val="00083546"/>
    <w:rsid w:val="000846CB"/>
    <w:rsid w:val="0008540A"/>
    <w:rsid w:val="00086AB8"/>
    <w:rsid w:val="00086D2B"/>
    <w:rsid w:val="000870B2"/>
    <w:rsid w:val="00087FD4"/>
    <w:rsid w:val="000910AC"/>
    <w:rsid w:val="00092D6B"/>
    <w:rsid w:val="000941EF"/>
    <w:rsid w:val="00097002"/>
    <w:rsid w:val="000A073E"/>
    <w:rsid w:val="000A220F"/>
    <w:rsid w:val="000A2226"/>
    <w:rsid w:val="000A2253"/>
    <w:rsid w:val="000A3A25"/>
    <w:rsid w:val="000A3D45"/>
    <w:rsid w:val="000A7F98"/>
    <w:rsid w:val="000B1F91"/>
    <w:rsid w:val="000C3294"/>
    <w:rsid w:val="000C4936"/>
    <w:rsid w:val="000C5811"/>
    <w:rsid w:val="000C596B"/>
    <w:rsid w:val="000C6515"/>
    <w:rsid w:val="000C7198"/>
    <w:rsid w:val="000D10FE"/>
    <w:rsid w:val="000D4097"/>
    <w:rsid w:val="000D761D"/>
    <w:rsid w:val="000D7FE4"/>
    <w:rsid w:val="000E13E1"/>
    <w:rsid w:val="000E23BD"/>
    <w:rsid w:val="000E3442"/>
    <w:rsid w:val="000E3452"/>
    <w:rsid w:val="000E3789"/>
    <w:rsid w:val="000E6522"/>
    <w:rsid w:val="000E732F"/>
    <w:rsid w:val="000E7F07"/>
    <w:rsid w:val="000F2175"/>
    <w:rsid w:val="000F2608"/>
    <w:rsid w:val="000F4A6D"/>
    <w:rsid w:val="000F4DFF"/>
    <w:rsid w:val="000F5E17"/>
    <w:rsid w:val="000F671D"/>
    <w:rsid w:val="000F772A"/>
    <w:rsid w:val="001014C1"/>
    <w:rsid w:val="001037D0"/>
    <w:rsid w:val="00105DF4"/>
    <w:rsid w:val="00111EAE"/>
    <w:rsid w:val="00114CF8"/>
    <w:rsid w:val="00115585"/>
    <w:rsid w:val="00116754"/>
    <w:rsid w:val="0011756D"/>
    <w:rsid w:val="00120F9F"/>
    <w:rsid w:val="00122B36"/>
    <w:rsid w:val="001232AF"/>
    <w:rsid w:val="00123BE7"/>
    <w:rsid w:val="001251EC"/>
    <w:rsid w:val="00125EDF"/>
    <w:rsid w:val="001309CE"/>
    <w:rsid w:val="00131A90"/>
    <w:rsid w:val="00133A88"/>
    <w:rsid w:val="001366E3"/>
    <w:rsid w:val="00141633"/>
    <w:rsid w:val="0014185E"/>
    <w:rsid w:val="0014361C"/>
    <w:rsid w:val="00143781"/>
    <w:rsid w:val="00143F0E"/>
    <w:rsid w:val="0014400A"/>
    <w:rsid w:val="00145ECA"/>
    <w:rsid w:val="001505A2"/>
    <w:rsid w:val="001518C3"/>
    <w:rsid w:val="001520ED"/>
    <w:rsid w:val="00152C73"/>
    <w:rsid w:val="00153A03"/>
    <w:rsid w:val="00154673"/>
    <w:rsid w:val="001557C9"/>
    <w:rsid w:val="00156D16"/>
    <w:rsid w:val="00156FCA"/>
    <w:rsid w:val="00160F75"/>
    <w:rsid w:val="00163021"/>
    <w:rsid w:val="0016779E"/>
    <w:rsid w:val="00172A27"/>
    <w:rsid w:val="00172CE2"/>
    <w:rsid w:val="00174061"/>
    <w:rsid w:val="00176AC2"/>
    <w:rsid w:val="0017780A"/>
    <w:rsid w:val="00177B0C"/>
    <w:rsid w:val="00180653"/>
    <w:rsid w:val="00181F9F"/>
    <w:rsid w:val="001823D1"/>
    <w:rsid w:val="001844B5"/>
    <w:rsid w:val="001844E1"/>
    <w:rsid w:val="00184D74"/>
    <w:rsid w:val="00186221"/>
    <w:rsid w:val="00187566"/>
    <w:rsid w:val="00190463"/>
    <w:rsid w:val="00192B85"/>
    <w:rsid w:val="00193F67"/>
    <w:rsid w:val="00195F61"/>
    <w:rsid w:val="001960B4"/>
    <w:rsid w:val="001965F9"/>
    <w:rsid w:val="00196BDB"/>
    <w:rsid w:val="001A0C42"/>
    <w:rsid w:val="001A16A6"/>
    <w:rsid w:val="001A2219"/>
    <w:rsid w:val="001A5303"/>
    <w:rsid w:val="001A5437"/>
    <w:rsid w:val="001A6D13"/>
    <w:rsid w:val="001B16EE"/>
    <w:rsid w:val="001B1D89"/>
    <w:rsid w:val="001B30EA"/>
    <w:rsid w:val="001B32D3"/>
    <w:rsid w:val="001B4ABE"/>
    <w:rsid w:val="001B53C4"/>
    <w:rsid w:val="001B581A"/>
    <w:rsid w:val="001B6A75"/>
    <w:rsid w:val="001C0CD1"/>
    <w:rsid w:val="001C2A1E"/>
    <w:rsid w:val="001C307C"/>
    <w:rsid w:val="001C4AD9"/>
    <w:rsid w:val="001D05B2"/>
    <w:rsid w:val="001D0983"/>
    <w:rsid w:val="001D132A"/>
    <w:rsid w:val="001D1DC5"/>
    <w:rsid w:val="001D3D9E"/>
    <w:rsid w:val="001D4B45"/>
    <w:rsid w:val="001D7622"/>
    <w:rsid w:val="001D76D0"/>
    <w:rsid w:val="001E0469"/>
    <w:rsid w:val="001E236D"/>
    <w:rsid w:val="001E315C"/>
    <w:rsid w:val="001E3BAD"/>
    <w:rsid w:val="001E71B6"/>
    <w:rsid w:val="001E77DB"/>
    <w:rsid w:val="001E78E1"/>
    <w:rsid w:val="001E7935"/>
    <w:rsid w:val="001E7F7C"/>
    <w:rsid w:val="001F0D80"/>
    <w:rsid w:val="001F3607"/>
    <w:rsid w:val="001F388D"/>
    <w:rsid w:val="001F4E9E"/>
    <w:rsid w:val="001F53A4"/>
    <w:rsid w:val="001F5F2B"/>
    <w:rsid w:val="001F7560"/>
    <w:rsid w:val="0020023C"/>
    <w:rsid w:val="00200A30"/>
    <w:rsid w:val="002010BA"/>
    <w:rsid w:val="00201E65"/>
    <w:rsid w:val="0020386D"/>
    <w:rsid w:val="00204148"/>
    <w:rsid w:val="00204853"/>
    <w:rsid w:val="0021165F"/>
    <w:rsid w:val="00213064"/>
    <w:rsid w:val="0021361A"/>
    <w:rsid w:val="002139AF"/>
    <w:rsid w:val="00215092"/>
    <w:rsid w:val="00217E10"/>
    <w:rsid w:val="002236B0"/>
    <w:rsid w:val="00224480"/>
    <w:rsid w:val="00226BDB"/>
    <w:rsid w:val="00231532"/>
    <w:rsid w:val="00232979"/>
    <w:rsid w:val="00232DCE"/>
    <w:rsid w:val="002368F7"/>
    <w:rsid w:val="00240350"/>
    <w:rsid w:val="00243D21"/>
    <w:rsid w:val="002464FB"/>
    <w:rsid w:val="00247DE0"/>
    <w:rsid w:val="00247FEE"/>
    <w:rsid w:val="002517C9"/>
    <w:rsid w:val="002568A2"/>
    <w:rsid w:val="00264D55"/>
    <w:rsid w:val="00265053"/>
    <w:rsid w:val="00266BA1"/>
    <w:rsid w:val="0027162E"/>
    <w:rsid w:val="00271E1F"/>
    <w:rsid w:val="0027484B"/>
    <w:rsid w:val="00276D67"/>
    <w:rsid w:val="002774EC"/>
    <w:rsid w:val="00277710"/>
    <w:rsid w:val="00277AA5"/>
    <w:rsid w:val="00277F10"/>
    <w:rsid w:val="002805DE"/>
    <w:rsid w:val="0028318E"/>
    <w:rsid w:val="002850B6"/>
    <w:rsid w:val="00286949"/>
    <w:rsid w:val="0029010F"/>
    <w:rsid w:val="0029222D"/>
    <w:rsid w:val="00292467"/>
    <w:rsid w:val="0029274D"/>
    <w:rsid w:val="002932B1"/>
    <w:rsid w:val="00293596"/>
    <w:rsid w:val="00294CFD"/>
    <w:rsid w:val="00294D6F"/>
    <w:rsid w:val="0029550D"/>
    <w:rsid w:val="002978B1"/>
    <w:rsid w:val="00297C11"/>
    <w:rsid w:val="002A3A97"/>
    <w:rsid w:val="002A4904"/>
    <w:rsid w:val="002A5BF8"/>
    <w:rsid w:val="002A5F0D"/>
    <w:rsid w:val="002A63A8"/>
    <w:rsid w:val="002B2D7F"/>
    <w:rsid w:val="002B3967"/>
    <w:rsid w:val="002B43AD"/>
    <w:rsid w:val="002B52B2"/>
    <w:rsid w:val="002B7495"/>
    <w:rsid w:val="002C064B"/>
    <w:rsid w:val="002C1829"/>
    <w:rsid w:val="002C4D39"/>
    <w:rsid w:val="002C694C"/>
    <w:rsid w:val="002D5B8E"/>
    <w:rsid w:val="002D66E4"/>
    <w:rsid w:val="002D6A6A"/>
    <w:rsid w:val="002D7759"/>
    <w:rsid w:val="002D79C1"/>
    <w:rsid w:val="002E0188"/>
    <w:rsid w:val="002E1A12"/>
    <w:rsid w:val="002E1F2B"/>
    <w:rsid w:val="002E5119"/>
    <w:rsid w:val="002E5E1A"/>
    <w:rsid w:val="002E6BA3"/>
    <w:rsid w:val="002F08A6"/>
    <w:rsid w:val="002F0EBD"/>
    <w:rsid w:val="002F452D"/>
    <w:rsid w:val="002F5043"/>
    <w:rsid w:val="002F5382"/>
    <w:rsid w:val="00300FF1"/>
    <w:rsid w:val="00301DFB"/>
    <w:rsid w:val="00302562"/>
    <w:rsid w:val="0030294B"/>
    <w:rsid w:val="003031CA"/>
    <w:rsid w:val="0030360C"/>
    <w:rsid w:val="00303E5E"/>
    <w:rsid w:val="00305FFC"/>
    <w:rsid w:val="00306443"/>
    <w:rsid w:val="0030716D"/>
    <w:rsid w:val="00311C7F"/>
    <w:rsid w:val="00316010"/>
    <w:rsid w:val="00316880"/>
    <w:rsid w:val="003168AB"/>
    <w:rsid w:val="003238AD"/>
    <w:rsid w:val="00324219"/>
    <w:rsid w:val="003308CD"/>
    <w:rsid w:val="00331E4C"/>
    <w:rsid w:val="003344C4"/>
    <w:rsid w:val="0033597F"/>
    <w:rsid w:val="00336FB2"/>
    <w:rsid w:val="0034048E"/>
    <w:rsid w:val="0034092A"/>
    <w:rsid w:val="003410BF"/>
    <w:rsid w:val="0034678F"/>
    <w:rsid w:val="00346B8A"/>
    <w:rsid w:val="003475BF"/>
    <w:rsid w:val="00356A75"/>
    <w:rsid w:val="00357EBD"/>
    <w:rsid w:val="003600BB"/>
    <w:rsid w:val="00361074"/>
    <w:rsid w:val="00361865"/>
    <w:rsid w:val="00362511"/>
    <w:rsid w:val="003635F4"/>
    <w:rsid w:val="00363785"/>
    <w:rsid w:val="0036461E"/>
    <w:rsid w:val="0036478B"/>
    <w:rsid w:val="00364FB1"/>
    <w:rsid w:val="003658FB"/>
    <w:rsid w:val="003659B0"/>
    <w:rsid w:val="00365ABD"/>
    <w:rsid w:val="00367FB3"/>
    <w:rsid w:val="00377EDC"/>
    <w:rsid w:val="00377FBC"/>
    <w:rsid w:val="00380C0B"/>
    <w:rsid w:val="00381577"/>
    <w:rsid w:val="0039003C"/>
    <w:rsid w:val="003906A0"/>
    <w:rsid w:val="00390CB4"/>
    <w:rsid w:val="00392F43"/>
    <w:rsid w:val="0039770C"/>
    <w:rsid w:val="003A0477"/>
    <w:rsid w:val="003A157B"/>
    <w:rsid w:val="003A2BC5"/>
    <w:rsid w:val="003A384A"/>
    <w:rsid w:val="003A4AC3"/>
    <w:rsid w:val="003A5801"/>
    <w:rsid w:val="003A633F"/>
    <w:rsid w:val="003A672D"/>
    <w:rsid w:val="003A782C"/>
    <w:rsid w:val="003B0A2C"/>
    <w:rsid w:val="003B246E"/>
    <w:rsid w:val="003B2B85"/>
    <w:rsid w:val="003B3D5A"/>
    <w:rsid w:val="003B4EFF"/>
    <w:rsid w:val="003B4FFF"/>
    <w:rsid w:val="003B5F6F"/>
    <w:rsid w:val="003B6BBC"/>
    <w:rsid w:val="003C0358"/>
    <w:rsid w:val="003C1D1F"/>
    <w:rsid w:val="003C2A5D"/>
    <w:rsid w:val="003C4809"/>
    <w:rsid w:val="003D2867"/>
    <w:rsid w:val="003D310C"/>
    <w:rsid w:val="003D7365"/>
    <w:rsid w:val="003D7D1B"/>
    <w:rsid w:val="003D7D1F"/>
    <w:rsid w:val="003E61D8"/>
    <w:rsid w:val="003E65A4"/>
    <w:rsid w:val="003E6DA1"/>
    <w:rsid w:val="003E7211"/>
    <w:rsid w:val="003E7417"/>
    <w:rsid w:val="003F0341"/>
    <w:rsid w:val="003F1B5C"/>
    <w:rsid w:val="003F1C92"/>
    <w:rsid w:val="003F1DD9"/>
    <w:rsid w:val="003F24BB"/>
    <w:rsid w:val="003F4BDA"/>
    <w:rsid w:val="003F567A"/>
    <w:rsid w:val="003F5E41"/>
    <w:rsid w:val="003F7F5A"/>
    <w:rsid w:val="00400D1C"/>
    <w:rsid w:val="004012F4"/>
    <w:rsid w:val="00402A93"/>
    <w:rsid w:val="00402C6C"/>
    <w:rsid w:val="0040372C"/>
    <w:rsid w:val="004074CB"/>
    <w:rsid w:val="0041248A"/>
    <w:rsid w:val="00413B34"/>
    <w:rsid w:val="004162BC"/>
    <w:rsid w:val="004165F3"/>
    <w:rsid w:val="00420F78"/>
    <w:rsid w:val="004218AB"/>
    <w:rsid w:val="00421D6D"/>
    <w:rsid w:val="00422E50"/>
    <w:rsid w:val="00423D2C"/>
    <w:rsid w:val="00423D94"/>
    <w:rsid w:val="004249B5"/>
    <w:rsid w:val="00424E87"/>
    <w:rsid w:val="004251D4"/>
    <w:rsid w:val="004303D5"/>
    <w:rsid w:val="0043195A"/>
    <w:rsid w:val="004325B0"/>
    <w:rsid w:val="00436949"/>
    <w:rsid w:val="00437165"/>
    <w:rsid w:val="00437956"/>
    <w:rsid w:val="00440925"/>
    <w:rsid w:val="0044136E"/>
    <w:rsid w:val="00441804"/>
    <w:rsid w:val="0044301C"/>
    <w:rsid w:val="004471D5"/>
    <w:rsid w:val="004474B6"/>
    <w:rsid w:val="004521F1"/>
    <w:rsid w:val="00455BA8"/>
    <w:rsid w:val="00456242"/>
    <w:rsid w:val="004567E6"/>
    <w:rsid w:val="00457DC7"/>
    <w:rsid w:val="00460D82"/>
    <w:rsid w:val="00462AE7"/>
    <w:rsid w:val="00464959"/>
    <w:rsid w:val="004652CD"/>
    <w:rsid w:val="0046545F"/>
    <w:rsid w:val="00466523"/>
    <w:rsid w:val="00474410"/>
    <w:rsid w:val="00475C02"/>
    <w:rsid w:val="0047719F"/>
    <w:rsid w:val="0047754E"/>
    <w:rsid w:val="00477C69"/>
    <w:rsid w:val="00481F03"/>
    <w:rsid w:val="00482CF0"/>
    <w:rsid w:val="0048301D"/>
    <w:rsid w:val="00483859"/>
    <w:rsid w:val="00486271"/>
    <w:rsid w:val="0048777A"/>
    <w:rsid w:val="004911CC"/>
    <w:rsid w:val="00492558"/>
    <w:rsid w:val="00493C70"/>
    <w:rsid w:val="00494369"/>
    <w:rsid w:val="00494D6A"/>
    <w:rsid w:val="00497A10"/>
    <w:rsid w:val="00497C53"/>
    <w:rsid w:val="004A074B"/>
    <w:rsid w:val="004A544E"/>
    <w:rsid w:val="004B078C"/>
    <w:rsid w:val="004B1092"/>
    <w:rsid w:val="004B572E"/>
    <w:rsid w:val="004B6C4D"/>
    <w:rsid w:val="004C1235"/>
    <w:rsid w:val="004C4290"/>
    <w:rsid w:val="004C488E"/>
    <w:rsid w:val="004C50D3"/>
    <w:rsid w:val="004C58C3"/>
    <w:rsid w:val="004C686C"/>
    <w:rsid w:val="004D153F"/>
    <w:rsid w:val="004D6331"/>
    <w:rsid w:val="004D7568"/>
    <w:rsid w:val="004D7569"/>
    <w:rsid w:val="004E0EC4"/>
    <w:rsid w:val="004E5BC6"/>
    <w:rsid w:val="004F156A"/>
    <w:rsid w:val="004F340C"/>
    <w:rsid w:val="004F36DF"/>
    <w:rsid w:val="004F40C1"/>
    <w:rsid w:val="004F63E3"/>
    <w:rsid w:val="004F656D"/>
    <w:rsid w:val="005006E2"/>
    <w:rsid w:val="00500FB6"/>
    <w:rsid w:val="005011C1"/>
    <w:rsid w:val="0050351E"/>
    <w:rsid w:val="00506114"/>
    <w:rsid w:val="00506E63"/>
    <w:rsid w:val="00507E85"/>
    <w:rsid w:val="00510425"/>
    <w:rsid w:val="00513675"/>
    <w:rsid w:val="005156A0"/>
    <w:rsid w:val="005167E4"/>
    <w:rsid w:val="00517A36"/>
    <w:rsid w:val="00517B17"/>
    <w:rsid w:val="0052143F"/>
    <w:rsid w:val="0052601E"/>
    <w:rsid w:val="0052614B"/>
    <w:rsid w:val="00531A52"/>
    <w:rsid w:val="00531C0F"/>
    <w:rsid w:val="005347AE"/>
    <w:rsid w:val="00536052"/>
    <w:rsid w:val="00540444"/>
    <w:rsid w:val="00541891"/>
    <w:rsid w:val="0054299F"/>
    <w:rsid w:val="00543452"/>
    <w:rsid w:val="00545878"/>
    <w:rsid w:val="00546739"/>
    <w:rsid w:val="00551DF6"/>
    <w:rsid w:val="005558BA"/>
    <w:rsid w:val="00556350"/>
    <w:rsid w:val="005577BA"/>
    <w:rsid w:val="00561282"/>
    <w:rsid w:val="00561590"/>
    <w:rsid w:val="005628E2"/>
    <w:rsid w:val="005645AC"/>
    <w:rsid w:val="00564A8E"/>
    <w:rsid w:val="00564ED6"/>
    <w:rsid w:val="005650B1"/>
    <w:rsid w:val="00565AD0"/>
    <w:rsid w:val="00570AEF"/>
    <w:rsid w:val="00572343"/>
    <w:rsid w:val="00572942"/>
    <w:rsid w:val="00572BED"/>
    <w:rsid w:val="00574294"/>
    <w:rsid w:val="005755AE"/>
    <w:rsid w:val="005762BD"/>
    <w:rsid w:val="00582574"/>
    <w:rsid w:val="00583771"/>
    <w:rsid w:val="005847A4"/>
    <w:rsid w:val="005854D1"/>
    <w:rsid w:val="00586604"/>
    <w:rsid w:val="00590024"/>
    <w:rsid w:val="00590AF9"/>
    <w:rsid w:val="005910E2"/>
    <w:rsid w:val="00591C71"/>
    <w:rsid w:val="00592910"/>
    <w:rsid w:val="00593B61"/>
    <w:rsid w:val="00594682"/>
    <w:rsid w:val="00596780"/>
    <w:rsid w:val="005A0C30"/>
    <w:rsid w:val="005A135D"/>
    <w:rsid w:val="005A1D08"/>
    <w:rsid w:val="005A5BBF"/>
    <w:rsid w:val="005A6471"/>
    <w:rsid w:val="005A72A1"/>
    <w:rsid w:val="005B04B3"/>
    <w:rsid w:val="005B1619"/>
    <w:rsid w:val="005B1793"/>
    <w:rsid w:val="005B1E21"/>
    <w:rsid w:val="005B22A0"/>
    <w:rsid w:val="005B2366"/>
    <w:rsid w:val="005B43D8"/>
    <w:rsid w:val="005B5D7C"/>
    <w:rsid w:val="005B5EAE"/>
    <w:rsid w:val="005C29D1"/>
    <w:rsid w:val="005D14EC"/>
    <w:rsid w:val="005D1978"/>
    <w:rsid w:val="005D2776"/>
    <w:rsid w:val="005D3865"/>
    <w:rsid w:val="005D6625"/>
    <w:rsid w:val="005D692E"/>
    <w:rsid w:val="005D7CEC"/>
    <w:rsid w:val="005E173A"/>
    <w:rsid w:val="005E26EF"/>
    <w:rsid w:val="005E2D87"/>
    <w:rsid w:val="005E63E3"/>
    <w:rsid w:val="005E66B9"/>
    <w:rsid w:val="005E698F"/>
    <w:rsid w:val="005E6CF9"/>
    <w:rsid w:val="005F0852"/>
    <w:rsid w:val="005F38DE"/>
    <w:rsid w:val="005F539B"/>
    <w:rsid w:val="005F7F51"/>
    <w:rsid w:val="00600BF8"/>
    <w:rsid w:val="00604C83"/>
    <w:rsid w:val="006069D8"/>
    <w:rsid w:val="00606EDD"/>
    <w:rsid w:val="00611B55"/>
    <w:rsid w:val="00614453"/>
    <w:rsid w:val="006155DB"/>
    <w:rsid w:val="006165D0"/>
    <w:rsid w:val="00616CB9"/>
    <w:rsid w:val="006177A2"/>
    <w:rsid w:val="00620611"/>
    <w:rsid w:val="00621297"/>
    <w:rsid w:val="00622004"/>
    <w:rsid w:val="006240DD"/>
    <w:rsid w:val="006240F6"/>
    <w:rsid w:val="0063229E"/>
    <w:rsid w:val="006335FD"/>
    <w:rsid w:val="00636593"/>
    <w:rsid w:val="00637E20"/>
    <w:rsid w:val="006434FA"/>
    <w:rsid w:val="006439ED"/>
    <w:rsid w:val="00646CD1"/>
    <w:rsid w:val="00650D77"/>
    <w:rsid w:val="006529EC"/>
    <w:rsid w:val="00655828"/>
    <w:rsid w:val="00656A59"/>
    <w:rsid w:val="006574AC"/>
    <w:rsid w:val="006606A4"/>
    <w:rsid w:val="00661986"/>
    <w:rsid w:val="006637CA"/>
    <w:rsid w:val="00665400"/>
    <w:rsid w:val="006658F3"/>
    <w:rsid w:val="00667CC5"/>
    <w:rsid w:val="006702E0"/>
    <w:rsid w:val="0067045E"/>
    <w:rsid w:val="00670A4F"/>
    <w:rsid w:val="006712A2"/>
    <w:rsid w:val="006737CF"/>
    <w:rsid w:val="00673AA0"/>
    <w:rsid w:val="00674B1C"/>
    <w:rsid w:val="00677E42"/>
    <w:rsid w:val="0068010A"/>
    <w:rsid w:val="00680A2B"/>
    <w:rsid w:val="00680F6A"/>
    <w:rsid w:val="00682B9E"/>
    <w:rsid w:val="00685A2A"/>
    <w:rsid w:val="00685ECA"/>
    <w:rsid w:val="0068694D"/>
    <w:rsid w:val="00687B1E"/>
    <w:rsid w:val="006A1B1F"/>
    <w:rsid w:val="006A34C1"/>
    <w:rsid w:val="006A4B3E"/>
    <w:rsid w:val="006A6F5B"/>
    <w:rsid w:val="006A7A5E"/>
    <w:rsid w:val="006A7B2C"/>
    <w:rsid w:val="006B11F7"/>
    <w:rsid w:val="006B1E02"/>
    <w:rsid w:val="006B2B1D"/>
    <w:rsid w:val="006B31A6"/>
    <w:rsid w:val="006B32D1"/>
    <w:rsid w:val="006B353D"/>
    <w:rsid w:val="006B4620"/>
    <w:rsid w:val="006B5388"/>
    <w:rsid w:val="006B6BFD"/>
    <w:rsid w:val="006B7763"/>
    <w:rsid w:val="006B79A8"/>
    <w:rsid w:val="006C254D"/>
    <w:rsid w:val="006C5BE5"/>
    <w:rsid w:val="006C5CC2"/>
    <w:rsid w:val="006C61C4"/>
    <w:rsid w:val="006C7910"/>
    <w:rsid w:val="006C7E83"/>
    <w:rsid w:val="006D464F"/>
    <w:rsid w:val="006D690E"/>
    <w:rsid w:val="006E0B90"/>
    <w:rsid w:val="006E2426"/>
    <w:rsid w:val="006E7209"/>
    <w:rsid w:val="006E7D9D"/>
    <w:rsid w:val="006F1645"/>
    <w:rsid w:val="006F2204"/>
    <w:rsid w:val="006F2C82"/>
    <w:rsid w:val="006F2DAA"/>
    <w:rsid w:val="006F4D9E"/>
    <w:rsid w:val="006F58E5"/>
    <w:rsid w:val="006F6F3A"/>
    <w:rsid w:val="006F7623"/>
    <w:rsid w:val="007012A8"/>
    <w:rsid w:val="00702248"/>
    <w:rsid w:val="00703DFD"/>
    <w:rsid w:val="007042B3"/>
    <w:rsid w:val="00713B8E"/>
    <w:rsid w:val="00714B37"/>
    <w:rsid w:val="00715138"/>
    <w:rsid w:val="00715D28"/>
    <w:rsid w:val="007160A3"/>
    <w:rsid w:val="00717B38"/>
    <w:rsid w:val="007203C4"/>
    <w:rsid w:val="0072153B"/>
    <w:rsid w:val="00721A3D"/>
    <w:rsid w:val="00721CCB"/>
    <w:rsid w:val="00722946"/>
    <w:rsid w:val="00731EED"/>
    <w:rsid w:val="00733738"/>
    <w:rsid w:val="00740CB9"/>
    <w:rsid w:val="00741F3D"/>
    <w:rsid w:val="007433A9"/>
    <w:rsid w:val="0075152C"/>
    <w:rsid w:val="00751BCF"/>
    <w:rsid w:val="00753271"/>
    <w:rsid w:val="0075459D"/>
    <w:rsid w:val="00756F96"/>
    <w:rsid w:val="007576C0"/>
    <w:rsid w:val="007604D7"/>
    <w:rsid w:val="007612D0"/>
    <w:rsid w:val="0076216F"/>
    <w:rsid w:val="0076364C"/>
    <w:rsid w:val="00763C7A"/>
    <w:rsid w:val="00767ADA"/>
    <w:rsid w:val="00771514"/>
    <w:rsid w:val="00774EE9"/>
    <w:rsid w:val="007750E9"/>
    <w:rsid w:val="0077549E"/>
    <w:rsid w:val="00776C91"/>
    <w:rsid w:val="007809B4"/>
    <w:rsid w:val="00781646"/>
    <w:rsid w:val="00781A06"/>
    <w:rsid w:val="007832E3"/>
    <w:rsid w:val="007834ED"/>
    <w:rsid w:val="00784423"/>
    <w:rsid w:val="00787830"/>
    <w:rsid w:val="00793510"/>
    <w:rsid w:val="00793F83"/>
    <w:rsid w:val="00794866"/>
    <w:rsid w:val="00794F54"/>
    <w:rsid w:val="007976E4"/>
    <w:rsid w:val="007A0EB5"/>
    <w:rsid w:val="007A232C"/>
    <w:rsid w:val="007A3447"/>
    <w:rsid w:val="007A39CE"/>
    <w:rsid w:val="007A3ED6"/>
    <w:rsid w:val="007A533F"/>
    <w:rsid w:val="007A5893"/>
    <w:rsid w:val="007A6046"/>
    <w:rsid w:val="007A7350"/>
    <w:rsid w:val="007B102D"/>
    <w:rsid w:val="007B12FB"/>
    <w:rsid w:val="007B4D63"/>
    <w:rsid w:val="007B6665"/>
    <w:rsid w:val="007B686B"/>
    <w:rsid w:val="007B6D0C"/>
    <w:rsid w:val="007C098A"/>
    <w:rsid w:val="007C3900"/>
    <w:rsid w:val="007C4CF3"/>
    <w:rsid w:val="007C576E"/>
    <w:rsid w:val="007D097E"/>
    <w:rsid w:val="007D3B85"/>
    <w:rsid w:val="007D6789"/>
    <w:rsid w:val="007D6ECE"/>
    <w:rsid w:val="007D71D5"/>
    <w:rsid w:val="007D7B89"/>
    <w:rsid w:val="007D7D4E"/>
    <w:rsid w:val="007E23AE"/>
    <w:rsid w:val="007E5E86"/>
    <w:rsid w:val="007E6D68"/>
    <w:rsid w:val="007F2494"/>
    <w:rsid w:val="007F3C1D"/>
    <w:rsid w:val="007F5212"/>
    <w:rsid w:val="007F601A"/>
    <w:rsid w:val="007F68BE"/>
    <w:rsid w:val="00800BD1"/>
    <w:rsid w:val="00801A94"/>
    <w:rsid w:val="00805F1B"/>
    <w:rsid w:val="00811913"/>
    <w:rsid w:val="00811E70"/>
    <w:rsid w:val="00812288"/>
    <w:rsid w:val="00814441"/>
    <w:rsid w:val="00814CA7"/>
    <w:rsid w:val="00815621"/>
    <w:rsid w:val="0081721B"/>
    <w:rsid w:val="00821E34"/>
    <w:rsid w:val="008221BA"/>
    <w:rsid w:val="00827D01"/>
    <w:rsid w:val="00830157"/>
    <w:rsid w:val="0083106B"/>
    <w:rsid w:val="00831DA4"/>
    <w:rsid w:val="00834124"/>
    <w:rsid w:val="008344F9"/>
    <w:rsid w:val="008377C6"/>
    <w:rsid w:val="00837932"/>
    <w:rsid w:val="00840E25"/>
    <w:rsid w:val="00841551"/>
    <w:rsid w:val="00841C67"/>
    <w:rsid w:val="00843DF3"/>
    <w:rsid w:val="008469B5"/>
    <w:rsid w:val="008505B6"/>
    <w:rsid w:val="00852F62"/>
    <w:rsid w:val="00853CF8"/>
    <w:rsid w:val="008541C2"/>
    <w:rsid w:val="008568D6"/>
    <w:rsid w:val="00857019"/>
    <w:rsid w:val="008570DF"/>
    <w:rsid w:val="008605FC"/>
    <w:rsid w:val="0086149B"/>
    <w:rsid w:val="00863814"/>
    <w:rsid w:val="0086420E"/>
    <w:rsid w:val="0086695D"/>
    <w:rsid w:val="00870CDA"/>
    <w:rsid w:val="00871C46"/>
    <w:rsid w:val="0087303B"/>
    <w:rsid w:val="00873A2F"/>
    <w:rsid w:val="00874293"/>
    <w:rsid w:val="00874830"/>
    <w:rsid w:val="00874A5B"/>
    <w:rsid w:val="00874E63"/>
    <w:rsid w:val="0087543A"/>
    <w:rsid w:val="00875446"/>
    <w:rsid w:val="00876430"/>
    <w:rsid w:val="00877071"/>
    <w:rsid w:val="0088156D"/>
    <w:rsid w:val="00882FA7"/>
    <w:rsid w:val="00883ADA"/>
    <w:rsid w:val="00885261"/>
    <w:rsid w:val="008901FC"/>
    <w:rsid w:val="00890E1A"/>
    <w:rsid w:val="008940A6"/>
    <w:rsid w:val="008959EF"/>
    <w:rsid w:val="00895D54"/>
    <w:rsid w:val="00896F4D"/>
    <w:rsid w:val="00897353"/>
    <w:rsid w:val="008A2E8D"/>
    <w:rsid w:val="008A4458"/>
    <w:rsid w:val="008A4968"/>
    <w:rsid w:val="008A4CC4"/>
    <w:rsid w:val="008A4EAA"/>
    <w:rsid w:val="008A7CA0"/>
    <w:rsid w:val="008A7D66"/>
    <w:rsid w:val="008B03FA"/>
    <w:rsid w:val="008B043F"/>
    <w:rsid w:val="008B33C0"/>
    <w:rsid w:val="008B341A"/>
    <w:rsid w:val="008B39D0"/>
    <w:rsid w:val="008B4922"/>
    <w:rsid w:val="008B4F23"/>
    <w:rsid w:val="008B58B4"/>
    <w:rsid w:val="008C0542"/>
    <w:rsid w:val="008C14AC"/>
    <w:rsid w:val="008C2D01"/>
    <w:rsid w:val="008C33EB"/>
    <w:rsid w:val="008C6C8B"/>
    <w:rsid w:val="008D33F9"/>
    <w:rsid w:val="008D365A"/>
    <w:rsid w:val="008D43CA"/>
    <w:rsid w:val="008D49A6"/>
    <w:rsid w:val="008D55E2"/>
    <w:rsid w:val="008D5C1B"/>
    <w:rsid w:val="008D7B00"/>
    <w:rsid w:val="008E095B"/>
    <w:rsid w:val="008E0CCE"/>
    <w:rsid w:val="008E1288"/>
    <w:rsid w:val="008E5359"/>
    <w:rsid w:val="008E5377"/>
    <w:rsid w:val="008E5901"/>
    <w:rsid w:val="008E6B6F"/>
    <w:rsid w:val="008F0E3A"/>
    <w:rsid w:val="008F2D82"/>
    <w:rsid w:val="008F3384"/>
    <w:rsid w:val="009007E6"/>
    <w:rsid w:val="00902090"/>
    <w:rsid w:val="009047E2"/>
    <w:rsid w:val="009055F6"/>
    <w:rsid w:val="00907260"/>
    <w:rsid w:val="009077BF"/>
    <w:rsid w:val="00907B0C"/>
    <w:rsid w:val="0091031E"/>
    <w:rsid w:val="009104D1"/>
    <w:rsid w:val="00910E47"/>
    <w:rsid w:val="0091315F"/>
    <w:rsid w:val="00914AAD"/>
    <w:rsid w:val="00914B08"/>
    <w:rsid w:val="00915DDC"/>
    <w:rsid w:val="00915EE2"/>
    <w:rsid w:val="009168F8"/>
    <w:rsid w:val="00916B9B"/>
    <w:rsid w:val="00916ECF"/>
    <w:rsid w:val="009170DB"/>
    <w:rsid w:val="00917E6D"/>
    <w:rsid w:val="009206B6"/>
    <w:rsid w:val="00920724"/>
    <w:rsid w:val="009218B0"/>
    <w:rsid w:val="00922794"/>
    <w:rsid w:val="00923066"/>
    <w:rsid w:val="00923D67"/>
    <w:rsid w:val="00925B4A"/>
    <w:rsid w:val="009267EC"/>
    <w:rsid w:val="00926AFD"/>
    <w:rsid w:val="00932D90"/>
    <w:rsid w:val="009335A3"/>
    <w:rsid w:val="00934AC7"/>
    <w:rsid w:val="009355A8"/>
    <w:rsid w:val="00936E2E"/>
    <w:rsid w:val="00936EF1"/>
    <w:rsid w:val="009378B9"/>
    <w:rsid w:val="009378D7"/>
    <w:rsid w:val="009379AF"/>
    <w:rsid w:val="009409B1"/>
    <w:rsid w:val="00940B3A"/>
    <w:rsid w:val="00940D72"/>
    <w:rsid w:val="00940FB6"/>
    <w:rsid w:val="00943E2B"/>
    <w:rsid w:val="00945E1F"/>
    <w:rsid w:val="0094734A"/>
    <w:rsid w:val="00947D83"/>
    <w:rsid w:val="00952212"/>
    <w:rsid w:val="00953A5B"/>
    <w:rsid w:val="00953BE0"/>
    <w:rsid w:val="00955FF6"/>
    <w:rsid w:val="009571EB"/>
    <w:rsid w:val="0096028B"/>
    <w:rsid w:val="00961174"/>
    <w:rsid w:val="009622BC"/>
    <w:rsid w:val="009664FA"/>
    <w:rsid w:val="00966AA4"/>
    <w:rsid w:val="00971261"/>
    <w:rsid w:val="009715F3"/>
    <w:rsid w:val="009723B6"/>
    <w:rsid w:val="00975F13"/>
    <w:rsid w:val="0097663A"/>
    <w:rsid w:val="009768A1"/>
    <w:rsid w:val="00980849"/>
    <w:rsid w:val="0098086F"/>
    <w:rsid w:val="00982746"/>
    <w:rsid w:val="0098521C"/>
    <w:rsid w:val="009857E9"/>
    <w:rsid w:val="00986C1D"/>
    <w:rsid w:val="00990B0D"/>
    <w:rsid w:val="009940F1"/>
    <w:rsid w:val="00995456"/>
    <w:rsid w:val="00995DDE"/>
    <w:rsid w:val="00996527"/>
    <w:rsid w:val="00996FA7"/>
    <w:rsid w:val="00997A5D"/>
    <w:rsid w:val="00997E4F"/>
    <w:rsid w:val="009A014E"/>
    <w:rsid w:val="009A01C5"/>
    <w:rsid w:val="009A041E"/>
    <w:rsid w:val="009A1E85"/>
    <w:rsid w:val="009A22CA"/>
    <w:rsid w:val="009A22EE"/>
    <w:rsid w:val="009A2E9D"/>
    <w:rsid w:val="009A3F93"/>
    <w:rsid w:val="009A44C8"/>
    <w:rsid w:val="009A7222"/>
    <w:rsid w:val="009B02D9"/>
    <w:rsid w:val="009B1675"/>
    <w:rsid w:val="009B16A0"/>
    <w:rsid w:val="009B322F"/>
    <w:rsid w:val="009B449E"/>
    <w:rsid w:val="009B4A36"/>
    <w:rsid w:val="009B5369"/>
    <w:rsid w:val="009B5862"/>
    <w:rsid w:val="009B75C3"/>
    <w:rsid w:val="009C0263"/>
    <w:rsid w:val="009C15E8"/>
    <w:rsid w:val="009C19D0"/>
    <w:rsid w:val="009C24C7"/>
    <w:rsid w:val="009C25B0"/>
    <w:rsid w:val="009C50F2"/>
    <w:rsid w:val="009C56D1"/>
    <w:rsid w:val="009C6DB2"/>
    <w:rsid w:val="009D0316"/>
    <w:rsid w:val="009D0CCD"/>
    <w:rsid w:val="009D1875"/>
    <w:rsid w:val="009D3B83"/>
    <w:rsid w:val="009D3C19"/>
    <w:rsid w:val="009D5762"/>
    <w:rsid w:val="009D6446"/>
    <w:rsid w:val="009D7DBC"/>
    <w:rsid w:val="009E11CF"/>
    <w:rsid w:val="009E1C6D"/>
    <w:rsid w:val="009E23DC"/>
    <w:rsid w:val="009E2C95"/>
    <w:rsid w:val="009E34D3"/>
    <w:rsid w:val="009E38E1"/>
    <w:rsid w:val="009E3A59"/>
    <w:rsid w:val="009E4F87"/>
    <w:rsid w:val="009E517E"/>
    <w:rsid w:val="009E5A8F"/>
    <w:rsid w:val="009E7570"/>
    <w:rsid w:val="009E758E"/>
    <w:rsid w:val="009F3F9B"/>
    <w:rsid w:val="009F590F"/>
    <w:rsid w:val="009F5CA3"/>
    <w:rsid w:val="009F5EFC"/>
    <w:rsid w:val="00A00137"/>
    <w:rsid w:val="00A00E66"/>
    <w:rsid w:val="00A01501"/>
    <w:rsid w:val="00A02EDB"/>
    <w:rsid w:val="00A039A0"/>
    <w:rsid w:val="00A04B83"/>
    <w:rsid w:val="00A06AB4"/>
    <w:rsid w:val="00A06ADD"/>
    <w:rsid w:val="00A07503"/>
    <w:rsid w:val="00A07626"/>
    <w:rsid w:val="00A0783E"/>
    <w:rsid w:val="00A10EC8"/>
    <w:rsid w:val="00A121F6"/>
    <w:rsid w:val="00A124A9"/>
    <w:rsid w:val="00A124C2"/>
    <w:rsid w:val="00A143ED"/>
    <w:rsid w:val="00A1473B"/>
    <w:rsid w:val="00A14BA8"/>
    <w:rsid w:val="00A15853"/>
    <w:rsid w:val="00A15858"/>
    <w:rsid w:val="00A15938"/>
    <w:rsid w:val="00A15A7E"/>
    <w:rsid w:val="00A20B1A"/>
    <w:rsid w:val="00A21B63"/>
    <w:rsid w:val="00A228BA"/>
    <w:rsid w:val="00A22F5A"/>
    <w:rsid w:val="00A247D3"/>
    <w:rsid w:val="00A25ED4"/>
    <w:rsid w:val="00A31B3B"/>
    <w:rsid w:val="00A31E76"/>
    <w:rsid w:val="00A34689"/>
    <w:rsid w:val="00A35588"/>
    <w:rsid w:val="00A3627A"/>
    <w:rsid w:val="00A36458"/>
    <w:rsid w:val="00A37CE8"/>
    <w:rsid w:val="00A37E0B"/>
    <w:rsid w:val="00A417E0"/>
    <w:rsid w:val="00A42C75"/>
    <w:rsid w:val="00A431C1"/>
    <w:rsid w:val="00A43F2D"/>
    <w:rsid w:val="00A462B5"/>
    <w:rsid w:val="00A4763A"/>
    <w:rsid w:val="00A566E3"/>
    <w:rsid w:val="00A57111"/>
    <w:rsid w:val="00A57B5C"/>
    <w:rsid w:val="00A627DB"/>
    <w:rsid w:val="00A64191"/>
    <w:rsid w:val="00A67509"/>
    <w:rsid w:val="00A67B04"/>
    <w:rsid w:val="00A67D67"/>
    <w:rsid w:val="00A71B54"/>
    <w:rsid w:val="00A7306D"/>
    <w:rsid w:val="00A845E7"/>
    <w:rsid w:val="00A909E2"/>
    <w:rsid w:val="00A9280A"/>
    <w:rsid w:val="00A9334B"/>
    <w:rsid w:val="00A96AE6"/>
    <w:rsid w:val="00A970A7"/>
    <w:rsid w:val="00A97840"/>
    <w:rsid w:val="00AA138D"/>
    <w:rsid w:val="00AA1E60"/>
    <w:rsid w:val="00AA39BB"/>
    <w:rsid w:val="00AA3C6B"/>
    <w:rsid w:val="00AA709F"/>
    <w:rsid w:val="00AB1146"/>
    <w:rsid w:val="00AB2036"/>
    <w:rsid w:val="00AC09BA"/>
    <w:rsid w:val="00AC0D11"/>
    <w:rsid w:val="00AC1A52"/>
    <w:rsid w:val="00AC33B5"/>
    <w:rsid w:val="00AC58BD"/>
    <w:rsid w:val="00AC5EA7"/>
    <w:rsid w:val="00AC7BB9"/>
    <w:rsid w:val="00AD11AF"/>
    <w:rsid w:val="00AD17F4"/>
    <w:rsid w:val="00AD18CA"/>
    <w:rsid w:val="00AD1B37"/>
    <w:rsid w:val="00AD3531"/>
    <w:rsid w:val="00AD4AAF"/>
    <w:rsid w:val="00AE2B81"/>
    <w:rsid w:val="00AE2D3F"/>
    <w:rsid w:val="00AE674F"/>
    <w:rsid w:val="00AE6C5C"/>
    <w:rsid w:val="00AE7224"/>
    <w:rsid w:val="00AF05E4"/>
    <w:rsid w:val="00AF24DF"/>
    <w:rsid w:val="00AF2D05"/>
    <w:rsid w:val="00AF397D"/>
    <w:rsid w:val="00AF4A2C"/>
    <w:rsid w:val="00AF59CF"/>
    <w:rsid w:val="00AF7F9F"/>
    <w:rsid w:val="00B00B92"/>
    <w:rsid w:val="00B0115F"/>
    <w:rsid w:val="00B016D1"/>
    <w:rsid w:val="00B018AE"/>
    <w:rsid w:val="00B022FF"/>
    <w:rsid w:val="00B05F25"/>
    <w:rsid w:val="00B067E0"/>
    <w:rsid w:val="00B13D0B"/>
    <w:rsid w:val="00B13FE8"/>
    <w:rsid w:val="00B14542"/>
    <w:rsid w:val="00B1559D"/>
    <w:rsid w:val="00B2210F"/>
    <w:rsid w:val="00B24CD3"/>
    <w:rsid w:val="00B25B20"/>
    <w:rsid w:val="00B265C8"/>
    <w:rsid w:val="00B31B9D"/>
    <w:rsid w:val="00B31FB1"/>
    <w:rsid w:val="00B3216E"/>
    <w:rsid w:val="00B3401E"/>
    <w:rsid w:val="00B34860"/>
    <w:rsid w:val="00B34A30"/>
    <w:rsid w:val="00B35E81"/>
    <w:rsid w:val="00B360D3"/>
    <w:rsid w:val="00B37982"/>
    <w:rsid w:val="00B4131E"/>
    <w:rsid w:val="00B4197D"/>
    <w:rsid w:val="00B41CC3"/>
    <w:rsid w:val="00B4223B"/>
    <w:rsid w:val="00B425C5"/>
    <w:rsid w:val="00B42EDE"/>
    <w:rsid w:val="00B448CE"/>
    <w:rsid w:val="00B50F72"/>
    <w:rsid w:val="00B51C33"/>
    <w:rsid w:val="00B529AF"/>
    <w:rsid w:val="00B543D4"/>
    <w:rsid w:val="00B60D30"/>
    <w:rsid w:val="00B6423B"/>
    <w:rsid w:val="00B65063"/>
    <w:rsid w:val="00B651AB"/>
    <w:rsid w:val="00B655A8"/>
    <w:rsid w:val="00B65BBD"/>
    <w:rsid w:val="00B66D85"/>
    <w:rsid w:val="00B72D0D"/>
    <w:rsid w:val="00B735C7"/>
    <w:rsid w:val="00B73CC5"/>
    <w:rsid w:val="00B75F76"/>
    <w:rsid w:val="00B760C1"/>
    <w:rsid w:val="00B8738A"/>
    <w:rsid w:val="00B87B6C"/>
    <w:rsid w:val="00B915BE"/>
    <w:rsid w:val="00B91E54"/>
    <w:rsid w:val="00B93CC7"/>
    <w:rsid w:val="00B94824"/>
    <w:rsid w:val="00B95E71"/>
    <w:rsid w:val="00B96769"/>
    <w:rsid w:val="00B96B6D"/>
    <w:rsid w:val="00B97831"/>
    <w:rsid w:val="00B97FAA"/>
    <w:rsid w:val="00BA1B3C"/>
    <w:rsid w:val="00BA1E5D"/>
    <w:rsid w:val="00BA2035"/>
    <w:rsid w:val="00BA3B3B"/>
    <w:rsid w:val="00BA61A5"/>
    <w:rsid w:val="00BA78B9"/>
    <w:rsid w:val="00BB3D52"/>
    <w:rsid w:val="00BB4122"/>
    <w:rsid w:val="00BB5332"/>
    <w:rsid w:val="00BB54D4"/>
    <w:rsid w:val="00BB5DAD"/>
    <w:rsid w:val="00BB7B6B"/>
    <w:rsid w:val="00BB7B93"/>
    <w:rsid w:val="00BB7D73"/>
    <w:rsid w:val="00BB7DA0"/>
    <w:rsid w:val="00BC0C53"/>
    <w:rsid w:val="00BC5161"/>
    <w:rsid w:val="00BC5F8D"/>
    <w:rsid w:val="00BD15EE"/>
    <w:rsid w:val="00BD2460"/>
    <w:rsid w:val="00BD3E6B"/>
    <w:rsid w:val="00BD4DDC"/>
    <w:rsid w:val="00BD5125"/>
    <w:rsid w:val="00BD6017"/>
    <w:rsid w:val="00BE2C86"/>
    <w:rsid w:val="00BE3FF3"/>
    <w:rsid w:val="00BE47EC"/>
    <w:rsid w:val="00BF1374"/>
    <w:rsid w:val="00BF4759"/>
    <w:rsid w:val="00BF528C"/>
    <w:rsid w:val="00BF6DA4"/>
    <w:rsid w:val="00C02925"/>
    <w:rsid w:val="00C037A8"/>
    <w:rsid w:val="00C03D67"/>
    <w:rsid w:val="00C03FD8"/>
    <w:rsid w:val="00C044F2"/>
    <w:rsid w:val="00C04542"/>
    <w:rsid w:val="00C06BAC"/>
    <w:rsid w:val="00C0728E"/>
    <w:rsid w:val="00C07389"/>
    <w:rsid w:val="00C147ED"/>
    <w:rsid w:val="00C15AB5"/>
    <w:rsid w:val="00C15E3F"/>
    <w:rsid w:val="00C17FD7"/>
    <w:rsid w:val="00C20AD2"/>
    <w:rsid w:val="00C232D2"/>
    <w:rsid w:val="00C24289"/>
    <w:rsid w:val="00C25EBE"/>
    <w:rsid w:val="00C26E41"/>
    <w:rsid w:val="00C36DD4"/>
    <w:rsid w:val="00C373A6"/>
    <w:rsid w:val="00C414EE"/>
    <w:rsid w:val="00C4188C"/>
    <w:rsid w:val="00C41EFA"/>
    <w:rsid w:val="00C429B1"/>
    <w:rsid w:val="00C43B3B"/>
    <w:rsid w:val="00C447D0"/>
    <w:rsid w:val="00C4482F"/>
    <w:rsid w:val="00C46821"/>
    <w:rsid w:val="00C51AC4"/>
    <w:rsid w:val="00C54616"/>
    <w:rsid w:val="00C556D2"/>
    <w:rsid w:val="00C57125"/>
    <w:rsid w:val="00C57B17"/>
    <w:rsid w:val="00C57E13"/>
    <w:rsid w:val="00C6020C"/>
    <w:rsid w:val="00C61DDF"/>
    <w:rsid w:val="00C61EFD"/>
    <w:rsid w:val="00C6275C"/>
    <w:rsid w:val="00C62CAF"/>
    <w:rsid w:val="00C636EA"/>
    <w:rsid w:val="00C6386C"/>
    <w:rsid w:val="00C67E47"/>
    <w:rsid w:val="00C67ECA"/>
    <w:rsid w:val="00C70B46"/>
    <w:rsid w:val="00C73DB3"/>
    <w:rsid w:val="00C751F2"/>
    <w:rsid w:val="00C76059"/>
    <w:rsid w:val="00C76338"/>
    <w:rsid w:val="00C76730"/>
    <w:rsid w:val="00C80B63"/>
    <w:rsid w:val="00C80CC5"/>
    <w:rsid w:val="00C84472"/>
    <w:rsid w:val="00C852CD"/>
    <w:rsid w:val="00C87067"/>
    <w:rsid w:val="00C9249E"/>
    <w:rsid w:val="00C943A2"/>
    <w:rsid w:val="00C94F24"/>
    <w:rsid w:val="00C97CE8"/>
    <w:rsid w:val="00CA021B"/>
    <w:rsid w:val="00CA4628"/>
    <w:rsid w:val="00CA54F5"/>
    <w:rsid w:val="00CA5FE1"/>
    <w:rsid w:val="00CA60CA"/>
    <w:rsid w:val="00CA6784"/>
    <w:rsid w:val="00CA733F"/>
    <w:rsid w:val="00CA76E2"/>
    <w:rsid w:val="00CA7AE4"/>
    <w:rsid w:val="00CB0AF7"/>
    <w:rsid w:val="00CB0C8B"/>
    <w:rsid w:val="00CB2B24"/>
    <w:rsid w:val="00CB3671"/>
    <w:rsid w:val="00CB4D69"/>
    <w:rsid w:val="00CC1342"/>
    <w:rsid w:val="00CC1CDB"/>
    <w:rsid w:val="00CC2481"/>
    <w:rsid w:val="00CC36A6"/>
    <w:rsid w:val="00CC3BAA"/>
    <w:rsid w:val="00CC541C"/>
    <w:rsid w:val="00CD21F1"/>
    <w:rsid w:val="00CD24A2"/>
    <w:rsid w:val="00CD2F9D"/>
    <w:rsid w:val="00CD3B8A"/>
    <w:rsid w:val="00CD3E50"/>
    <w:rsid w:val="00CD4579"/>
    <w:rsid w:val="00CD5903"/>
    <w:rsid w:val="00CD6155"/>
    <w:rsid w:val="00CE1F0C"/>
    <w:rsid w:val="00CE1F4A"/>
    <w:rsid w:val="00CE3F79"/>
    <w:rsid w:val="00CE5543"/>
    <w:rsid w:val="00CE5AC5"/>
    <w:rsid w:val="00CE5AEA"/>
    <w:rsid w:val="00CE6BED"/>
    <w:rsid w:val="00CF2724"/>
    <w:rsid w:val="00CF2A6C"/>
    <w:rsid w:val="00CF32EB"/>
    <w:rsid w:val="00CF4851"/>
    <w:rsid w:val="00CF65FB"/>
    <w:rsid w:val="00D03AB0"/>
    <w:rsid w:val="00D04DEE"/>
    <w:rsid w:val="00D06A37"/>
    <w:rsid w:val="00D06F5A"/>
    <w:rsid w:val="00D10792"/>
    <w:rsid w:val="00D1450D"/>
    <w:rsid w:val="00D172D2"/>
    <w:rsid w:val="00D20F13"/>
    <w:rsid w:val="00D21834"/>
    <w:rsid w:val="00D31C79"/>
    <w:rsid w:val="00D32B36"/>
    <w:rsid w:val="00D33BC2"/>
    <w:rsid w:val="00D33FBB"/>
    <w:rsid w:val="00D34DB5"/>
    <w:rsid w:val="00D3643D"/>
    <w:rsid w:val="00D36457"/>
    <w:rsid w:val="00D36702"/>
    <w:rsid w:val="00D37252"/>
    <w:rsid w:val="00D37BC5"/>
    <w:rsid w:val="00D41012"/>
    <w:rsid w:val="00D4470A"/>
    <w:rsid w:val="00D534A2"/>
    <w:rsid w:val="00D53D75"/>
    <w:rsid w:val="00D55050"/>
    <w:rsid w:val="00D55C1D"/>
    <w:rsid w:val="00D568DD"/>
    <w:rsid w:val="00D60496"/>
    <w:rsid w:val="00D60AFD"/>
    <w:rsid w:val="00D60E49"/>
    <w:rsid w:val="00D60EA3"/>
    <w:rsid w:val="00D6183A"/>
    <w:rsid w:val="00D63857"/>
    <w:rsid w:val="00D63AC5"/>
    <w:rsid w:val="00D65117"/>
    <w:rsid w:val="00D65492"/>
    <w:rsid w:val="00D65DCF"/>
    <w:rsid w:val="00D66A80"/>
    <w:rsid w:val="00D71418"/>
    <w:rsid w:val="00D71E30"/>
    <w:rsid w:val="00D75CED"/>
    <w:rsid w:val="00D7662F"/>
    <w:rsid w:val="00D7752F"/>
    <w:rsid w:val="00D82E23"/>
    <w:rsid w:val="00D8335B"/>
    <w:rsid w:val="00D83E87"/>
    <w:rsid w:val="00D846BA"/>
    <w:rsid w:val="00D85548"/>
    <w:rsid w:val="00D86510"/>
    <w:rsid w:val="00D91B67"/>
    <w:rsid w:val="00D9419E"/>
    <w:rsid w:val="00D95ADE"/>
    <w:rsid w:val="00DA0F40"/>
    <w:rsid w:val="00DA32DC"/>
    <w:rsid w:val="00DA3369"/>
    <w:rsid w:val="00DA385F"/>
    <w:rsid w:val="00DA3B0B"/>
    <w:rsid w:val="00DA650B"/>
    <w:rsid w:val="00DA79B3"/>
    <w:rsid w:val="00DB32C0"/>
    <w:rsid w:val="00DB52E2"/>
    <w:rsid w:val="00DB7795"/>
    <w:rsid w:val="00DB79AC"/>
    <w:rsid w:val="00DC3C7B"/>
    <w:rsid w:val="00DC55D5"/>
    <w:rsid w:val="00DC6EC2"/>
    <w:rsid w:val="00DC7E98"/>
    <w:rsid w:val="00DD1276"/>
    <w:rsid w:val="00DD17DB"/>
    <w:rsid w:val="00DD1A79"/>
    <w:rsid w:val="00DD3AB7"/>
    <w:rsid w:val="00DD3CDB"/>
    <w:rsid w:val="00DE027E"/>
    <w:rsid w:val="00DE0E73"/>
    <w:rsid w:val="00DE3106"/>
    <w:rsid w:val="00DE3840"/>
    <w:rsid w:val="00DE39E8"/>
    <w:rsid w:val="00DE3B40"/>
    <w:rsid w:val="00DE5950"/>
    <w:rsid w:val="00DF0564"/>
    <w:rsid w:val="00DF1AE9"/>
    <w:rsid w:val="00DF22B0"/>
    <w:rsid w:val="00DF71BE"/>
    <w:rsid w:val="00DF77BB"/>
    <w:rsid w:val="00DF7CDF"/>
    <w:rsid w:val="00E002AE"/>
    <w:rsid w:val="00E02592"/>
    <w:rsid w:val="00E030B0"/>
    <w:rsid w:val="00E03B0F"/>
    <w:rsid w:val="00E03CC9"/>
    <w:rsid w:val="00E04805"/>
    <w:rsid w:val="00E07BD8"/>
    <w:rsid w:val="00E115B0"/>
    <w:rsid w:val="00E1246F"/>
    <w:rsid w:val="00E134E0"/>
    <w:rsid w:val="00E13CBF"/>
    <w:rsid w:val="00E148C9"/>
    <w:rsid w:val="00E20154"/>
    <w:rsid w:val="00E2030D"/>
    <w:rsid w:val="00E239AA"/>
    <w:rsid w:val="00E2615B"/>
    <w:rsid w:val="00E27722"/>
    <w:rsid w:val="00E30E35"/>
    <w:rsid w:val="00E31EC2"/>
    <w:rsid w:val="00E33939"/>
    <w:rsid w:val="00E33AEB"/>
    <w:rsid w:val="00E341A8"/>
    <w:rsid w:val="00E35B2B"/>
    <w:rsid w:val="00E377AC"/>
    <w:rsid w:val="00E400B4"/>
    <w:rsid w:val="00E416F8"/>
    <w:rsid w:val="00E432AF"/>
    <w:rsid w:val="00E446E9"/>
    <w:rsid w:val="00E447EA"/>
    <w:rsid w:val="00E455F4"/>
    <w:rsid w:val="00E45A8D"/>
    <w:rsid w:val="00E460CD"/>
    <w:rsid w:val="00E463DF"/>
    <w:rsid w:val="00E50E70"/>
    <w:rsid w:val="00E51777"/>
    <w:rsid w:val="00E52DC3"/>
    <w:rsid w:val="00E54AD9"/>
    <w:rsid w:val="00E574DC"/>
    <w:rsid w:val="00E57920"/>
    <w:rsid w:val="00E60069"/>
    <w:rsid w:val="00E64CF0"/>
    <w:rsid w:val="00E72E9A"/>
    <w:rsid w:val="00E7637D"/>
    <w:rsid w:val="00E771A7"/>
    <w:rsid w:val="00E80F24"/>
    <w:rsid w:val="00E841F0"/>
    <w:rsid w:val="00E87F33"/>
    <w:rsid w:val="00E90F24"/>
    <w:rsid w:val="00E91F42"/>
    <w:rsid w:val="00E938B9"/>
    <w:rsid w:val="00E93DD0"/>
    <w:rsid w:val="00E94191"/>
    <w:rsid w:val="00E9776C"/>
    <w:rsid w:val="00E97DBF"/>
    <w:rsid w:val="00EA0039"/>
    <w:rsid w:val="00EA2795"/>
    <w:rsid w:val="00EA2B6D"/>
    <w:rsid w:val="00EA4310"/>
    <w:rsid w:val="00EA51D3"/>
    <w:rsid w:val="00EA6F0C"/>
    <w:rsid w:val="00EA766B"/>
    <w:rsid w:val="00EA77FB"/>
    <w:rsid w:val="00EB1D4A"/>
    <w:rsid w:val="00EB3D68"/>
    <w:rsid w:val="00EB4C5C"/>
    <w:rsid w:val="00EB57FF"/>
    <w:rsid w:val="00EC0A45"/>
    <w:rsid w:val="00EC2750"/>
    <w:rsid w:val="00EC2A30"/>
    <w:rsid w:val="00EC3A84"/>
    <w:rsid w:val="00EC595C"/>
    <w:rsid w:val="00EC626C"/>
    <w:rsid w:val="00EC79CF"/>
    <w:rsid w:val="00EC7EAA"/>
    <w:rsid w:val="00ED0D3D"/>
    <w:rsid w:val="00ED31EA"/>
    <w:rsid w:val="00ED4C3F"/>
    <w:rsid w:val="00ED4D81"/>
    <w:rsid w:val="00ED4E68"/>
    <w:rsid w:val="00EE1D75"/>
    <w:rsid w:val="00EE2030"/>
    <w:rsid w:val="00EF268E"/>
    <w:rsid w:val="00EF3369"/>
    <w:rsid w:val="00EF48C5"/>
    <w:rsid w:val="00EF7B87"/>
    <w:rsid w:val="00F041B5"/>
    <w:rsid w:val="00F0436D"/>
    <w:rsid w:val="00F052E1"/>
    <w:rsid w:val="00F05BA5"/>
    <w:rsid w:val="00F05C69"/>
    <w:rsid w:val="00F06147"/>
    <w:rsid w:val="00F119C8"/>
    <w:rsid w:val="00F119EF"/>
    <w:rsid w:val="00F11AAE"/>
    <w:rsid w:val="00F11C0E"/>
    <w:rsid w:val="00F125DF"/>
    <w:rsid w:val="00F13769"/>
    <w:rsid w:val="00F13AB5"/>
    <w:rsid w:val="00F156B0"/>
    <w:rsid w:val="00F1721D"/>
    <w:rsid w:val="00F17CE0"/>
    <w:rsid w:val="00F21D62"/>
    <w:rsid w:val="00F24B30"/>
    <w:rsid w:val="00F2522F"/>
    <w:rsid w:val="00F272CF"/>
    <w:rsid w:val="00F277A7"/>
    <w:rsid w:val="00F30C0D"/>
    <w:rsid w:val="00F34189"/>
    <w:rsid w:val="00F374AD"/>
    <w:rsid w:val="00F37994"/>
    <w:rsid w:val="00F4146B"/>
    <w:rsid w:val="00F42293"/>
    <w:rsid w:val="00F44A1B"/>
    <w:rsid w:val="00F45AA0"/>
    <w:rsid w:val="00F4613A"/>
    <w:rsid w:val="00F47C84"/>
    <w:rsid w:val="00F550C3"/>
    <w:rsid w:val="00F62387"/>
    <w:rsid w:val="00F65825"/>
    <w:rsid w:val="00F66AE9"/>
    <w:rsid w:val="00F66CD1"/>
    <w:rsid w:val="00F67446"/>
    <w:rsid w:val="00F7019D"/>
    <w:rsid w:val="00F70477"/>
    <w:rsid w:val="00F715E6"/>
    <w:rsid w:val="00F718D4"/>
    <w:rsid w:val="00F724BE"/>
    <w:rsid w:val="00F73FC3"/>
    <w:rsid w:val="00F75192"/>
    <w:rsid w:val="00F75788"/>
    <w:rsid w:val="00F7691A"/>
    <w:rsid w:val="00F77287"/>
    <w:rsid w:val="00F772CF"/>
    <w:rsid w:val="00F777E0"/>
    <w:rsid w:val="00F804FD"/>
    <w:rsid w:val="00F81534"/>
    <w:rsid w:val="00F82E23"/>
    <w:rsid w:val="00F8493C"/>
    <w:rsid w:val="00F91081"/>
    <w:rsid w:val="00F91CE4"/>
    <w:rsid w:val="00F927D5"/>
    <w:rsid w:val="00F9332C"/>
    <w:rsid w:val="00F94930"/>
    <w:rsid w:val="00F9550D"/>
    <w:rsid w:val="00FA1C0E"/>
    <w:rsid w:val="00FA1DF6"/>
    <w:rsid w:val="00FA2A3D"/>
    <w:rsid w:val="00FA3155"/>
    <w:rsid w:val="00FA36D7"/>
    <w:rsid w:val="00FA3B72"/>
    <w:rsid w:val="00FA44E1"/>
    <w:rsid w:val="00FA4D98"/>
    <w:rsid w:val="00FA5D18"/>
    <w:rsid w:val="00FA5E5D"/>
    <w:rsid w:val="00FA6C63"/>
    <w:rsid w:val="00FA76AF"/>
    <w:rsid w:val="00FB1D9B"/>
    <w:rsid w:val="00FB3A55"/>
    <w:rsid w:val="00FB55AB"/>
    <w:rsid w:val="00FB63F1"/>
    <w:rsid w:val="00FB79C6"/>
    <w:rsid w:val="00FC1993"/>
    <w:rsid w:val="00FC1A94"/>
    <w:rsid w:val="00FC1CB8"/>
    <w:rsid w:val="00FC2BA1"/>
    <w:rsid w:val="00FC2EA4"/>
    <w:rsid w:val="00FC3C1B"/>
    <w:rsid w:val="00FC3D24"/>
    <w:rsid w:val="00FD3E69"/>
    <w:rsid w:val="00FD472A"/>
    <w:rsid w:val="00FE07B5"/>
    <w:rsid w:val="00FE180C"/>
    <w:rsid w:val="00FE1D60"/>
    <w:rsid w:val="00FE27C2"/>
    <w:rsid w:val="00FE2EEB"/>
    <w:rsid w:val="00FE384F"/>
    <w:rsid w:val="00FE3B0D"/>
    <w:rsid w:val="00FE7357"/>
    <w:rsid w:val="00FE7F42"/>
    <w:rsid w:val="00FF1539"/>
    <w:rsid w:val="00FF74C9"/>
    <w:rsid w:val="044B25C1"/>
    <w:rsid w:val="046B6255"/>
    <w:rsid w:val="05C6217C"/>
    <w:rsid w:val="061D5AC2"/>
    <w:rsid w:val="064B46E5"/>
    <w:rsid w:val="06CA1CAF"/>
    <w:rsid w:val="06D175F3"/>
    <w:rsid w:val="07614760"/>
    <w:rsid w:val="0847576F"/>
    <w:rsid w:val="088F4D5F"/>
    <w:rsid w:val="089A2AE5"/>
    <w:rsid w:val="09391491"/>
    <w:rsid w:val="09ED28E0"/>
    <w:rsid w:val="0A17271C"/>
    <w:rsid w:val="0B07289E"/>
    <w:rsid w:val="0B2670BD"/>
    <w:rsid w:val="0B645669"/>
    <w:rsid w:val="0C166D69"/>
    <w:rsid w:val="0F49621A"/>
    <w:rsid w:val="0FAF4F8D"/>
    <w:rsid w:val="12C62553"/>
    <w:rsid w:val="13064FC2"/>
    <w:rsid w:val="132E4FC1"/>
    <w:rsid w:val="14731BD2"/>
    <w:rsid w:val="14F902ED"/>
    <w:rsid w:val="15E80033"/>
    <w:rsid w:val="16A36026"/>
    <w:rsid w:val="18667291"/>
    <w:rsid w:val="19050937"/>
    <w:rsid w:val="199E5E84"/>
    <w:rsid w:val="19B8191F"/>
    <w:rsid w:val="19C635F3"/>
    <w:rsid w:val="19C76CC6"/>
    <w:rsid w:val="1A85418F"/>
    <w:rsid w:val="1BAB0B6E"/>
    <w:rsid w:val="1CBC4922"/>
    <w:rsid w:val="1E58198E"/>
    <w:rsid w:val="1E9FFFE8"/>
    <w:rsid w:val="1FB82048"/>
    <w:rsid w:val="208B2C7E"/>
    <w:rsid w:val="21F56732"/>
    <w:rsid w:val="22A23F58"/>
    <w:rsid w:val="23044261"/>
    <w:rsid w:val="232417E2"/>
    <w:rsid w:val="236B1B9D"/>
    <w:rsid w:val="2395747A"/>
    <w:rsid w:val="24AF64AC"/>
    <w:rsid w:val="25E94D1F"/>
    <w:rsid w:val="26E52191"/>
    <w:rsid w:val="275B3E1E"/>
    <w:rsid w:val="29151E9F"/>
    <w:rsid w:val="292A1825"/>
    <w:rsid w:val="29C81A2A"/>
    <w:rsid w:val="2A01419C"/>
    <w:rsid w:val="2AFE02AC"/>
    <w:rsid w:val="2B230C12"/>
    <w:rsid w:val="2B3E68D9"/>
    <w:rsid w:val="2BF87564"/>
    <w:rsid w:val="2C3146A8"/>
    <w:rsid w:val="2CD33942"/>
    <w:rsid w:val="2D116560"/>
    <w:rsid w:val="2D403CA2"/>
    <w:rsid w:val="2E514712"/>
    <w:rsid w:val="2EFD3731"/>
    <w:rsid w:val="2F707023"/>
    <w:rsid w:val="2FA3283A"/>
    <w:rsid w:val="2FEC412C"/>
    <w:rsid w:val="2FF1095D"/>
    <w:rsid w:val="2FF1381E"/>
    <w:rsid w:val="30163CCC"/>
    <w:rsid w:val="309877BC"/>
    <w:rsid w:val="30DC03F1"/>
    <w:rsid w:val="320F7E75"/>
    <w:rsid w:val="32A852AA"/>
    <w:rsid w:val="33F1670A"/>
    <w:rsid w:val="36B7372C"/>
    <w:rsid w:val="36DC3B99"/>
    <w:rsid w:val="378C51B2"/>
    <w:rsid w:val="3AF15E5F"/>
    <w:rsid w:val="3D2456A6"/>
    <w:rsid w:val="3DA65C12"/>
    <w:rsid w:val="3DFD35A7"/>
    <w:rsid w:val="3E144BBE"/>
    <w:rsid w:val="4032245D"/>
    <w:rsid w:val="414D0B32"/>
    <w:rsid w:val="416E322C"/>
    <w:rsid w:val="418012E0"/>
    <w:rsid w:val="42623699"/>
    <w:rsid w:val="42F52032"/>
    <w:rsid w:val="46814152"/>
    <w:rsid w:val="46942FF6"/>
    <w:rsid w:val="46E62440"/>
    <w:rsid w:val="483977C0"/>
    <w:rsid w:val="483E1E9F"/>
    <w:rsid w:val="48841362"/>
    <w:rsid w:val="4BC9721E"/>
    <w:rsid w:val="4D993ADC"/>
    <w:rsid w:val="4E23388E"/>
    <w:rsid w:val="4EB011C6"/>
    <w:rsid w:val="51367387"/>
    <w:rsid w:val="51EA76B3"/>
    <w:rsid w:val="53A62BD6"/>
    <w:rsid w:val="546A5392"/>
    <w:rsid w:val="5589506F"/>
    <w:rsid w:val="55923285"/>
    <w:rsid w:val="56121CD0"/>
    <w:rsid w:val="56A64B36"/>
    <w:rsid w:val="59863419"/>
    <w:rsid w:val="59BB5358"/>
    <w:rsid w:val="59F1628A"/>
    <w:rsid w:val="5A474CEE"/>
    <w:rsid w:val="5A8105E9"/>
    <w:rsid w:val="5B3947B1"/>
    <w:rsid w:val="5C7112D3"/>
    <w:rsid w:val="5CE62E6B"/>
    <w:rsid w:val="5CF140F9"/>
    <w:rsid w:val="5D3A2B31"/>
    <w:rsid w:val="5D8A79DB"/>
    <w:rsid w:val="5DF50FB6"/>
    <w:rsid w:val="5F1F7195"/>
    <w:rsid w:val="61295307"/>
    <w:rsid w:val="617B083D"/>
    <w:rsid w:val="625D068C"/>
    <w:rsid w:val="62C45C6F"/>
    <w:rsid w:val="66636786"/>
    <w:rsid w:val="671D52F8"/>
    <w:rsid w:val="6AF40B39"/>
    <w:rsid w:val="6B8C2CCC"/>
    <w:rsid w:val="6C0952D8"/>
    <w:rsid w:val="6F1717AA"/>
    <w:rsid w:val="6F466109"/>
    <w:rsid w:val="6F9823B3"/>
    <w:rsid w:val="6FFD0A4C"/>
    <w:rsid w:val="70393D0A"/>
    <w:rsid w:val="71DC63FC"/>
    <w:rsid w:val="71E078BB"/>
    <w:rsid w:val="737E3735"/>
    <w:rsid w:val="73C54AE5"/>
    <w:rsid w:val="742D6721"/>
    <w:rsid w:val="756951D8"/>
    <w:rsid w:val="763F450F"/>
    <w:rsid w:val="76C67562"/>
    <w:rsid w:val="7878105B"/>
    <w:rsid w:val="78D501E3"/>
    <w:rsid w:val="796E119B"/>
    <w:rsid w:val="79BD2116"/>
    <w:rsid w:val="7AED161D"/>
    <w:rsid w:val="A9FE61E3"/>
    <w:rsid w:val="FFDFB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宋体" w:hAnsi="宋体" w:eastAsia="仿宋_GB2312" w:cs="宋体"/>
      <w:kern w:val="2"/>
      <w:sz w:val="28"/>
      <w:szCs w:val="28"/>
      <w:lang w:val="en-US" w:eastAsia="zh-CN" w:bidi="ar-SA"/>
    </w:rPr>
  </w:style>
  <w:style w:type="paragraph" w:styleId="2">
    <w:name w:val="heading 1"/>
    <w:basedOn w:val="1"/>
    <w:next w:val="1"/>
    <w:qFormat/>
    <w:uiPriority w:val="0"/>
    <w:pPr>
      <w:keepNext/>
      <w:keepLines/>
      <w:spacing w:before="100" w:after="100"/>
      <w:ind w:firstLine="50" w:firstLineChars="50"/>
      <w:outlineLvl w:val="0"/>
    </w:pPr>
    <w:rPr>
      <w:rFonts w:ascii="仿宋_GB2312" w:hAnsi="仿宋_GB2312" w:cs="仿宋_GB2312"/>
      <w:b/>
      <w:bCs/>
      <w:kern w:val="44"/>
      <w:sz w:val="32"/>
      <w:szCs w:val="32"/>
    </w:rPr>
  </w:style>
  <w:style w:type="paragraph" w:styleId="3">
    <w:name w:val="heading 2"/>
    <w:basedOn w:val="1"/>
    <w:next w:val="1"/>
    <w:link w:val="108"/>
    <w:qFormat/>
    <w:uiPriority w:val="0"/>
    <w:pPr>
      <w:keepNext/>
      <w:keepLines/>
      <w:spacing w:before="100" w:after="100"/>
      <w:ind w:firstLine="100" w:firstLineChars="100"/>
      <w:outlineLvl w:val="1"/>
    </w:pPr>
    <w:rPr>
      <w:rFonts w:ascii="仿宋_GB2312" w:hAnsi="仿宋_GB2312" w:cs="仿宋_GB2312"/>
      <w:b/>
      <w:bCs/>
      <w:sz w:val="30"/>
      <w:szCs w:val="30"/>
    </w:rPr>
  </w:style>
  <w:style w:type="paragraph" w:styleId="4">
    <w:name w:val="heading 3"/>
    <w:basedOn w:val="1"/>
    <w:next w:val="1"/>
    <w:link w:val="48"/>
    <w:qFormat/>
    <w:uiPriority w:val="0"/>
    <w:pPr>
      <w:keepNext/>
      <w:keepLines/>
      <w:spacing w:before="100" w:after="100"/>
      <w:ind w:firstLine="140" w:firstLineChars="140"/>
      <w:outlineLvl w:val="2"/>
    </w:pPr>
    <w:rPr>
      <w:rFonts w:ascii="仿宋_GB2312" w:hAnsi="仿宋_GB2312" w:cs="仿宋_GB2312"/>
      <w:b/>
      <w:bCs/>
    </w:rPr>
  </w:style>
  <w:style w:type="paragraph" w:styleId="5">
    <w:name w:val="heading 4"/>
    <w:basedOn w:val="6"/>
    <w:next w:val="6"/>
    <w:link w:val="47"/>
    <w:qFormat/>
    <w:uiPriority w:val="0"/>
    <w:pPr>
      <w:keepNext/>
      <w:keepLines/>
      <w:spacing w:before="100" w:after="100"/>
      <w:outlineLvl w:val="3"/>
    </w:pPr>
    <w:rPr>
      <w:rFonts w:ascii="仿宋_GB2312" w:hAnsi="仿宋_GB2312" w:cs="仿宋_GB2312"/>
      <w:b/>
      <w:bCs/>
      <w:sz w:val="28"/>
      <w:szCs w:val="28"/>
    </w:rPr>
  </w:style>
  <w:style w:type="paragraph" w:styleId="7">
    <w:name w:val="heading 5"/>
    <w:next w:val="1"/>
    <w:link w:val="49"/>
    <w:qFormat/>
    <w:uiPriority w:val="0"/>
    <w:pPr>
      <w:adjustRightInd w:val="0"/>
      <w:snapToGrid w:val="0"/>
      <w:spacing w:line="300" w:lineRule="auto"/>
      <w:outlineLvl w:val="4"/>
    </w:pPr>
    <w:rPr>
      <w:rFonts w:ascii="Calibri" w:hAnsi="Calibri" w:eastAsia="宋体" w:cs="宋体"/>
      <w:snapToGrid w:val="0"/>
      <w:sz w:val="21"/>
      <w:szCs w:val="21"/>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6">
    <w:name w:val="段"/>
    <w:basedOn w:val="1"/>
    <w:link w:val="54"/>
    <w:qFormat/>
    <w:uiPriority w:val="0"/>
    <w:rPr>
      <w:rFonts w:ascii="Calibri" w:hAnsi="Calibri" w:cs="Times New Roman"/>
      <w:kern w:val="0"/>
      <w:sz w:val="24"/>
      <w:szCs w:val="20"/>
    </w:rPr>
  </w:style>
  <w:style w:type="paragraph" w:styleId="8">
    <w:name w:val="toc 7"/>
    <w:basedOn w:val="1"/>
    <w:next w:val="1"/>
    <w:qFormat/>
    <w:uiPriority w:val="0"/>
    <w:pPr>
      <w:spacing w:line="240" w:lineRule="auto"/>
      <w:ind w:left="1400"/>
      <w:jc w:val="left"/>
    </w:pPr>
    <w:rPr>
      <w:rFonts w:ascii="Calibri" w:hAnsi="Calibri"/>
      <w:sz w:val="20"/>
      <w:szCs w:val="20"/>
    </w:rPr>
  </w:style>
  <w:style w:type="paragraph" w:styleId="9">
    <w:name w:val="Normal Indent"/>
    <w:basedOn w:val="1"/>
    <w:qFormat/>
    <w:uiPriority w:val="0"/>
    <w:pPr>
      <w:ind w:firstLine="560"/>
    </w:pPr>
    <w:rPr>
      <w:rFonts w:ascii="仿宋_GB2312"/>
    </w:rPr>
  </w:style>
  <w:style w:type="paragraph" w:styleId="10">
    <w:name w:val="Document Map"/>
    <w:basedOn w:val="1"/>
    <w:link w:val="53"/>
    <w:qFormat/>
    <w:uiPriority w:val="99"/>
    <w:rPr>
      <w:rFonts w:hAnsi="Calibri" w:cs="Times New Roman"/>
      <w:sz w:val="18"/>
      <w:szCs w:val="18"/>
    </w:rPr>
  </w:style>
  <w:style w:type="paragraph" w:styleId="11">
    <w:name w:val="annotation text"/>
    <w:basedOn w:val="1"/>
    <w:link w:val="50"/>
    <w:qFormat/>
    <w:uiPriority w:val="0"/>
    <w:pPr>
      <w:jc w:val="left"/>
    </w:pPr>
    <w:rPr>
      <w:rFonts w:ascii="Calibri" w:hAnsi="Calibri" w:cs="Times New Roman"/>
      <w:sz w:val="21"/>
      <w:szCs w:val="24"/>
    </w:rPr>
  </w:style>
  <w:style w:type="paragraph" w:styleId="12">
    <w:name w:val="Body Text 3"/>
    <w:basedOn w:val="1"/>
    <w:qFormat/>
    <w:uiPriority w:val="0"/>
    <w:pPr>
      <w:jc w:val="center"/>
    </w:pPr>
    <w:rPr>
      <w:rFonts w:ascii="黑体" w:eastAsia="黑体"/>
      <w:b/>
      <w:bCs/>
      <w:sz w:val="44"/>
      <w:szCs w:val="21"/>
    </w:rPr>
  </w:style>
  <w:style w:type="paragraph" w:styleId="13">
    <w:name w:val="Body Text"/>
    <w:basedOn w:val="1"/>
    <w:qFormat/>
    <w:uiPriority w:val="0"/>
    <w:rPr>
      <w:rFonts w:ascii="仿宋_GB2312"/>
    </w:rPr>
  </w:style>
  <w:style w:type="paragraph" w:styleId="14">
    <w:name w:val="Body Text Indent"/>
    <w:basedOn w:val="1"/>
    <w:qFormat/>
    <w:uiPriority w:val="0"/>
    <w:pPr>
      <w:ind w:firstLine="420"/>
    </w:pPr>
  </w:style>
  <w:style w:type="paragraph" w:styleId="15">
    <w:name w:val="toc 5"/>
    <w:basedOn w:val="1"/>
    <w:next w:val="1"/>
    <w:qFormat/>
    <w:uiPriority w:val="0"/>
    <w:pPr>
      <w:spacing w:line="240" w:lineRule="auto"/>
      <w:ind w:left="840"/>
      <w:jc w:val="left"/>
    </w:pPr>
    <w:rPr>
      <w:rFonts w:ascii="Calibri" w:hAnsi="Calibri"/>
      <w:sz w:val="20"/>
      <w:szCs w:val="20"/>
    </w:rPr>
  </w:style>
  <w:style w:type="paragraph" w:styleId="16">
    <w:name w:val="toc 3"/>
    <w:basedOn w:val="1"/>
    <w:next w:val="1"/>
    <w:qFormat/>
    <w:uiPriority w:val="0"/>
    <w:pPr>
      <w:ind w:left="840" w:leftChars="400"/>
    </w:pPr>
  </w:style>
  <w:style w:type="paragraph" w:styleId="17">
    <w:name w:val="Plain Text"/>
    <w:basedOn w:val="1"/>
    <w:link w:val="51"/>
    <w:qFormat/>
    <w:uiPriority w:val="0"/>
    <w:rPr>
      <w:rFonts w:hAnsi="Courier New" w:cs="Courier New"/>
      <w:sz w:val="21"/>
      <w:szCs w:val="21"/>
    </w:rPr>
  </w:style>
  <w:style w:type="paragraph" w:styleId="18">
    <w:name w:val="toc 8"/>
    <w:basedOn w:val="1"/>
    <w:next w:val="1"/>
    <w:uiPriority w:val="0"/>
    <w:pPr>
      <w:spacing w:line="240" w:lineRule="auto"/>
      <w:ind w:left="1680"/>
      <w:jc w:val="left"/>
    </w:pPr>
    <w:rPr>
      <w:rFonts w:ascii="Calibri" w:hAnsi="Calibri"/>
      <w:sz w:val="20"/>
      <w:szCs w:val="20"/>
    </w:rPr>
  </w:style>
  <w:style w:type="paragraph" w:styleId="19">
    <w:name w:val="Date"/>
    <w:basedOn w:val="1"/>
    <w:next w:val="1"/>
    <w:qFormat/>
    <w:uiPriority w:val="0"/>
    <w:pPr>
      <w:ind w:left="100" w:leftChars="2500"/>
    </w:pPr>
    <w:rPr>
      <w:sz w:val="32"/>
      <w:szCs w:val="30"/>
    </w:rPr>
  </w:style>
  <w:style w:type="paragraph" w:styleId="20">
    <w:name w:val="Body Text Indent 2"/>
    <w:basedOn w:val="1"/>
    <w:qFormat/>
    <w:uiPriority w:val="0"/>
    <w:pPr>
      <w:ind w:firstLine="640"/>
    </w:pPr>
    <w:rPr>
      <w:color w:val="FF0000"/>
      <w:sz w:val="32"/>
      <w:szCs w:val="22"/>
    </w:rPr>
  </w:style>
  <w:style w:type="paragraph" w:styleId="21">
    <w:name w:val="Balloon Text"/>
    <w:basedOn w:val="1"/>
    <w:link w:val="43"/>
    <w:qFormat/>
    <w:uiPriority w:val="0"/>
    <w:rPr>
      <w:rFonts w:ascii="Calibri" w:hAnsi="Calibri" w:cs="Times New Roman"/>
      <w:sz w:val="18"/>
      <w:szCs w:val="18"/>
    </w:rPr>
  </w:style>
  <w:style w:type="paragraph" w:styleId="22">
    <w:name w:val="footer"/>
    <w:basedOn w:val="1"/>
    <w:link w:val="46"/>
    <w:qFormat/>
    <w:uiPriority w:val="99"/>
    <w:pPr>
      <w:tabs>
        <w:tab w:val="center" w:pos="4153"/>
        <w:tab w:val="right" w:pos="8306"/>
      </w:tabs>
      <w:ind w:firstLine="0" w:firstLineChars="0"/>
      <w:jc w:val="center"/>
    </w:pPr>
    <w:rPr>
      <w:rFonts w:ascii="仿宋_GB2312" w:hAnsi="仿宋_GB2312" w:cs="Times New Roman"/>
      <w:sz w:val="21"/>
      <w:szCs w:val="18"/>
    </w:rPr>
  </w:style>
  <w:style w:type="paragraph" w:styleId="23">
    <w:name w:val="header"/>
    <w:basedOn w:val="1"/>
    <w:link w:val="56"/>
    <w:qFormat/>
    <w:uiPriority w:val="0"/>
    <w:pPr>
      <w:pBdr>
        <w:bottom w:val="single" w:color="auto" w:sz="6" w:space="1"/>
      </w:pBdr>
      <w:tabs>
        <w:tab w:val="center" w:pos="4153"/>
        <w:tab w:val="right" w:pos="8306"/>
      </w:tabs>
      <w:ind w:firstLine="0" w:firstLineChars="0"/>
      <w:jc w:val="center"/>
    </w:pPr>
    <w:rPr>
      <w:rFonts w:ascii="Calibri" w:hAnsi="Calibri" w:cs="Times New Roman"/>
      <w:sz w:val="21"/>
      <w:szCs w:val="18"/>
    </w:rPr>
  </w:style>
  <w:style w:type="paragraph" w:styleId="24">
    <w:name w:val="toc 1"/>
    <w:basedOn w:val="1"/>
    <w:next w:val="1"/>
    <w:link w:val="94"/>
    <w:qFormat/>
    <w:uiPriority w:val="39"/>
    <w:pPr>
      <w:ind w:firstLine="50" w:firstLineChars="50"/>
      <w:jc w:val="left"/>
    </w:pPr>
    <w:rPr>
      <w:rFonts w:ascii="仿宋_GB2312" w:hAnsi="仿宋_GB2312" w:cs="仿宋_GB2312"/>
      <w:b/>
    </w:rPr>
  </w:style>
  <w:style w:type="paragraph" w:styleId="25">
    <w:name w:val="toc 4"/>
    <w:basedOn w:val="1"/>
    <w:next w:val="1"/>
    <w:qFormat/>
    <w:uiPriority w:val="0"/>
    <w:pPr>
      <w:spacing w:line="240" w:lineRule="auto"/>
      <w:ind w:left="560"/>
      <w:jc w:val="left"/>
    </w:pPr>
    <w:rPr>
      <w:rFonts w:ascii="Calibri" w:hAnsi="Calibri"/>
      <w:sz w:val="20"/>
      <w:szCs w:val="20"/>
    </w:rPr>
  </w:style>
  <w:style w:type="paragraph" w:styleId="26">
    <w:name w:val="toc 6"/>
    <w:basedOn w:val="1"/>
    <w:next w:val="1"/>
    <w:qFormat/>
    <w:uiPriority w:val="0"/>
    <w:pPr>
      <w:spacing w:line="240" w:lineRule="auto"/>
      <w:ind w:left="1120"/>
      <w:jc w:val="left"/>
    </w:pPr>
    <w:rPr>
      <w:rFonts w:ascii="Calibri" w:hAnsi="Calibri"/>
      <w:sz w:val="20"/>
      <w:szCs w:val="20"/>
    </w:rPr>
  </w:style>
  <w:style w:type="paragraph" w:styleId="27">
    <w:name w:val="Body Text Indent 3"/>
    <w:basedOn w:val="1"/>
    <w:qFormat/>
    <w:uiPriority w:val="0"/>
    <w:pPr>
      <w:ind w:firstLine="690"/>
    </w:pPr>
    <w:rPr>
      <w:color w:val="FF0000"/>
      <w:spacing w:val="15"/>
      <w:kern w:val="0"/>
      <w:sz w:val="32"/>
      <w:szCs w:val="21"/>
    </w:rPr>
  </w:style>
  <w:style w:type="paragraph" w:styleId="28">
    <w:name w:val="toc 2"/>
    <w:basedOn w:val="1"/>
    <w:next w:val="1"/>
    <w:qFormat/>
    <w:uiPriority w:val="39"/>
    <w:pPr>
      <w:ind w:firstLine="150" w:firstLineChars="150"/>
    </w:pPr>
    <w:rPr>
      <w:rFonts w:ascii="仿宋_GB2312" w:hAnsi="仿宋_GB2312" w:cs="仿宋_GB2312"/>
    </w:rPr>
  </w:style>
  <w:style w:type="paragraph" w:styleId="29">
    <w:name w:val="toc 9"/>
    <w:basedOn w:val="1"/>
    <w:next w:val="1"/>
    <w:qFormat/>
    <w:uiPriority w:val="0"/>
    <w:pPr>
      <w:spacing w:line="240" w:lineRule="auto"/>
      <w:ind w:left="1960"/>
      <w:jc w:val="left"/>
    </w:pPr>
    <w:rPr>
      <w:rFonts w:ascii="Calibri" w:hAnsi="Calibri"/>
      <w:sz w:val="20"/>
      <w:szCs w:val="20"/>
    </w:rPr>
  </w:style>
  <w:style w:type="paragraph" w:styleId="30">
    <w:name w:val="Body Text 2"/>
    <w:basedOn w:val="1"/>
    <w:qFormat/>
    <w:uiPriority w:val="0"/>
    <w:pPr>
      <w:ind w:right="-244"/>
      <w:jc w:val="center"/>
    </w:pPr>
    <w:rPr>
      <w:rFonts w:ascii="华文隶书" w:eastAsia="华文隶书"/>
      <w:b/>
      <w:sz w:val="52"/>
      <w:szCs w:val="52"/>
    </w:rPr>
  </w:style>
  <w:style w:type="paragraph" w:styleId="31">
    <w:name w:val="Normal (Web)"/>
    <w:basedOn w:val="1"/>
    <w:qFormat/>
    <w:uiPriority w:val="0"/>
    <w:pPr>
      <w:widowControl/>
      <w:spacing w:before="100" w:beforeAutospacing="1" w:after="100" w:afterAutospacing="1"/>
      <w:jc w:val="left"/>
    </w:pPr>
    <w:rPr>
      <w:kern w:val="0"/>
      <w:sz w:val="24"/>
    </w:rPr>
  </w:style>
  <w:style w:type="paragraph" w:styleId="32">
    <w:name w:val="Title"/>
    <w:basedOn w:val="1"/>
    <w:next w:val="1"/>
    <w:link w:val="85"/>
    <w:qFormat/>
    <w:uiPriority w:val="0"/>
    <w:pPr>
      <w:spacing w:before="240" w:after="60"/>
      <w:jc w:val="center"/>
      <w:outlineLvl w:val="0"/>
    </w:pPr>
    <w:rPr>
      <w:rFonts w:ascii="Cambria" w:hAnsi="Cambria" w:cs="Times New Roman"/>
      <w:b/>
      <w:bCs/>
      <w:sz w:val="32"/>
      <w:szCs w:val="32"/>
    </w:rPr>
  </w:style>
  <w:style w:type="paragraph" w:styleId="33">
    <w:name w:val="annotation subject"/>
    <w:basedOn w:val="11"/>
    <w:next w:val="11"/>
    <w:link w:val="58"/>
    <w:qFormat/>
    <w:uiPriority w:val="99"/>
    <w:rPr>
      <w:b/>
      <w:bCs/>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ht1"/>
    <w:qFormat/>
    <w:uiPriority w:val="0"/>
    <w:rPr>
      <w:rFonts w:ascii="黑体" w:eastAsia="黑体"/>
      <w:b/>
      <w:bCs/>
    </w:rPr>
  </w:style>
  <w:style w:type="character" w:customStyle="1" w:styleId="43">
    <w:name w:val="批注框文本 Char"/>
    <w:link w:val="21"/>
    <w:qFormat/>
    <w:uiPriority w:val="0"/>
    <w:rPr>
      <w:kern w:val="2"/>
      <w:sz w:val="18"/>
      <w:szCs w:val="18"/>
    </w:rPr>
  </w:style>
  <w:style w:type="character" w:customStyle="1" w:styleId="44">
    <w:name w:val="zhengwen"/>
    <w:basedOn w:val="36"/>
    <w:qFormat/>
    <w:uiPriority w:val="0"/>
  </w:style>
  <w:style w:type="character" w:customStyle="1" w:styleId="45">
    <w:name w:val="op-map-singlepoint-info-right1"/>
    <w:qFormat/>
    <w:uiPriority w:val="0"/>
    <w:rPr>
      <w:rFonts w:cs="Times New Roman"/>
    </w:rPr>
  </w:style>
  <w:style w:type="character" w:customStyle="1" w:styleId="46">
    <w:name w:val="页脚 Char"/>
    <w:link w:val="22"/>
    <w:qFormat/>
    <w:uiPriority w:val="99"/>
    <w:rPr>
      <w:rFonts w:ascii="仿宋_GB2312" w:hAnsi="仿宋_GB2312" w:eastAsia="仿宋_GB2312"/>
      <w:kern w:val="2"/>
      <w:sz w:val="21"/>
      <w:szCs w:val="18"/>
    </w:rPr>
  </w:style>
  <w:style w:type="character" w:customStyle="1" w:styleId="47">
    <w:name w:val="标题 4 Char"/>
    <w:link w:val="5"/>
    <w:qFormat/>
    <w:uiPriority w:val="0"/>
    <w:rPr>
      <w:rFonts w:ascii="仿宋_GB2312" w:hAnsi="仿宋_GB2312" w:eastAsia="仿宋_GB2312" w:cs="仿宋_GB2312"/>
      <w:b/>
      <w:bCs/>
      <w:sz w:val="28"/>
      <w:szCs w:val="28"/>
    </w:rPr>
  </w:style>
  <w:style w:type="character" w:customStyle="1" w:styleId="48">
    <w:name w:val="标题 3 Char"/>
    <w:link w:val="4"/>
    <w:qFormat/>
    <w:uiPriority w:val="0"/>
    <w:rPr>
      <w:rFonts w:ascii="仿宋_GB2312" w:hAnsi="仿宋_GB2312" w:eastAsia="仿宋_GB2312" w:cs="仿宋_GB2312"/>
      <w:b/>
      <w:bCs/>
      <w:kern w:val="2"/>
      <w:sz w:val="28"/>
      <w:szCs w:val="28"/>
    </w:rPr>
  </w:style>
  <w:style w:type="character" w:customStyle="1" w:styleId="49">
    <w:name w:val="标题 5 Char"/>
    <w:link w:val="7"/>
    <w:qFormat/>
    <w:uiPriority w:val="0"/>
    <w:rPr>
      <w:rFonts w:cs="宋体"/>
      <w:snapToGrid w:val="0"/>
      <w:sz w:val="21"/>
      <w:szCs w:val="21"/>
      <w:lang w:val="en-US" w:eastAsia="zh-CN" w:bidi="ar-SA"/>
    </w:rPr>
  </w:style>
  <w:style w:type="character" w:customStyle="1" w:styleId="50">
    <w:name w:val="批注文字 Char"/>
    <w:link w:val="11"/>
    <w:qFormat/>
    <w:uiPriority w:val="0"/>
    <w:rPr>
      <w:kern w:val="2"/>
      <w:sz w:val="21"/>
      <w:szCs w:val="24"/>
    </w:rPr>
  </w:style>
  <w:style w:type="character" w:customStyle="1" w:styleId="51">
    <w:name w:val="纯文本 Char"/>
    <w:link w:val="17"/>
    <w:qFormat/>
    <w:locked/>
    <w:uiPriority w:val="0"/>
    <w:rPr>
      <w:rFonts w:ascii="宋体" w:hAnsi="Courier New" w:eastAsia="宋体" w:cs="Courier New"/>
      <w:kern w:val="2"/>
      <w:sz w:val="21"/>
      <w:szCs w:val="21"/>
      <w:lang w:val="en-US" w:eastAsia="zh-CN" w:bidi="ar-SA"/>
    </w:rPr>
  </w:style>
  <w:style w:type="character" w:customStyle="1" w:styleId="52">
    <w:name w:val="font01"/>
    <w:qFormat/>
    <w:uiPriority w:val="0"/>
    <w:rPr>
      <w:rFonts w:hint="eastAsia" w:ascii="宋体" w:hAnsi="宋体" w:eastAsia="宋体"/>
      <w:color w:val="000000"/>
      <w:sz w:val="24"/>
      <w:szCs w:val="24"/>
      <w:u w:val="none"/>
    </w:rPr>
  </w:style>
  <w:style w:type="character" w:customStyle="1" w:styleId="53">
    <w:name w:val="文档结构图 Char"/>
    <w:link w:val="10"/>
    <w:qFormat/>
    <w:uiPriority w:val="99"/>
    <w:rPr>
      <w:rFonts w:ascii="宋体"/>
      <w:kern w:val="2"/>
      <w:sz w:val="18"/>
      <w:szCs w:val="18"/>
    </w:rPr>
  </w:style>
  <w:style w:type="character" w:customStyle="1" w:styleId="54">
    <w:name w:val="段 Char Char"/>
    <w:link w:val="6"/>
    <w:qFormat/>
    <w:uiPriority w:val="0"/>
    <w:rPr>
      <w:sz w:val="24"/>
    </w:rPr>
  </w:style>
  <w:style w:type="character" w:customStyle="1" w:styleId="55">
    <w:name w:val="gjz1"/>
    <w:qFormat/>
    <w:uiPriority w:val="0"/>
    <w:rPr>
      <w:sz w:val="18"/>
      <w:szCs w:val="18"/>
    </w:rPr>
  </w:style>
  <w:style w:type="character" w:customStyle="1" w:styleId="56">
    <w:name w:val="页眉 Char"/>
    <w:link w:val="23"/>
    <w:qFormat/>
    <w:uiPriority w:val="0"/>
    <w:rPr>
      <w:rFonts w:ascii="Calibri" w:hAnsi="Calibri" w:eastAsia="仿宋_GB2312"/>
      <w:kern w:val="2"/>
      <w:sz w:val="21"/>
      <w:szCs w:val="18"/>
    </w:rPr>
  </w:style>
  <w:style w:type="character" w:customStyle="1" w:styleId="57">
    <w:name w:val="kt1"/>
    <w:basedOn w:val="36"/>
    <w:qFormat/>
    <w:uiPriority w:val="0"/>
  </w:style>
  <w:style w:type="character" w:customStyle="1" w:styleId="58">
    <w:name w:val="批注主题 Char"/>
    <w:link w:val="33"/>
    <w:qFormat/>
    <w:uiPriority w:val="99"/>
    <w:rPr>
      <w:b/>
      <w:bCs/>
      <w:kern w:val="2"/>
      <w:sz w:val="21"/>
      <w:szCs w:val="24"/>
    </w:rPr>
  </w:style>
  <w:style w:type="paragraph" w:customStyle="1" w:styleId="59">
    <w:name w:val="列出段落1"/>
    <w:basedOn w:val="1"/>
    <w:qFormat/>
    <w:uiPriority w:val="0"/>
    <w:pPr>
      <w:ind w:firstLine="420"/>
    </w:pPr>
    <w:rPr>
      <w:rFonts w:ascii="Calibri" w:hAnsi="Calibri"/>
      <w:szCs w:val="22"/>
    </w:rPr>
  </w:style>
  <w:style w:type="paragraph" w:customStyle="1" w:styleId="60">
    <w:name w:val="p0"/>
    <w:basedOn w:val="1"/>
    <w:qFormat/>
    <w:uiPriority w:val="0"/>
    <w:pPr>
      <w:widowControl/>
      <w:jc w:val="left"/>
    </w:pPr>
    <w:rPr>
      <w:kern w:val="0"/>
      <w:szCs w:val="21"/>
    </w:rPr>
  </w:style>
  <w:style w:type="paragraph" w:customStyle="1" w:styleId="61">
    <w:name w:val="p15"/>
    <w:basedOn w:val="1"/>
    <w:qFormat/>
    <w:uiPriority w:val="0"/>
    <w:pPr>
      <w:widowControl/>
    </w:pPr>
    <w:rPr>
      <w:kern w:val="0"/>
      <w:szCs w:val="21"/>
    </w:rPr>
  </w:style>
  <w:style w:type="paragraph" w:customStyle="1" w:styleId="62">
    <w:name w:val="op_mapdots_left"/>
    <w:basedOn w:val="1"/>
    <w:qFormat/>
    <w:uiPriority w:val="0"/>
    <w:pPr>
      <w:widowControl/>
      <w:jc w:val="left"/>
    </w:pPr>
    <w:rPr>
      <w:kern w:val="0"/>
      <w:sz w:val="24"/>
    </w:rPr>
  </w:style>
  <w:style w:type="paragraph" w:customStyle="1" w:styleId="63">
    <w:name w:val="标题（其他）"/>
    <w:basedOn w:val="6"/>
    <w:next w:val="6"/>
    <w:qFormat/>
    <w:uiPriority w:val="0"/>
    <w:pPr>
      <w:spacing w:beforeLines="50" w:afterLines="50"/>
      <w:ind w:firstLine="0" w:firstLineChars="0"/>
    </w:pPr>
    <w:rPr>
      <w:b/>
    </w:rPr>
  </w:style>
  <w:style w:type="paragraph" w:styleId="64">
    <w:name w:val="List Paragraph"/>
    <w:basedOn w:val="1"/>
    <w:qFormat/>
    <w:uiPriority w:val="34"/>
    <w:pPr>
      <w:ind w:firstLine="420"/>
    </w:pPr>
  </w:style>
  <w:style w:type="paragraph" w:customStyle="1" w:styleId="65">
    <w:name w:val="表格正文"/>
    <w:basedOn w:val="1"/>
    <w:qFormat/>
    <w:uiPriority w:val="0"/>
    <w:pPr>
      <w:spacing w:line="360" w:lineRule="exact"/>
      <w:jc w:val="center"/>
    </w:pPr>
  </w:style>
  <w:style w:type="paragraph" w:customStyle="1" w:styleId="66">
    <w:name w:val="表格（小）"/>
    <w:basedOn w:val="1"/>
    <w:qFormat/>
    <w:uiPriority w:val="0"/>
    <w:rPr>
      <w:kern w:val="0"/>
      <w:sz w:val="18"/>
      <w:szCs w:val="18"/>
    </w:rPr>
  </w:style>
  <w:style w:type="paragraph" w:customStyle="1" w:styleId="67">
    <w:name w:val="标准"/>
    <w:basedOn w:val="6"/>
    <w:qFormat/>
    <w:uiPriority w:val="0"/>
    <w:pPr>
      <w:tabs>
        <w:tab w:val="right" w:pos="8820"/>
      </w:tabs>
    </w:pPr>
  </w:style>
  <w:style w:type="paragraph" w:customStyle="1" w:styleId="68">
    <w:name w:val="表内正文居中"/>
    <w:qFormat/>
    <w:uiPriority w:val="0"/>
    <w:pPr>
      <w:jc w:val="center"/>
    </w:pPr>
    <w:rPr>
      <w:rFonts w:ascii="Calibri" w:hAnsi="Calibri" w:eastAsia="宋体" w:cs="宋体"/>
      <w:snapToGrid w:val="0"/>
      <w:kern w:val="44"/>
      <w:sz w:val="21"/>
      <w:szCs w:val="21"/>
      <w:lang w:val="en-US" w:eastAsia="zh-CN" w:bidi="ar-SA"/>
    </w:rPr>
  </w:style>
  <w:style w:type="paragraph" w:customStyle="1" w:styleId="69">
    <w:name w:val="表格（大）"/>
    <w:basedOn w:val="1"/>
    <w:qFormat/>
    <w:uiPriority w:val="0"/>
    <w:rPr>
      <w:kern w:val="0"/>
      <w:szCs w:val="21"/>
    </w:rPr>
  </w:style>
  <w:style w:type="paragraph" w:customStyle="1" w:styleId="70">
    <w:name w:val="报告正文"/>
    <w:link w:val="100"/>
    <w:qFormat/>
    <w:uiPriority w:val="0"/>
    <w:pPr>
      <w:widowControl w:val="0"/>
      <w:adjustRightInd w:val="0"/>
      <w:snapToGrid w:val="0"/>
      <w:spacing w:line="360" w:lineRule="auto"/>
      <w:ind w:firstLine="560" w:firstLineChars="200"/>
    </w:pPr>
    <w:rPr>
      <w:rFonts w:ascii="Calibri" w:hAnsi="宋体" w:eastAsia="宋体" w:cs="Times New Roman"/>
      <w:bCs/>
      <w:snapToGrid w:val="0"/>
      <w:sz w:val="28"/>
      <w:szCs w:val="28"/>
      <w:lang w:val="en-US" w:eastAsia="zh-CN" w:bidi="ar-SA"/>
    </w:rPr>
  </w:style>
  <w:style w:type="paragraph" w:customStyle="1" w:styleId="71">
    <w:name w:val="Char Char Char Char Char Char Char"/>
    <w:basedOn w:val="1"/>
    <w:qFormat/>
    <w:uiPriority w:val="0"/>
    <w:rPr>
      <w:sz w:val="24"/>
    </w:rPr>
  </w:style>
  <w:style w:type="character" w:customStyle="1" w:styleId="72">
    <w:name w:val="正文文本 (24)_"/>
    <w:link w:val="73"/>
    <w:qFormat/>
    <w:uiPriority w:val="0"/>
    <w:rPr>
      <w:rFonts w:ascii="MingLiU" w:hAnsi="MingLiU" w:eastAsia="MingLiU" w:cs="MingLiU"/>
      <w:b/>
      <w:bCs/>
      <w:spacing w:val="10"/>
      <w:sz w:val="13"/>
      <w:szCs w:val="13"/>
      <w:shd w:val="clear" w:color="auto" w:fill="FFFFFF"/>
    </w:rPr>
  </w:style>
  <w:style w:type="paragraph" w:customStyle="1" w:styleId="73">
    <w:name w:val="正文文本 (24)"/>
    <w:basedOn w:val="1"/>
    <w:link w:val="72"/>
    <w:qFormat/>
    <w:uiPriority w:val="0"/>
    <w:pPr>
      <w:shd w:val="clear" w:color="auto" w:fill="FFFFFF"/>
      <w:spacing w:line="314" w:lineRule="exact"/>
      <w:ind w:hanging="160" w:firstLineChars="0"/>
      <w:jc w:val="distribute"/>
    </w:pPr>
    <w:rPr>
      <w:rFonts w:ascii="MingLiU" w:hAnsi="MingLiU" w:eastAsia="MingLiU" w:cs="Times New Roman"/>
      <w:b/>
      <w:bCs/>
      <w:spacing w:val="10"/>
      <w:kern w:val="0"/>
      <w:sz w:val="13"/>
      <w:szCs w:val="13"/>
    </w:rPr>
  </w:style>
  <w:style w:type="character" w:customStyle="1" w:styleId="74">
    <w:name w:val="正文文本 (3)_"/>
    <w:qFormat/>
    <w:uiPriority w:val="0"/>
    <w:rPr>
      <w:rFonts w:ascii="MingLiU" w:hAnsi="MingLiU" w:eastAsia="MingLiU" w:cs="MingLiU"/>
      <w:spacing w:val="10"/>
      <w:sz w:val="13"/>
      <w:szCs w:val="13"/>
      <w:u w:val="none"/>
    </w:rPr>
  </w:style>
  <w:style w:type="character" w:customStyle="1" w:styleId="75">
    <w:name w:val="正文文本 (3)"/>
    <w:qFormat/>
    <w:uiPriority w:val="0"/>
    <w:rPr>
      <w:rFonts w:ascii="MingLiU" w:hAnsi="MingLiU" w:eastAsia="MingLiU" w:cs="MingLiU"/>
      <w:color w:val="000000"/>
      <w:spacing w:val="10"/>
      <w:w w:val="100"/>
      <w:position w:val="0"/>
      <w:sz w:val="13"/>
      <w:szCs w:val="13"/>
      <w:u w:val="none"/>
      <w:lang w:val="zh-TW" w:eastAsia="zh-TW" w:bidi="zh-TW"/>
    </w:rPr>
  </w:style>
  <w:style w:type="paragraph" w:customStyle="1" w:styleId="76">
    <w:name w:val="图"/>
    <w:basedOn w:val="1"/>
    <w:link w:val="78"/>
    <w:qFormat/>
    <w:uiPriority w:val="0"/>
    <w:pPr>
      <w:spacing w:line="240" w:lineRule="auto"/>
      <w:ind w:firstLine="0" w:firstLineChars="0"/>
      <w:jc w:val="center"/>
    </w:pPr>
    <w:rPr>
      <w:rFonts w:cs="Times New Roman"/>
      <w:sz w:val="24"/>
      <w:szCs w:val="24"/>
    </w:rPr>
  </w:style>
  <w:style w:type="paragraph" w:customStyle="1" w:styleId="77">
    <w:name w:val="图表标题"/>
    <w:basedOn w:val="76"/>
    <w:link w:val="80"/>
    <w:qFormat/>
    <w:uiPriority w:val="0"/>
    <w:pPr>
      <w:spacing w:line="360" w:lineRule="auto"/>
    </w:pPr>
    <w:rPr>
      <w:rFonts w:ascii="仿宋_GB2312" w:hAnsi="仿宋_GB2312" w:cs="仿宋_GB2312"/>
      <w:sz w:val="28"/>
    </w:rPr>
  </w:style>
  <w:style w:type="character" w:customStyle="1" w:styleId="78">
    <w:name w:val="图 Char"/>
    <w:link w:val="76"/>
    <w:qFormat/>
    <w:uiPriority w:val="0"/>
    <w:rPr>
      <w:rFonts w:ascii="宋体" w:hAnsi="宋体" w:cs="宋体"/>
      <w:kern w:val="2"/>
      <w:sz w:val="24"/>
      <w:szCs w:val="24"/>
    </w:rPr>
  </w:style>
  <w:style w:type="paragraph" w:customStyle="1" w:styleId="79">
    <w:name w:val="表格"/>
    <w:basedOn w:val="1"/>
    <w:link w:val="82"/>
    <w:qFormat/>
    <w:uiPriority w:val="0"/>
    <w:pPr>
      <w:spacing w:line="240" w:lineRule="auto"/>
      <w:ind w:firstLine="0" w:firstLineChars="0"/>
    </w:pPr>
    <w:rPr>
      <w:rFonts w:cs="Times New Roman"/>
      <w:sz w:val="24"/>
    </w:rPr>
  </w:style>
  <w:style w:type="character" w:customStyle="1" w:styleId="80">
    <w:name w:val="图表标题 Char"/>
    <w:link w:val="77"/>
    <w:qFormat/>
    <w:uiPriority w:val="0"/>
    <w:rPr>
      <w:rFonts w:ascii="仿宋_GB2312" w:hAnsi="仿宋_GB2312" w:eastAsia="仿宋_GB2312" w:cs="仿宋_GB2312"/>
      <w:kern w:val="2"/>
      <w:sz w:val="28"/>
      <w:szCs w:val="24"/>
    </w:rPr>
  </w:style>
  <w:style w:type="character" w:customStyle="1" w:styleId="81">
    <w:name w:val="不明显参考1"/>
    <w:qFormat/>
    <w:uiPriority w:val="31"/>
    <w:rPr>
      <w:smallCaps/>
      <w:color w:val="C0504D"/>
      <w:u w:val="single"/>
    </w:rPr>
  </w:style>
  <w:style w:type="character" w:customStyle="1" w:styleId="82">
    <w:name w:val="表格 Char"/>
    <w:link w:val="79"/>
    <w:qFormat/>
    <w:uiPriority w:val="0"/>
    <w:rPr>
      <w:rFonts w:ascii="宋体" w:hAnsi="宋体" w:eastAsia="仿宋_GB2312"/>
      <w:kern w:val="2"/>
      <w:sz w:val="24"/>
      <w:szCs w:val="28"/>
    </w:rPr>
  </w:style>
  <w:style w:type="paragraph" w:customStyle="1" w:styleId="83">
    <w:name w:val="间隔"/>
    <w:basedOn w:val="77"/>
    <w:link w:val="84"/>
    <w:qFormat/>
    <w:uiPriority w:val="0"/>
    <w:pPr>
      <w:spacing w:line="240" w:lineRule="exact"/>
    </w:pPr>
  </w:style>
  <w:style w:type="character" w:customStyle="1" w:styleId="84">
    <w:name w:val="间隔 Char"/>
    <w:link w:val="83"/>
    <w:qFormat/>
    <w:uiPriority w:val="0"/>
    <w:rPr>
      <w:rFonts w:ascii="宋体" w:hAnsi="宋体" w:cs="宋体"/>
      <w:b/>
      <w:kern w:val="2"/>
      <w:sz w:val="21"/>
      <w:szCs w:val="28"/>
    </w:rPr>
  </w:style>
  <w:style w:type="character" w:customStyle="1" w:styleId="85">
    <w:name w:val="标题 Char"/>
    <w:link w:val="32"/>
    <w:qFormat/>
    <w:uiPriority w:val="0"/>
    <w:rPr>
      <w:rFonts w:ascii="Cambria" w:hAnsi="Cambria" w:cs="Times New Roman"/>
      <w:b/>
      <w:bCs/>
      <w:kern w:val="2"/>
      <w:sz w:val="32"/>
      <w:szCs w:val="32"/>
    </w:rPr>
  </w:style>
  <w:style w:type="character" w:customStyle="1" w:styleId="86">
    <w:name w:val="正文文本 (2) + Georgia"/>
    <w:qFormat/>
    <w:uiPriority w:val="0"/>
    <w:rPr>
      <w:rFonts w:ascii="Georgia" w:hAnsi="Georgia" w:eastAsia="Georgia" w:cs="Georgia"/>
      <w:color w:val="000000"/>
      <w:spacing w:val="0"/>
      <w:w w:val="100"/>
      <w:kern w:val="2"/>
      <w:position w:val="0"/>
      <w:sz w:val="22"/>
      <w:szCs w:val="22"/>
      <w:u w:val="none"/>
      <w:shd w:val="clear" w:color="auto" w:fill="FFFFFF"/>
      <w:lang w:val="en-US" w:eastAsia="en-US" w:bidi="en-US"/>
    </w:rPr>
  </w:style>
  <w:style w:type="character" w:customStyle="1" w:styleId="87">
    <w:name w:val="正文文本 (35) + 7 pt"/>
    <w:qFormat/>
    <w:uiPriority w:val="0"/>
    <w:rPr>
      <w:rFonts w:ascii="宋体" w:hAnsi="宋体" w:eastAsia="宋体" w:cs="宋体"/>
      <w:b/>
      <w:bCs/>
      <w:color w:val="000000"/>
      <w:spacing w:val="0"/>
      <w:w w:val="100"/>
      <w:position w:val="0"/>
      <w:sz w:val="14"/>
      <w:szCs w:val="14"/>
      <w:shd w:val="clear" w:color="auto" w:fill="FFFFFF"/>
      <w:lang w:val="zh-TW" w:eastAsia="zh-TW" w:bidi="zh-TW"/>
    </w:rPr>
  </w:style>
  <w:style w:type="paragraph" w:customStyle="1" w:styleId="88">
    <w:name w:val="封面1"/>
    <w:basedOn w:val="1"/>
    <w:link w:val="90"/>
    <w:qFormat/>
    <w:uiPriority w:val="0"/>
    <w:pPr>
      <w:ind w:firstLine="0" w:firstLineChars="0"/>
      <w:jc w:val="center"/>
    </w:pPr>
    <w:rPr>
      <w:rFonts w:cs="Times New Roman"/>
      <w:b/>
      <w:color w:val="000000"/>
      <w:sz w:val="56"/>
      <w:szCs w:val="72"/>
    </w:rPr>
  </w:style>
  <w:style w:type="paragraph" w:customStyle="1" w:styleId="89">
    <w:name w:val="封面2"/>
    <w:basedOn w:val="1"/>
    <w:link w:val="92"/>
    <w:qFormat/>
    <w:uiPriority w:val="0"/>
    <w:pPr>
      <w:ind w:firstLine="0" w:firstLineChars="0"/>
      <w:jc w:val="center"/>
    </w:pPr>
    <w:rPr>
      <w:rFonts w:cs="Times New Roman"/>
      <w:b/>
      <w:sz w:val="32"/>
    </w:rPr>
  </w:style>
  <w:style w:type="character" w:customStyle="1" w:styleId="90">
    <w:name w:val="封面1 Char"/>
    <w:link w:val="88"/>
    <w:qFormat/>
    <w:uiPriority w:val="0"/>
    <w:rPr>
      <w:rFonts w:ascii="宋体" w:hAnsi="宋体" w:cs="宋体"/>
      <w:b/>
      <w:color w:val="000000"/>
      <w:kern w:val="2"/>
      <w:sz w:val="56"/>
      <w:szCs w:val="72"/>
    </w:rPr>
  </w:style>
  <w:style w:type="paragraph" w:customStyle="1" w:styleId="91">
    <w:name w:val="封面3"/>
    <w:basedOn w:val="24"/>
    <w:link w:val="95"/>
    <w:qFormat/>
    <w:uiPriority w:val="0"/>
    <w:pPr>
      <w:spacing w:beforeLines="50" w:afterLines="50"/>
      <w:ind w:left="768" w:leftChars="768"/>
    </w:pPr>
    <w:rPr>
      <w:b w:val="0"/>
    </w:rPr>
  </w:style>
  <w:style w:type="character" w:customStyle="1" w:styleId="92">
    <w:name w:val="封面2 Char"/>
    <w:link w:val="89"/>
    <w:qFormat/>
    <w:uiPriority w:val="0"/>
    <w:rPr>
      <w:rFonts w:ascii="宋体" w:hAnsi="宋体" w:cs="宋体"/>
      <w:b/>
      <w:kern w:val="2"/>
      <w:sz w:val="32"/>
      <w:szCs w:val="28"/>
    </w:rPr>
  </w:style>
  <w:style w:type="paragraph" w:customStyle="1" w:styleId="93">
    <w:name w:val="发布1"/>
    <w:basedOn w:val="1"/>
    <w:link w:val="97"/>
    <w:qFormat/>
    <w:uiPriority w:val="0"/>
    <w:pPr>
      <w:spacing w:afterLines="50"/>
      <w:ind w:firstLine="0" w:firstLineChars="0"/>
      <w:jc w:val="center"/>
    </w:pPr>
    <w:rPr>
      <w:rFonts w:cs="Times New Roman"/>
      <w:b/>
      <w:bCs/>
      <w:sz w:val="36"/>
      <w:szCs w:val="44"/>
    </w:rPr>
  </w:style>
  <w:style w:type="character" w:customStyle="1" w:styleId="94">
    <w:name w:val="目录 1 Char"/>
    <w:link w:val="24"/>
    <w:qFormat/>
    <w:uiPriority w:val="39"/>
    <w:rPr>
      <w:rFonts w:ascii="仿宋_GB2312" w:hAnsi="仿宋_GB2312" w:eastAsia="仿宋_GB2312" w:cs="仿宋_GB2312"/>
      <w:b/>
      <w:kern w:val="2"/>
      <w:sz w:val="28"/>
      <w:szCs w:val="28"/>
    </w:rPr>
  </w:style>
  <w:style w:type="character" w:customStyle="1" w:styleId="95">
    <w:name w:val="封面3 Char"/>
    <w:basedOn w:val="94"/>
    <w:link w:val="91"/>
    <w:qFormat/>
    <w:uiPriority w:val="0"/>
    <w:rPr>
      <w:rFonts w:ascii="宋体" w:hAnsi="宋体" w:cs="宋体"/>
      <w:kern w:val="2"/>
      <w:sz w:val="28"/>
      <w:szCs w:val="28"/>
    </w:rPr>
  </w:style>
  <w:style w:type="paragraph" w:customStyle="1" w:styleId="96">
    <w:name w:val="发布2"/>
    <w:basedOn w:val="1"/>
    <w:link w:val="99"/>
    <w:qFormat/>
    <w:uiPriority w:val="0"/>
    <w:pPr>
      <w:ind w:firstLine="560"/>
    </w:pPr>
    <w:rPr>
      <w:rFonts w:cs="Times New Roman"/>
    </w:rPr>
  </w:style>
  <w:style w:type="character" w:customStyle="1" w:styleId="97">
    <w:name w:val="发布1 Char"/>
    <w:link w:val="93"/>
    <w:qFormat/>
    <w:uiPriority w:val="0"/>
    <w:rPr>
      <w:rFonts w:ascii="宋体" w:hAnsi="宋体" w:cs="宋体"/>
      <w:b/>
      <w:bCs/>
      <w:kern w:val="2"/>
      <w:sz w:val="36"/>
      <w:szCs w:val="44"/>
    </w:rPr>
  </w:style>
  <w:style w:type="paragraph" w:customStyle="1" w:styleId="98">
    <w:name w:val="正文标题"/>
    <w:basedOn w:val="1"/>
    <w:link w:val="101"/>
    <w:qFormat/>
    <w:uiPriority w:val="0"/>
    <w:pPr>
      <w:ind w:firstLine="0" w:firstLineChars="0"/>
      <w:jc w:val="center"/>
    </w:pPr>
    <w:rPr>
      <w:rFonts w:cs="Times New Roman"/>
      <w:b/>
      <w:bCs/>
      <w:sz w:val="36"/>
      <w:szCs w:val="18"/>
    </w:rPr>
  </w:style>
  <w:style w:type="character" w:customStyle="1" w:styleId="99">
    <w:name w:val="发布2 Char"/>
    <w:link w:val="96"/>
    <w:qFormat/>
    <w:uiPriority w:val="0"/>
    <w:rPr>
      <w:rFonts w:ascii="宋体" w:hAnsi="宋体" w:cs="宋体"/>
      <w:kern w:val="2"/>
      <w:sz w:val="28"/>
      <w:szCs w:val="28"/>
    </w:rPr>
  </w:style>
  <w:style w:type="character" w:customStyle="1" w:styleId="100">
    <w:name w:val="报告正文 Char"/>
    <w:link w:val="70"/>
    <w:qFormat/>
    <w:locked/>
    <w:uiPriority w:val="0"/>
    <w:rPr>
      <w:rFonts w:hAnsi="宋体"/>
      <w:bCs/>
      <w:snapToGrid w:val="0"/>
      <w:sz w:val="28"/>
      <w:szCs w:val="28"/>
      <w:lang w:bidi="ar-SA"/>
    </w:rPr>
  </w:style>
  <w:style w:type="character" w:customStyle="1" w:styleId="101">
    <w:name w:val="正文标题 Char"/>
    <w:link w:val="98"/>
    <w:qFormat/>
    <w:uiPriority w:val="0"/>
    <w:rPr>
      <w:rFonts w:ascii="宋体" w:hAnsi="宋体" w:cs="宋体"/>
      <w:b/>
      <w:bCs/>
      <w:kern w:val="2"/>
      <w:sz w:val="36"/>
      <w:szCs w:val="18"/>
    </w:rPr>
  </w:style>
  <w:style w:type="character" w:customStyle="1" w:styleId="102">
    <w:name w:val="正文文本 (6) Exact"/>
    <w:qFormat/>
    <w:uiPriority w:val="10"/>
    <w:rPr>
      <w:rFonts w:ascii="宋体" w:hAnsi="宋体" w:eastAsia="宋体" w:cs="宋体"/>
      <w:spacing w:val="20"/>
      <w:sz w:val="26"/>
      <w:szCs w:val="26"/>
      <w:u w:val="none"/>
    </w:rPr>
  </w:style>
  <w:style w:type="table" w:customStyle="1" w:styleId="103">
    <w:name w:val="网格型1"/>
    <w:basedOn w:val="34"/>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4">
    <w:name w:val="正文文本 (2) Exact"/>
    <w:qFormat/>
    <w:uiPriority w:val="10"/>
    <w:rPr>
      <w:rFonts w:ascii="宋体" w:hAnsi="宋体" w:eastAsia="宋体" w:cs="宋体"/>
      <w:sz w:val="26"/>
      <w:szCs w:val="26"/>
      <w:u w:val="none"/>
      <w:lang w:val="en-US" w:eastAsia="en-US" w:bidi="en-US"/>
    </w:rPr>
  </w:style>
  <w:style w:type="table" w:customStyle="1" w:styleId="105">
    <w:name w:val="网格型2"/>
    <w:basedOn w:val="34"/>
    <w:qFormat/>
    <w:uiPriority w:val="59"/>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6">
    <w:name w:val="正文文本 (2)_"/>
    <w:link w:val="107"/>
    <w:qFormat/>
    <w:uiPriority w:val="0"/>
    <w:rPr>
      <w:rFonts w:ascii="宋体" w:hAnsi="宋体" w:cs="宋体"/>
      <w:sz w:val="26"/>
      <w:szCs w:val="26"/>
      <w:shd w:val="clear" w:color="auto" w:fill="FFFFFF"/>
    </w:rPr>
  </w:style>
  <w:style w:type="paragraph" w:customStyle="1" w:styleId="107">
    <w:name w:val="正文文本 (2)"/>
    <w:basedOn w:val="1"/>
    <w:link w:val="106"/>
    <w:qFormat/>
    <w:uiPriority w:val="0"/>
    <w:pPr>
      <w:shd w:val="clear" w:color="auto" w:fill="FFFFFF"/>
      <w:spacing w:line="612" w:lineRule="exact"/>
      <w:ind w:firstLine="0" w:firstLineChars="0"/>
      <w:jc w:val="left"/>
    </w:pPr>
    <w:rPr>
      <w:rFonts w:cs="Times New Roman"/>
      <w:kern w:val="0"/>
      <w:sz w:val="26"/>
      <w:szCs w:val="26"/>
    </w:rPr>
  </w:style>
  <w:style w:type="character" w:customStyle="1" w:styleId="108">
    <w:name w:val="标题 2 Char"/>
    <w:link w:val="3"/>
    <w:qFormat/>
    <w:uiPriority w:val="0"/>
    <w:rPr>
      <w:rFonts w:ascii="仿宋_GB2312" w:hAnsi="仿宋_GB2312" w:eastAsia="仿宋_GB2312" w:cs="仿宋_GB2312"/>
      <w:b/>
      <w:bCs/>
      <w:kern w:val="2"/>
      <w:sz w:val="30"/>
      <w:szCs w:val="30"/>
    </w:rPr>
  </w:style>
  <w:style w:type="paragraph" w:customStyle="1" w:styleId="109">
    <w:name w:val="封面4"/>
    <w:basedOn w:val="1"/>
    <w:link w:val="110"/>
    <w:qFormat/>
    <w:uiPriority w:val="0"/>
    <w:pPr>
      <w:spacing w:line="480" w:lineRule="exact"/>
      <w:ind w:right="442" w:firstLine="4216" w:firstLineChars="1400"/>
    </w:pPr>
    <w:rPr>
      <w:rFonts w:ascii="仿宋_GB2312" w:hAnsi="Times New Roman" w:cs="Times New Roman"/>
      <w:b/>
      <w:sz w:val="30"/>
      <w:szCs w:val="30"/>
    </w:rPr>
  </w:style>
  <w:style w:type="character" w:customStyle="1" w:styleId="110">
    <w:name w:val="封面4 Char"/>
    <w:link w:val="109"/>
    <w:qFormat/>
    <w:uiPriority w:val="0"/>
    <w:rPr>
      <w:rFonts w:ascii="仿宋_GB2312" w:hAnsi="Times New Roman" w:eastAsia="仿宋_GB2312"/>
      <w:b/>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Pages>
  <Words>3436</Words>
  <Characters>19587</Characters>
  <Lines>163</Lines>
  <Paragraphs>45</Paragraphs>
  <TotalTime>39</TotalTime>
  <ScaleCrop>false</ScaleCrop>
  <LinksUpToDate>false</LinksUpToDate>
  <CharactersWithSpaces>22978</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2020-08-31T22:01:00Z</dcterms:created>
  <dc:creator>JINHUI</dc:creator>
  <cp:keywords>天津港保税区 天津空港物流加工区重大生产安全事故应急救援预案</cp:keywords>
  <cp:lastModifiedBy>kylin</cp:lastModifiedBy>
  <cp:lastPrinted>2020-08-21T01:00:00Z</cp:lastPrinted>
  <dcterms:modified xsi:type="dcterms:W3CDTF">2024-01-19T16:51:37Z</dcterms:modified>
  <dc:subject>天津港保税区 天津空港物流加工区重大生产安全事故应急救援预案</dc:subject>
  <dc:title>天津港保税区 天津空港物流加工区重大生产安全事故应急救援预案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01CAF91D0D0502611938AA65CE14BC6E</vt:lpwstr>
  </property>
</Properties>
</file>