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pStyle w:val="2"/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  <w:lang w:val="en-US" w:eastAsia="zh-CN" w:bidi="ar-SA"/>
        </w:rPr>
        <w:t>关于印发《海滨街关于集中开展“三合一”场所和“小火亡人”事故防范专项治理百日行动的实施方案》的通知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eastAsia"/>
          <w:b/>
          <w:bCs/>
          <w:sz w:val="34"/>
          <w:szCs w:val="34"/>
          <w:lang w:val="en-US" w:eastAsia="zh-CN"/>
        </w:rPr>
      </w:pPr>
      <w:r>
        <w:rPr>
          <w:rFonts w:hint="eastAsia"/>
          <w:b/>
          <w:bCs/>
          <w:sz w:val="34"/>
          <w:szCs w:val="34"/>
          <w:lang w:val="en-US" w:eastAsia="zh-CN"/>
        </w:rPr>
        <w:t>街道相关部门、各村（居）及相关单位：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根据区</w:t>
      </w:r>
      <w:r>
        <w:rPr>
          <w:rFonts w:hint="eastAsia" w:ascii="仿宋_GB2312" w:hAnsi="仿宋_GB2312" w:cs="仿宋_GB2312"/>
          <w:sz w:val="34"/>
          <w:szCs w:val="34"/>
          <w:lang w:val="en-US" w:eastAsia="zh-CN"/>
        </w:rPr>
        <w:t>安委办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《关于集中开展“三合一”场所和“小火亡人”事故防范专项治理百日行动的实施方案》有关要求，为加强我街区域内消防安全管理，</w:t>
      </w:r>
      <w:r>
        <w:rPr>
          <w:rFonts w:hint="eastAsia" w:ascii="仿宋_GB2312" w:hAnsi="仿宋_GB2312" w:cs="仿宋_GB2312"/>
          <w:sz w:val="34"/>
          <w:szCs w:val="34"/>
          <w:lang w:val="en-US" w:eastAsia="zh-CN"/>
        </w:rPr>
        <w:t>预防“小火亡人”事故发生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，切实保护人民群众生命、财产安全。经街党工委研究决定，开展“三合一”场所和“小火亡人”事故防范专项治理百日行动。现将《海滨街关于集中开展“三合一”场所和“小火亡人”事故防范专项治理百日行动的实施方案》印发给你们，请各单位严格按照通知要求，依照时间节点落实好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80" w:firstLineChars="200"/>
        <w:jc w:val="center"/>
        <w:textAlignment w:val="auto"/>
        <w:rPr>
          <w:rFonts w:hint="eastAsia" w:ascii="仿宋_GB2312" w:hAnsi="仿宋_GB2312" w:cs="仿宋_GB2312"/>
          <w:w w:val="90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12" w:firstLineChars="200"/>
        <w:jc w:val="center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cs="仿宋_GB2312"/>
          <w:w w:val="90"/>
          <w:lang w:val="en-US" w:eastAsia="zh-CN"/>
        </w:rPr>
        <w:t xml:space="preserve">               2023年11月7日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605" w:leftChars="178" w:firstLine="0" w:firstLineChars="0"/>
        <w:jc w:val="both"/>
        <w:textAlignment w:val="auto"/>
        <w:rPr>
          <w:rFonts w:hint="eastAsia" w:ascii="仿宋_GB2312" w:hAnsi="仿宋_GB2312" w:cs="仿宋_GB2312"/>
          <w:w w:val="9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海滨街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关于集中开展“三合一”场所和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“小火亡人”事故防范专项治理百日行动的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10月8日0时58分，武清区河西务镇一民房发生火灾，造成3人死亡，燃烧物质为电动自行车及杂物，过火面积约150平方米。10月12日0时32分，静海区朝阳街道海坤水暖泵阀有限公司发生火灾，造成3人死亡1人受伤，燃烧物质为PVC管水暖材料及家具，过火面积约200平方米。两起火灾事故有3个共性特点:一是火灾均发生在夜间，火灾发现不及时，被困人员错过报警逃生最佳时机;二是火灾发生的场所都是典型的“前店后宅、下店上宅”“三合一”场所，住宿区没有独立的安全疏散影响逃生;三是场所内储存的可燃物多且堆放混乱，防火分隔不到位，起火蔓延快、烟气大。事故发生后，各级领导高度关注，张工市长、桂平常务副市长连续作出批示，要求全市要深刻汲取事故教训，举一反三、以案示警，有针对性开展排查整治，加强宣传教育工作，坚决遏制亡人火灾多发势头。为深刻吸取全市及新区亡人火灾事故教训，全力遏制亡人火灾事故发生</w:t>
      </w:r>
      <w:r>
        <w:rPr>
          <w:rFonts w:hint="eastAsia" w:ascii="仿宋_GB2312" w:hAnsi="仿宋_GB2312" w:cs="仿宋_GB2312"/>
          <w:sz w:val="34"/>
          <w:szCs w:val="34"/>
          <w:lang w:val="en-US" w:eastAsia="zh-CN"/>
        </w:rPr>
        <w:t>.</w:t>
      </w:r>
      <w:r>
        <w:rPr>
          <w:rFonts w:hint="eastAsia" w:ascii="仿宋_GB2312" w:hAnsi="仿宋_GB2312" w:cs="仿宋_GB2312"/>
          <w:sz w:val="34"/>
          <w:szCs w:val="34"/>
          <w:lang w:eastAsia="zh-CN"/>
        </w:rPr>
        <w:t>根据区安委办对“三合一”场所和“小火亡人”事故防范专项治理百日行动的工作安排。</w:t>
      </w:r>
      <w:r>
        <w:rPr>
          <w:rFonts w:hint="eastAsia" w:ascii="仿宋_GB2312" w:hAnsi="仿宋_GB2312" w:eastAsia="仿宋_GB2312" w:cs="仿宋_GB2312"/>
          <w:sz w:val="34"/>
          <w:szCs w:val="34"/>
        </w:rPr>
        <w:t>即日起至2024年1月26日，</w:t>
      </w:r>
      <w:r>
        <w:rPr>
          <w:rFonts w:hint="eastAsia" w:ascii="仿宋_GB2312" w:hAnsi="仿宋_GB2312" w:cs="仿宋_GB2312"/>
          <w:sz w:val="34"/>
          <w:szCs w:val="34"/>
          <w:lang w:eastAsia="zh-CN"/>
        </w:rPr>
        <w:t>街</w:t>
      </w:r>
      <w:r>
        <w:rPr>
          <w:rFonts w:hint="eastAsia" w:ascii="仿宋_GB2312" w:hAnsi="仿宋_GB2312" w:eastAsia="仿宋_GB2312" w:cs="仿宋_GB2312"/>
          <w:sz w:val="34"/>
          <w:szCs w:val="34"/>
        </w:rPr>
        <w:t>安委办决定开展为期100天的“三合一”场所和“小火亡人”事故防范专项治理百日行动，具体内容如下: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治理目标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深入推进重大风险隐患整治2023行动，紧盯沿街店铺、批发零售市场、商贸市场等容易出现违规住人的场所，重点整治“前店后宅、下店上宅”的“三合一”场所违规住人现象，改善场所安全疏散条件，规范用火、用电、用气行为，有效降低火灾风险;紧盯村居民社区和弱势群体消防安全，大力开展消防安全警示宣传教育活动，健全完善弱势群体日常照护、走访关爱、邻里互助等工作机制，落实安全措施，强化末端防控，坚决遏制亡人火灾事故发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(一)集中整治沿街店铺、批发零售市场、商贸市场等容易出现违规住人的场所，依法查处消防违法违规行为，督促整改违规住人、违规用火用电、安全疏散不畅、影响灭火救援等不符合消防安全要求的风险隐患，推广安装单点报警等简易消防设施提升预警能力，斩断致灾链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违规住人。住宿区域与生产、经营、储存区域是否采取有效防火分隔;店铺之间是否采取有效防火分隔;是否违规采用易燃可燃材料装修;住宿区域严禁设置在建筑耐火等级为三级及以下建筑或地下建筑内;疏散走道、安全出口、楼梯间、前室设置是否符合标准，是否存在堵塞、占用的情况，住宿与非住宿部分(生产、经营、储存区域)应分别设置独立的疏散设施，没有采取有效防火分隔措施且无第二疏散出口的，严禁住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2.违规用火用电。电气线路敷设是否符合相应规范标准要求，是否存在私拉乱接电气线路的现象;是否存在违规用火、用电、用气、用油现象;是否存在违规停放电动自行车或充电行为</w:t>
      </w:r>
      <w:r>
        <w:rPr>
          <w:rFonts w:hint="eastAsia" w:ascii="仿宋_GB2312" w:hAnsi="仿宋_GB2312" w:cs="仿宋_GB231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影响灭火救援行动。人员密集场所门窗是否设置影响逃生和灭火救援的障碍物;消防车道、扑救场地是否存在堵塞占用的情况;室外广告牌、遮阳棚等应采用不燃或难燃材料制作.且不应影响房间内的采光、排风、辅助疏散设施的使用、消防车的通行以及灭火救援行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4.逃生能力不足。经营人员是否掌握逃生自救技能;是否会使用灭火器，具备扑救初期火灾能力;是否加装了单点火灾报警器等早期预警报警装置。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(二)集中摸排失能独居老人、残疾人等弱势群体情况，更新完善底数台账，明确监护看护人，健全定期回访、邻里互助等监护机制。组织开展入户走访，提示卧床吸烟、不安全用火用电用气等消防安全风险，协助排查安全隐患，引导弱势群体遵守消防安全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(三) 集中开展消防安全“五进”活动，结合“119”消防宣传月活动，深入村居民社区、“九小”场所开展消防安全警示宣传教育活动，普及用火用电用气安全常识，督促社会单位开展消防安全培训和应急演练，普及用火用电用气等消防安全常识</w:t>
      </w:r>
      <w:r>
        <w:rPr>
          <w:rFonts w:hint="eastAsia" w:ascii="仿宋_GB2312" w:hAnsi="仿宋_GB2312" w:cs="仿宋_GB2312"/>
          <w:lang w:eastAsia="zh-CN"/>
        </w:rPr>
        <w:t>。</w:t>
      </w:r>
      <w:r>
        <w:rPr>
          <w:rFonts w:hint="eastAsia" w:ascii="仿宋_GB2312" w:hAnsi="仿宋_GB2312" w:eastAsia="仿宋_GB2312" w:cs="仿宋_GB2312"/>
        </w:rPr>
        <w:t>提升社会单位员工和村居民消防安全意识和逃生自救能力。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任务分工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83" w:firstLineChars="200"/>
        <w:jc w:val="both"/>
        <w:textAlignment w:val="auto"/>
        <w:rPr>
          <w:rFonts w:hint="eastAsia" w:ascii="仿宋_GB2312" w:hAnsi="仿宋_GB2312" w:cs="仿宋_GB2312"/>
          <w:lang w:eastAsia="zh-CN"/>
        </w:rPr>
      </w:pPr>
      <w:r>
        <w:rPr>
          <w:rFonts w:hint="eastAsia" w:ascii="仿宋_GB2312" w:hAnsi="仿宋_GB2312" w:cs="仿宋_GB2312"/>
          <w:b/>
          <w:bCs/>
          <w:lang w:eastAsia="zh-CN"/>
        </w:rPr>
        <w:t>街各相关部门</w:t>
      </w:r>
      <w:r>
        <w:rPr>
          <w:rFonts w:hint="eastAsia" w:ascii="仿宋_GB2312" w:hAnsi="仿宋_GB2312" w:cs="仿宋_GB2312"/>
          <w:lang w:eastAsia="zh-CN"/>
        </w:rPr>
        <w:t>根据各自职责分工，履行行业监督管理责任，组织开展本领域的集中检查工作，并建立排查情况和隐患台账。</w:t>
      </w:r>
      <w:r>
        <w:rPr>
          <w:rFonts w:hint="eastAsia" w:ascii="仿宋_GB2312" w:hAnsi="仿宋_GB2312" w:cs="仿宋_GB2312"/>
          <w:b/>
          <w:bCs/>
          <w:lang w:eastAsia="zh-CN"/>
        </w:rPr>
        <w:t>公共安全办</w:t>
      </w:r>
      <w:r>
        <w:rPr>
          <w:rFonts w:hint="eastAsia" w:ascii="仿宋_GB2312" w:hAnsi="仿宋_GB2312" w:cs="仿宋_GB2312"/>
          <w:lang w:eastAsia="zh-CN"/>
        </w:rPr>
        <w:t>负责统筹协调安全排查整治工作，对接执法部门开展重点单位检查；</w:t>
      </w:r>
      <w:r>
        <w:rPr>
          <w:rFonts w:hint="eastAsia" w:ascii="仿宋_GB2312" w:hAnsi="仿宋_GB2312" w:cs="仿宋_GB2312"/>
          <w:b/>
          <w:bCs/>
          <w:lang w:eastAsia="zh-CN"/>
        </w:rPr>
        <w:t>公共服务办公室</w:t>
      </w:r>
      <w:r>
        <w:rPr>
          <w:rFonts w:hint="eastAsia" w:ascii="仿宋_GB2312" w:hAnsi="仿宋_GB2312" w:cs="仿宋_GB2312"/>
          <w:lang w:eastAsia="zh-CN"/>
        </w:rPr>
        <w:t>负责组织摸排弱势群体情况，更新完善底数台账，协助区民政部门开展安全问题隐患排查整改，加强对辖区养老机构、托幼机构、文化娱乐场所</w:t>
      </w:r>
      <w:r>
        <w:rPr>
          <w:rFonts w:hint="eastAsia" w:ascii="仿宋_GB2312" w:hAnsi="仿宋_GB2312" w:cs="仿宋_GB2312"/>
          <w:lang w:val="en-US" w:eastAsia="zh-CN"/>
        </w:rPr>
        <w:t>;</w:t>
      </w:r>
      <w:r>
        <w:rPr>
          <w:rFonts w:hint="eastAsia" w:ascii="仿宋_GB2312" w:hAnsi="仿宋_GB2312" w:cs="仿宋_GB2312"/>
          <w:b/>
          <w:bCs/>
          <w:lang w:val="en-US" w:eastAsia="zh-CN"/>
        </w:rPr>
        <w:t>经济发展办公室</w:t>
      </w:r>
      <w:r>
        <w:rPr>
          <w:rFonts w:hint="eastAsia" w:ascii="仿宋_GB2312" w:hAnsi="仿宋_GB2312" w:cs="仿宋_GB2312"/>
          <w:lang w:val="en-US" w:eastAsia="zh-CN"/>
        </w:rPr>
        <w:t>负责对</w:t>
      </w:r>
      <w:r>
        <w:rPr>
          <w:rFonts w:hint="eastAsia" w:ascii="仿宋_GB2312" w:hAnsi="仿宋_GB2312" w:eastAsia="仿宋_GB2312" w:cs="仿宋_GB2312"/>
        </w:rPr>
        <w:t>批发零售市场、商贸市场等</w:t>
      </w:r>
      <w:r>
        <w:rPr>
          <w:rFonts w:hint="eastAsia" w:ascii="仿宋_GB2312" w:hAnsi="仿宋_GB2312" w:cs="仿宋_GB2312"/>
          <w:lang w:eastAsia="zh-CN"/>
        </w:rPr>
        <w:t>场所进行排查，建立完善底数台</w:t>
      </w:r>
      <w:r>
        <w:rPr>
          <w:rFonts w:hint="eastAsia" w:ascii="仿宋_GB2312" w:hAnsi="仿宋_GB2312" w:cs="仿宋_GB2312"/>
          <w:lang w:val="en-US" w:eastAsia="zh-CN"/>
        </w:rPr>
        <w:t>账</w:t>
      </w:r>
      <w:r>
        <w:rPr>
          <w:rFonts w:hint="eastAsia" w:ascii="仿宋_GB2312" w:hAnsi="仿宋_GB2312" w:cs="仿宋_GB2312"/>
          <w:lang w:eastAsia="zh-CN"/>
        </w:rPr>
        <w:t>，对</w:t>
      </w:r>
      <w:r>
        <w:rPr>
          <w:rFonts w:hint="eastAsia" w:ascii="仿宋_GB2312" w:hAnsi="仿宋_GB2312" w:eastAsia="仿宋_GB2312" w:cs="仿宋_GB2312"/>
        </w:rPr>
        <w:t>容易出现违规住人的场所，</w:t>
      </w:r>
      <w:r>
        <w:rPr>
          <w:rFonts w:hint="eastAsia" w:ascii="仿宋_GB2312" w:hAnsi="仿宋_GB2312" w:cs="仿宋_GB2312"/>
          <w:lang w:eastAsia="zh-CN"/>
        </w:rPr>
        <w:t>协助区相关部门开展问题隐患督促整改；</w:t>
      </w:r>
      <w:r>
        <w:rPr>
          <w:rFonts w:hint="eastAsia" w:ascii="仿宋_GB2312" w:hAnsi="仿宋_GB2312" w:cs="仿宋_GB2312"/>
          <w:b/>
          <w:bCs/>
          <w:lang w:eastAsia="zh-CN"/>
        </w:rPr>
        <w:t>农业综合服务中心</w:t>
      </w:r>
      <w:r>
        <w:rPr>
          <w:rFonts w:hint="eastAsia" w:ascii="仿宋_GB2312" w:hAnsi="仿宋_GB2312" w:cs="仿宋_GB2312"/>
          <w:lang w:eastAsia="zh-CN"/>
        </w:rPr>
        <w:t>负责对农村地区三合一场所进行安全排查，建立完善底数台</w:t>
      </w:r>
      <w:r>
        <w:rPr>
          <w:rFonts w:hint="eastAsia" w:ascii="仿宋_GB2312" w:hAnsi="仿宋_GB2312" w:cs="仿宋_GB2312"/>
          <w:lang w:val="en-US" w:eastAsia="zh-CN"/>
        </w:rPr>
        <w:t>账</w:t>
      </w:r>
      <w:r>
        <w:rPr>
          <w:rFonts w:hint="eastAsia" w:ascii="仿宋_GB2312" w:hAnsi="仿宋_GB2312" w:cs="仿宋_GB2312"/>
          <w:lang w:eastAsia="zh-CN"/>
        </w:rPr>
        <w:t>，对容易出现违规</w:t>
      </w:r>
      <w:r>
        <w:rPr>
          <w:rFonts w:hint="eastAsia" w:ascii="仿宋_GB2312" w:hAnsi="仿宋_GB2312" w:cs="仿宋_GB2312"/>
          <w:lang w:val="en-US" w:eastAsia="zh-CN"/>
        </w:rPr>
        <w:t>住</w:t>
      </w:r>
      <w:r>
        <w:rPr>
          <w:rFonts w:hint="eastAsia" w:ascii="仿宋_GB2312" w:hAnsi="仿宋_GB2312" w:cs="仿宋_GB2312"/>
          <w:lang w:eastAsia="zh-CN"/>
        </w:rPr>
        <w:t>人的场所，协助区相关部门开展问题隐患整改。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83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cs="仿宋_GB2312"/>
          <w:b/>
          <w:bCs/>
          <w:lang w:eastAsia="zh-CN"/>
        </w:rPr>
        <w:t>街安委会其他相关部门</w:t>
      </w:r>
      <w:r>
        <w:rPr>
          <w:rFonts w:hint="eastAsia" w:ascii="仿宋_GB2312" w:hAnsi="仿宋_GB2312" w:cs="仿宋_GB2312"/>
          <w:b w:val="0"/>
          <w:bCs w:val="0"/>
          <w:lang w:eastAsia="zh-CN"/>
        </w:rPr>
        <w:t>按照职责分工，对本行业领域三合一场所开展安全排查，建立完善底数台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账</w:t>
      </w:r>
      <w:r>
        <w:rPr>
          <w:rFonts w:hint="eastAsia" w:ascii="仿宋_GB2312" w:hAnsi="仿宋_GB2312" w:cs="仿宋_GB2312"/>
          <w:b w:val="0"/>
          <w:bCs w:val="0"/>
          <w:lang w:eastAsia="zh-CN"/>
        </w:rPr>
        <w:t>，督促问题隐患整改。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83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b/>
          <w:bCs/>
          <w:lang w:eastAsia="zh-CN"/>
        </w:rPr>
        <w:t>各村居</w:t>
      </w:r>
      <w:r>
        <w:rPr>
          <w:rFonts w:hint="eastAsia" w:ascii="仿宋_GB2312" w:hAnsi="仿宋_GB2312" w:eastAsia="仿宋_GB2312" w:cs="仿宋_GB2312"/>
        </w:rPr>
        <w:t>负责对沿街店铺</w:t>
      </w:r>
      <w:r>
        <w:rPr>
          <w:rFonts w:hint="eastAsia" w:ascii="仿宋_GB2312" w:hAnsi="仿宋_GB2312" w:cs="仿宋_GB2312"/>
          <w:lang w:eastAsia="zh-CN"/>
        </w:rPr>
        <w:t>及</w:t>
      </w:r>
      <w:r>
        <w:rPr>
          <w:rFonts w:hint="eastAsia" w:ascii="仿宋_GB2312" w:hAnsi="仿宋_GB2312" w:eastAsia="仿宋_GB2312" w:cs="仿宋_GB2312"/>
        </w:rPr>
        <w:t>容易出现违规住人的</w:t>
      </w:r>
      <w:r>
        <w:rPr>
          <w:rFonts w:hint="eastAsia" w:ascii="仿宋_GB2312" w:hAnsi="仿宋_GB2312" w:cs="仿宋_GB2312"/>
          <w:lang w:eastAsia="zh-CN"/>
        </w:rPr>
        <w:t>重点</w:t>
      </w:r>
      <w:r>
        <w:rPr>
          <w:rFonts w:hint="eastAsia" w:ascii="仿宋_GB2312" w:hAnsi="仿宋_GB2312" w:eastAsia="仿宋_GB2312" w:cs="仿宋_GB2312"/>
        </w:rPr>
        <w:t>场所开展集中排查，逐一摸排场所人员居住情况，</w:t>
      </w:r>
      <w:r>
        <w:rPr>
          <w:rFonts w:hint="eastAsia" w:ascii="仿宋_GB2312" w:hAnsi="仿宋_GB2312" w:cs="仿宋_GB2312"/>
          <w:lang w:eastAsia="zh-CN"/>
        </w:rPr>
        <w:t>建立完善底数台</w:t>
      </w:r>
      <w:r>
        <w:rPr>
          <w:rFonts w:hint="eastAsia" w:ascii="仿宋_GB2312" w:hAnsi="仿宋_GB2312" w:cs="仿宋_GB2312"/>
          <w:lang w:val="en-US" w:eastAsia="zh-CN"/>
        </w:rPr>
        <w:t>账</w:t>
      </w:r>
      <w:bookmarkStart w:id="0" w:name="_GoBack"/>
      <w:bookmarkEnd w:id="0"/>
      <w:r>
        <w:rPr>
          <w:rFonts w:hint="eastAsia" w:ascii="仿宋_GB2312" w:hAnsi="仿宋_GB2312" w:cs="仿宋_GB2312"/>
          <w:lang w:eastAsia="zh-CN"/>
        </w:rPr>
        <w:t>；对辖区</w:t>
      </w:r>
      <w:r>
        <w:rPr>
          <w:rFonts w:hint="eastAsia" w:ascii="仿宋_GB2312" w:hAnsi="仿宋_GB2312" w:eastAsia="仿宋_GB2312" w:cs="仿宋_GB2312"/>
        </w:rPr>
        <w:t>弱势群体开展入户走访，提示火灾风险</w:t>
      </w:r>
      <w:r>
        <w:rPr>
          <w:rFonts w:hint="eastAsia" w:ascii="仿宋_GB2312" w:hAnsi="仿宋_GB2312" w:cs="仿宋_GB231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</w:rPr>
        <w:t>建立排查隐患清单，</w:t>
      </w:r>
      <w:r>
        <w:rPr>
          <w:rFonts w:hint="eastAsia" w:ascii="仿宋_GB2312" w:hAnsi="仿宋_GB2312" w:cs="仿宋_GB2312"/>
          <w:lang w:eastAsia="zh-CN"/>
        </w:rPr>
        <w:t>督促问题</w:t>
      </w:r>
      <w:r>
        <w:rPr>
          <w:rFonts w:hint="eastAsia" w:ascii="仿宋_GB2312" w:hAnsi="仿宋_GB2312" w:eastAsia="仿宋_GB2312" w:cs="仿宋_GB2312"/>
        </w:rPr>
        <w:t>隐患</w:t>
      </w:r>
      <w:r>
        <w:rPr>
          <w:rFonts w:hint="eastAsia" w:ascii="仿宋_GB2312" w:hAnsi="仿宋_GB2312" w:cs="仿宋_GB2312"/>
          <w:lang w:eastAsia="zh-CN"/>
        </w:rPr>
        <w:t>整改；</w:t>
      </w:r>
      <w:r>
        <w:rPr>
          <w:rFonts w:hint="eastAsia" w:ascii="仿宋_GB2312" w:hAnsi="仿宋_GB2312" w:eastAsia="仿宋_GB2312" w:cs="仿宋_GB2312"/>
        </w:rPr>
        <w:t>结合工作实际</w:t>
      </w:r>
      <w:r>
        <w:rPr>
          <w:rFonts w:hint="eastAsia" w:ascii="仿宋_GB2312" w:hAnsi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开展多种形式的消防安全宣传教育活动，提升民众消防安全意识。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83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cs="仿宋_GB2312"/>
          <w:b/>
          <w:bCs/>
          <w:lang w:eastAsia="zh-CN"/>
        </w:rPr>
        <w:t>属地各派出所</w:t>
      </w:r>
      <w:r>
        <w:rPr>
          <w:rFonts w:hint="eastAsia" w:ascii="仿宋_GB2312" w:hAnsi="仿宋_GB2312" w:cs="仿宋_GB2312"/>
          <w:b w:val="0"/>
          <w:bCs w:val="0"/>
          <w:lang w:eastAsia="zh-CN"/>
        </w:rPr>
        <w:t>按照《消防监督检查规定》（公安部第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120号令）和《天津市公安派出所消防监督检查规定》等要求，履行相关消防安全责任，对管辖权限的单位实施日常消防监督检查和问题督促整改，开展消防宣传教育。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83" w:firstLineChars="200"/>
        <w:jc w:val="both"/>
        <w:textAlignment w:val="auto"/>
        <w:rPr>
          <w:rFonts w:hint="eastAsia" w:ascii="仿宋_GB2312" w:hAnsi="仿宋_GB2312" w:cs="仿宋_GB2312"/>
          <w:b/>
          <w:bCs/>
          <w:lang w:val="en-US" w:eastAsia="zh-CN"/>
        </w:rPr>
      </w:pPr>
      <w:r>
        <w:rPr>
          <w:rFonts w:hint="eastAsia" w:ascii="仿宋_GB2312" w:hAnsi="仿宋_GB2312" w:cs="仿宋_GB2312"/>
          <w:b/>
          <w:bCs/>
          <w:lang w:val="en-US" w:eastAsia="zh-CN"/>
        </w:rPr>
        <w:t>大港油田公司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负责对本单位及下属单位权属土地、房屋，根据专项行动方案要求开展专项排查，建立排查隐患清单，督促问题隐患整改。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提高政治站位。各行业部门要坚决落实“三管三必须”要求，制定具体管控措施，防范化解本行业领域火灾风险。各</w:t>
      </w:r>
      <w:r>
        <w:rPr>
          <w:rFonts w:hint="eastAsia" w:ascii="仿宋_GB2312" w:hAnsi="仿宋_GB2312" w:cs="仿宋_GB2312"/>
          <w:lang w:eastAsia="zh-CN"/>
        </w:rPr>
        <w:t>村居</w:t>
      </w:r>
      <w:r>
        <w:rPr>
          <w:rFonts w:hint="eastAsia" w:ascii="仿宋_GB2312" w:hAnsi="仿宋_GB2312" w:eastAsia="仿宋_GB2312" w:cs="仿宋_GB2312"/>
        </w:rPr>
        <w:t>要严格落实排查整治属地网格责任，依法开展日常检查，结合棚户区、老旧小区、城中村整治、城市更新提升等行动，加强隐患排查广度、深度和力度，以容易引发火灾风险、容易造成人员死亡的问题为治理目标和着力点，全面防范亡人火灾事故发生。</w:t>
      </w:r>
      <w:r>
        <w:rPr>
          <w:rFonts w:hint="eastAsia" w:ascii="仿宋_GB2312" w:hAnsi="仿宋_GB2312" w:eastAsia="仿宋_GB2312" w:cs="仿宋_GB2312"/>
          <w:lang w:eastAsia="zh-CN"/>
        </w:rPr>
        <w:t>属地各派出所</w:t>
      </w:r>
      <w:r>
        <w:rPr>
          <w:rFonts w:hint="eastAsia" w:ascii="仿宋_GB2312" w:hAnsi="仿宋_GB2312" w:cs="仿宋_GB2312"/>
          <w:lang w:eastAsia="zh-CN"/>
        </w:rPr>
        <w:t>要根据自身消防安全职责，共同推动各领域消防安全检查及其他工作。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此次专项整治不分阶段，</w:t>
      </w:r>
      <w:r>
        <w:rPr>
          <w:rFonts w:hint="eastAsia" w:ascii="仿宋_GB2312" w:hAnsi="仿宋_GB2312" w:cs="仿宋_GB2312"/>
          <w:lang w:eastAsia="zh-CN"/>
        </w:rPr>
        <w:t>各相关部门、村居、属地派出所</w:t>
      </w:r>
      <w:r>
        <w:rPr>
          <w:rFonts w:hint="eastAsia" w:ascii="仿宋_GB2312" w:hAnsi="仿宋_GB2312" w:eastAsia="仿宋_GB2312" w:cs="仿宋_GB2312"/>
        </w:rPr>
        <w:t>，对沿街店面逐一敲门入户摸清人员居住情况，严禁违规住人，督促及时清理可燃杂物，更换不合格的电气线路和电气产品，改正不良用火用电习惯。建立专项治理工作台账和隐患清单，对违规住人、违规电动车充电、疏散条件不足的场所要逐一登记造册，</w:t>
      </w:r>
      <w:r>
        <w:rPr>
          <w:rFonts w:hint="eastAsia" w:ascii="仿宋_GB2312" w:hAnsi="仿宋_GB2312" w:cs="仿宋_GB2312"/>
          <w:lang w:eastAsia="zh-CN"/>
        </w:rPr>
        <w:t>对重大消防问题要及时同属地派出所和街</w:t>
      </w:r>
      <w:r>
        <w:rPr>
          <w:rFonts w:hint="eastAsia" w:ascii="仿宋_GB2312" w:hAnsi="仿宋_GB2312" w:cs="仿宋_GB2312"/>
          <w:lang w:val="en-US" w:eastAsia="zh-CN"/>
        </w:rPr>
        <w:t>道</w:t>
      </w:r>
      <w:r>
        <w:rPr>
          <w:rFonts w:hint="eastAsia" w:ascii="仿宋_GB2312" w:hAnsi="仿宋_GB2312" w:cs="仿宋_GB2312"/>
          <w:lang w:eastAsia="zh-CN"/>
        </w:rPr>
        <w:t>相关部门联系。</w:t>
      </w:r>
      <w:r>
        <w:rPr>
          <w:rFonts w:hint="eastAsia" w:ascii="仿宋_GB2312" w:hAnsi="仿宋_GB2312" w:eastAsia="仿宋_GB2312" w:cs="仿宋_GB2312"/>
          <w:b/>
          <w:bCs/>
        </w:rPr>
        <w:t>要坚决杜绝“前店后宅、下店上宅”现象，一经发现违规住人的一律强制搬离;对违规设置广告牌、护栏遮挡外窗的，一律强令拆除:对疏散条件不足的，特别是在居民、村民家中有生产经营行为的，一律增设逃生通道，对电动自行车违规停放充电的，一律当场整改。</w:t>
      </w:r>
      <w:r>
        <w:rPr>
          <w:rFonts w:hint="eastAsia" w:ascii="仿宋_GB2312" w:hAnsi="仿宋_GB2312" w:eastAsia="仿宋_GB2312" w:cs="仿宋_GB2312"/>
        </w:rPr>
        <w:t>治理过程中要进一步加强火灾早期预警防范技防措施，同步推广普及安装独立式感烟报警探测器、简易喷淋等消防设施，提升场所火灾早期预警和处置能力。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开展宣传警示。各部门、</w:t>
      </w:r>
      <w:r>
        <w:rPr>
          <w:rFonts w:hint="eastAsia" w:ascii="仿宋_GB2312" w:hAnsi="仿宋_GB2312" w:cs="仿宋_GB2312"/>
          <w:lang w:eastAsia="zh-CN"/>
        </w:rPr>
        <w:t>村居</w:t>
      </w:r>
      <w:r>
        <w:rPr>
          <w:rFonts w:hint="eastAsia" w:ascii="仿宋_GB2312" w:hAnsi="仿宋_GB2312" w:eastAsia="仿宋_GB2312" w:cs="仿宋_GB2312"/>
        </w:rPr>
        <w:t>要以“10·8”“10·12”两起火灾为警为戒，依法履行消防宣传培训职责，时刻提醒群众警惕消防安全，同时广泛组织开展灭火逃生自救演练，提升全社会自防自救能力水平。要采取发布通告、跟踪报道、专题访谈等多种形式，告知占用消防车道、堵塞疏散通道、“三合一”违规住人、违规用火用电、电动自行车违规停放充电等可能造成的严重后果，在全社会形成浓厚的消防宣传氛围。针对寡孤独、空巢老人、病残人员等弱势群体，要组织网格力量入户开展消防宣传提示协助排查家庭火灾隐患，手把手、面对面地宣讲消防安全知识不断提升消防安全素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  <w:lang w:eastAsia="zh-CN"/>
        </w:rPr>
        <w:t>此项工作已</w:t>
      </w:r>
      <w:r>
        <w:rPr>
          <w:rFonts w:hint="eastAsia" w:ascii="仿宋_GB2312" w:hAnsi="仿宋_GB2312" w:eastAsia="仿宋_GB2312" w:cs="仿宋_GB2312"/>
        </w:rPr>
        <w:t>纳入政府安全生产和消防工作考核巡查</w:t>
      </w:r>
      <w:r>
        <w:rPr>
          <w:rFonts w:hint="eastAsia" w:ascii="仿宋_GB2312" w:hAnsi="仿宋_GB2312" w:cs="仿宋_GB2312"/>
          <w:lang w:eastAsia="zh-CN"/>
        </w:rPr>
        <w:t>和</w:t>
      </w:r>
      <w:r>
        <w:rPr>
          <w:rFonts w:hint="eastAsia" w:ascii="仿宋_GB2312" w:hAnsi="仿宋_GB2312" w:eastAsia="仿宋_GB2312" w:cs="仿宋_GB2312"/>
        </w:rPr>
        <w:t>年度考核内容</w:t>
      </w:r>
      <w:r>
        <w:rPr>
          <w:rFonts w:hint="eastAsia" w:ascii="仿宋_GB2312" w:hAnsi="仿宋_GB2312" w:cs="仿宋_GB2312"/>
          <w:lang w:eastAsia="zh-CN"/>
        </w:rPr>
        <w:t>。请各单位、部门务必提高重视，</w:t>
      </w:r>
      <w:r>
        <w:rPr>
          <w:rFonts w:hint="eastAsia" w:ascii="仿宋_GB2312" w:hAnsi="仿宋_GB2312" w:eastAsia="仿宋_GB2312" w:cs="仿宋_GB2312"/>
        </w:rPr>
        <w:t>加强日常调度和督导检查，</w:t>
      </w:r>
      <w:r>
        <w:rPr>
          <w:rFonts w:hint="eastAsia" w:ascii="仿宋_GB2312" w:hAnsi="仿宋_GB2312" w:cs="仿宋_GB2312"/>
          <w:lang w:eastAsia="zh-CN"/>
        </w:rPr>
        <w:t>街道办事处将</w:t>
      </w:r>
      <w:r>
        <w:rPr>
          <w:rFonts w:hint="eastAsia" w:ascii="仿宋_GB2312" w:hAnsi="仿宋_GB2312" w:eastAsia="仿宋_GB2312" w:cs="仿宋_GB2312"/>
        </w:rPr>
        <w:t>对工作进展慢、任务不落实</w:t>
      </w:r>
      <w:r>
        <w:rPr>
          <w:rFonts w:hint="eastAsia" w:ascii="仿宋_GB2312" w:hAnsi="仿宋_GB2312" w:cs="仿宋_GB2312"/>
          <w:lang w:eastAsia="zh-CN"/>
        </w:rPr>
        <w:t>的</w:t>
      </w:r>
      <w:r>
        <w:rPr>
          <w:rFonts w:hint="eastAsia" w:ascii="仿宋_GB2312" w:hAnsi="仿宋_GB2312" w:eastAsia="仿宋_GB2312" w:cs="仿宋_GB2312"/>
        </w:rPr>
        <w:t>予以通报</w:t>
      </w:r>
      <w:r>
        <w:rPr>
          <w:rFonts w:hint="eastAsia" w:ascii="仿宋_GB2312" w:hAnsi="仿宋_GB2312" w:cs="仿宋_GB231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12" w:firstLineChars="200"/>
        <w:jc w:val="both"/>
        <w:textAlignment w:val="auto"/>
        <w:rPr>
          <w:rFonts w:hint="eastAsia" w:ascii="仿宋_GB2312" w:hAnsi="仿宋_GB2312" w:cs="仿宋_GB2312"/>
          <w:w w:val="9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12" w:firstLineChars="200"/>
        <w:jc w:val="both"/>
        <w:textAlignment w:val="auto"/>
        <w:rPr>
          <w:rFonts w:hint="eastAsia" w:ascii="仿宋_GB2312" w:hAnsi="仿宋_GB2312" w:cs="仿宋_GB2312"/>
          <w:w w:val="9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12" w:firstLineChars="200"/>
        <w:jc w:val="both"/>
        <w:textAlignment w:val="auto"/>
        <w:rPr>
          <w:rFonts w:hint="eastAsia" w:ascii="仿宋_GB2312" w:hAnsi="仿宋_GB2312" w:cs="仿宋_GB2312"/>
          <w:w w:val="9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12" w:firstLineChars="200"/>
        <w:jc w:val="both"/>
        <w:textAlignment w:val="auto"/>
        <w:rPr>
          <w:rFonts w:hint="eastAsia" w:ascii="仿宋_GB2312" w:hAnsi="仿宋_GB2312" w:cs="仿宋_GB2312"/>
          <w:w w:val="9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12" w:firstLineChars="200"/>
        <w:jc w:val="center"/>
        <w:textAlignment w:val="auto"/>
        <w:rPr>
          <w:rFonts w:hint="eastAsia" w:ascii="仿宋_GB2312" w:hAnsi="仿宋_GB2312" w:cs="仿宋_GB2312"/>
          <w:w w:val="90"/>
          <w:lang w:val="en-US" w:eastAsia="zh-CN"/>
        </w:rPr>
      </w:pPr>
      <w:r>
        <w:rPr>
          <w:rFonts w:hint="eastAsia" w:ascii="仿宋_GB2312" w:hAnsi="仿宋_GB2312" w:cs="仿宋_GB2312"/>
          <w:w w:val="90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12" w:firstLineChars="200"/>
        <w:jc w:val="center"/>
        <w:textAlignment w:val="auto"/>
        <w:rPr>
          <w:rFonts w:hint="eastAsia" w:ascii="仿宋_GB2312" w:hAnsi="仿宋_GB2312" w:cs="仿宋_GB2312"/>
          <w:w w:val="9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12" w:firstLineChars="200"/>
        <w:jc w:val="both"/>
        <w:textAlignment w:val="auto"/>
        <w:rPr>
          <w:rFonts w:hint="default" w:ascii="仿宋_GB2312" w:hAnsi="仿宋_GB2312" w:cs="仿宋_GB2312"/>
          <w:w w:val="9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12" w:firstLineChars="200"/>
        <w:jc w:val="both"/>
        <w:textAlignment w:val="auto"/>
        <w:rPr>
          <w:rFonts w:hint="default" w:ascii="仿宋_GB2312" w:hAnsi="仿宋_GB2312" w:cs="仿宋_GB2312"/>
          <w:w w:val="9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12" w:firstLineChars="200"/>
        <w:jc w:val="both"/>
        <w:textAlignment w:val="auto"/>
        <w:rPr>
          <w:rFonts w:hint="default" w:ascii="仿宋_GB2312" w:hAnsi="仿宋_GB2312" w:cs="仿宋_GB2312"/>
          <w:w w:val="9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12" w:firstLineChars="200"/>
        <w:jc w:val="both"/>
        <w:textAlignment w:val="auto"/>
        <w:rPr>
          <w:rFonts w:hint="default" w:ascii="仿宋_GB2312" w:hAnsi="仿宋_GB2312" w:cs="仿宋_GB2312"/>
          <w:w w:val="9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12" w:firstLineChars="200"/>
        <w:jc w:val="both"/>
        <w:textAlignment w:val="auto"/>
        <w:rPr>
          <w:rFonts w:hint="default" w:ascii="仿宋_GB2312" w:hAnsi="仿宋_GB2312" w:cs="仿宋_GB2312"/>
          <w:w w:val="9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0"/>
      </w:pPr>
      <w:r>
        <w:separator/>
      </w:r>
    </w:p>
  </w:endnote>
  <w:endnote w:type="continuationSeparator" w:id="1">
    <w:p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8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49A8F7"/>
    <w:multiLevelType w:val="singleLevel"/>
    <w:tmpl w:val="AF49A8F7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4E26862C"/>
    <w:multiLevelType w:val="singleLevel"/>
    <w:tmpl w:val="4E2686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MDhiODQyMzU5NTU0ZTRkOGVjNzk5MmEzMTJiNGIifQ=="/>
  </w:docVars>
  <w:rsids>
    <w:rsidRoot w:val="00000000"/>
    <w:rsid w:val="05BE0786"/>
    <w:rsid w:val="06D6582D"/>
    <w:rsid w:val="0A9050C2"/>
    <w:rsid w:val="0F0B1EC8"/>
    <w:rsid w:val="133A3813"/>
    <w:rsid w:val="179B39DE"/>
    <w:rsid w:val="1EB0164A"/>
    <w:rsid w:val="1ED055A5"/>
    <w:rsid w:val="1EF328AA"/>
    <w:rsid w:val="1F811CDE"/>
    <w:rsid w:val="28573133"/>
    <w:rsid w:val="2AC139A6"/>
    <w:rsid w:val="328B0D3E"/>
    <w:rsid w:val="34463783"/>
    <w:rsid w:val="3676374D"/>
    <w:rsid w:val="49AD24EB"/>
    <w:rsid w:val="4BA5268C"/>
    <w:rsid w:val="4D6B4997"/>
    <w:rsid w:val="4D782049"/>
    <w:rsid w:val="53AE0572"/>
    <w:rsid w:val="58DA1D69"/>
    <w:rsid w:val="59B81E01"/>
    <w:rsid w:val="612F772B"/>
    <w:rsid w:val="633914DA"/>
    <w:rsid w:val="65F067BF"/>
    <w:rsid w:val="681C6B19"/>
    <w:rsid w:val="6C9765F8"/>
    <w:rsid w:val="71B31425"/>
    <w:rsid w:val="73ED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ind w:firstLine="400" w:firstLineChars="200"/>
    </w:pPr>
    <w:rPr>
      <w:rFonts w:ascii="Times New Roman" w:hAnsi="Times New Roman" w:eastAsia="仿宋_GB2312" w:cstheme="minorBidi"/>
      <w:sz w:val="34"/>
      <w:szCs w:val="34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方正小标宋简体"/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8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2023-08-28T07:48:00Z</dcterms:created>
  <dc:creator>Administrator</dc:creator>
  <cp:lastModifiedBy>Administrator</cp:lastModifiedBy>
  <cp:lastPrinted>2023-11-08T01:09:00Z</cp:lastPrinted>
  <dcterms:modified xsi:type="dcterms:W3CDTF">2024-01-18T01:31:12Z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B2C55C20590447139B2F18C45D986F00_13</vt:lpwstr>
  </property>
</Properties>
</file>