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jc w:val="center"/>
        <w:rPr>
          <w:rFonts w:hint="eastAsia" w:ascii="宋体" w:hAnsi="宋体" w:eastAsia="宋体" w:cs="宋体"/>
          <w:b/>
          <w:bCs w:val="0"/>
          <w:spacing w:val="4"/>
          <w:sz w:val="44"/>
          <w:szCs w:val="44"/>
          <w:highlight w:val="none"/>
        </w:rPr>
      </w:pPr>
      <w:r>
        <w:rPr>
          <w:rFonts w:hint="eastAsia" w:ascii="宋体" w:hAnsi="宋体" w:eastAsia="宋体" w:cs="宋体"/>
          <w:b/>
          <w:bCs w:val="0"/>
          <w:sz w:val="44"/>
          <w:szCs w:val="44"/>
          <w:highlight w:val="none"/>
          <w:lang w:val="en-US" w:eastAsia="zh-CN"/>
        </w:rPr>
        <w:t>海滨街工委</w:t>
      </w:r>
      <w:r>
        <w:rPr>
          <w:rFonts w:hint="eastAsia" w:ascii="宋体" w:hAnsi="宋体" w:eastAsia="宋体" w:cs="宋体"/>
          <w:b/>
          <w:bCs w:val="0"/>
          <w:sz w:val="44"/>
          <w:szCs w:val="44"/>
          <w:highlight w:val="none"/>
        </w:rPr>
        <w:t>关于</w:t>
      </w:r>
      <w:r>
        <w:rPr>
          <w:rFonts w:hint="eastAsia" w:ascii="宋体" w:hAnsi="宋体" w:eastAsia="宋体" w:cs="宋体"/>
          <w:b/>
          <w:bCs w:val="0"/>
          <w:sz w:val="44"/>
          <w:szCs w:val="44"/>
          <w:highlight w:val="none"/>
          <w:lang w:eastAsia="zh-CN"/>
        </w:rPr>
        <w:t>四届</w:t>
      </w:r>
      <w:r>
        <w:rPr>
          <w:rFonts w:hint="eastAsia" w:ascii="宋体" w:hAnsi="宋体" w:eastAsia="宋体" w:cs="宋体"/>
          <w:b/>
          <w:bCs w:val="0"/>
          <w:spacing w:val="4"/>
          <w:sz w:val="44"/>
          <w:szCs w:val="44"/>
          <w:highlight w:val="none"/>
        </w:rPr>
        <w:t>区委</w:t>
      </w:r>
      <w:r>
        <w:rPr>
          <w:rFonts w:hint="eastAsia" w:ascii="宋体" w:hAnsi="宋体" w:eastAsia="宋体" w:cs="宋体"/>
          <w:b/>
          <w:bCs w:val="0"/>
          <w:spacing w:val="4"/>
          <w:sz w:val="44"/>
          <w:szCs w:val="44"/>
          <w:highlight w:val="none"/>
          <w:lang w:eastAsia="zh-CN"/>
        </w:rPr>
        <w:t>第一轮第二批</w:t>
      </w:r>
    </w:p>
    <w:p>
      <w:pPr>
        <w:spacing w:line="600" w:lineRule="exact"/>
        <w:jc w:val="center"/>
        <w:rPr>
          <w:rFonts w:hint="eastAsia" w:ascii="宋体" w:hAnsi="宋体" w:eastAsia="宋体" w:cs="宋体"/>
          <w:b/>
          <w:bCs w:val="0"/>
          <w:spacing w:val="4"/>
          <w:sz w:val="44"/>
          <w:szCs w:val="44"/>
          <w:highlight w:val="none"/>
        </w:rPr>
      </w:pPr>
      <w:r>
        <w:rPr>
          <w:rFonts w:hint="eastAsia" w:ascii="宋体" w:hAnsi="宋体" w:eastAsia="宋体" w:cs="宋体"/>
          <w:b/>
          <w:bCs w:val="0"/>
          <w:spacing w:val="4"/>
          <w:sz w:val="44"/>
          <w:szCs w:val="44"/>
          <w:highlight w:val="none"/>
        </w:rPr>
        <w:t>巡察</w:t>
      </w:r>
      <w:r>
        <w:rPr>
          <w:rFonts w:hint="eastAsia" w:ascii="宋体" w:hAnsi="宋体" w:eastAsia="宋体" w:cs="宋体"/>
          <w:b/>
          <w:bCs w:val="0"/>
          <w:sz w:val="44"/>
          <w:szCs w:val="44"/>
          <w:highlight w:val="none"/>
          <w:lang w:eastAsia="zh-CN"/>
        </w:rPr>
        <w:t>集中</w:t>
      </w:r>
      <w:r>
        <w:rPr>
          <w:rFonts w:hint="eastAsia" w:ascii="宋体" w:hAnsi="宋体" w:eastAsia="宋体" w:cs="宋体"/>
          <w:b/>
          <w:bCs w:val="0"/>
          <w:sz w:val="44"/>
          <w:szCs w:val="44"/>
          <w:highlight w:val="none"/>
        </w:rPr>
        <w:t>整改</w:t>
      </w:r>
      <w:r>
        <w:rPr>
          <w:rFonts w:hint="eastAsia" w:ascii="宋体" w:hAnsi="宋体" w:eastAsia="宋体" w:cs="宋体"/>
          <w:b/>
          <w:bCs w:val="0"/>
          <w:sz w:val="44"/>
          <w:szCs w:val="44"/>
          <w:highlight w:val="none"/>
          <w:lang w:eastAsia="zh-CN"/>
        </w:rPr>
        <w:t>进展</w:t>
      </w:r>
      <w:r>
        <w:rPr>
          <w:rFonts w:hint="eastAsia" w:ascii="宋体" w:hAnsi="宋体" w:eastAsia="宋体" w:cs="宋体"/>
          <w:b/>
          <w:bCs w:val="0"/>
          <w:spacing w:val="8"/>
          <w:sz w:val="44"/>
          <w:szCs w:val="44"/>
          <w:highlight w:val="none"/>
        </w:rPr>
        <w:t>情况的通报</w:t>
      </w:r>
    </w:p>
    <w:p>
      <w:pPr>
        <w:spacing w:line="400" w:lineRule="exact"/>
        <w:jc w:val="center"/>
        <w:rPr>
          <w:rFonts w:hint="eastAsia" w:ascii="方正仿宋_GBK" w:eastAsia="方正仿宋_GBK"/>
          <w:b w:val="0"/>
          <w:bCs/>
          <w:spacing w:val="8"/>
          <w:sz w:val="32"/>
          <w:szCs w:val="32"/>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eastAsia="zh-CN"/>
        </w:rPr>
      </w:pPr>
      <w:r>
        <w:rPr>
          <w:rFonts w:hint="eastAsia" w:ascii="仿宋" w:hAnsi="仿宋" w:eastAsia="仿宋" w:cs="仿宋"/>
          <w:b/>
          <w:spacing w:val="0"/>
          <w:sz w:val="32"/>
          <w:szCs w:val="32"/>
          <w:highlight w:val="none"/>
          <w:lang w:eastAsia="zh-CN"/>
        </w:rPr>
        <w:t>按照区委巡察工作统一部署，202</w:t>
      </w:r>
      <w:r>
        <w:rPr>
          <w:rFonts w:hint="eastAsia" w:ascii="仿宋" w:hAnsi="仿宋" w:eastAsia="仿宋" w:cs="仿宋"/>
          <w:b/>
          <w:spacing w:val="0"/>
          <w:sz w:val="32"/>
          <w:szCs w:val="32"/>
          <w:highlight w:val="none"/>
          <w:lang w:val="en-US" w:eastAsia="zh-CN"/>
        </w:rPr>
        <w:t>2</w:t>
      </w:r>
      <w:r>
        <w:rPr>
          <w:rFonts w:hint="eastAsia" w:ascii="仿宋" w:hAnsi="仿宋" w:eastAsia="仿宋" w:cs="仿宋"/>
          <w:b/>
          <w:spacing w:val="0"/>
          <w:sz w:val="32"/>
          <w:szCs w:val="32"/>
          <w:highlight w:val="none"/>
          <w:lang w:eastAsia="zh-CN"/>
        </w:rPr>
        <w:t>年</w:t>
      </w:r>
      <w:r>
        <w:rPr>
          <w:rFonts w:hint="eastAsia" w:ascii="仿宋" w:hAnsi="仿宋" w:eastAsia="仿宋" w:cs="仿宋"/>
          <w:b/>
          <w:spacing w:val="0"/>
          <w:sz w:val="32"/>
          <w:szCs w:val="32"/>
          <w:highlight w:val="none"/>
          <w:lang w:val="en-US" w:eastAsia="zh-CN"/>
        </w:rPr>
        <w:t>8</w:t>
      </w:r>
      <w:r>
        <w:rPr>
          <w:rFonts w:hint="eastAsia" w:ascii="仿宋" w:hAnsi="仿宋" w:eastAsia="仿宋" w:cs="仿宋"/>
          <w:b/>
          <w:spacing w:val="0"/>
          <w:sz w:val="32"/>
          <w:szCs w:val="32"/>
          <w:highlight w:val="none"/>
          <w:lang w:eastAsia="zh-CN"/>
        </w:rPr>
        <w:t>月</w:t>
      </w:r>
      <w:r>
        <w:rPr>
          <w:rFonts w:hint="eastAsia" w:ascii="仿宋" w:hAnsi="仿宋" w:eastAsia="仿宋" w:cs="仿宋"/>
          <w:b/>
          <w:spacing w:val="0"/>
          <w:sz w:val="32"/>
          <w:szCs w:val="32"/>
          <w:highlight w:val="none"/>
          <w:lang w:val="en-US" w:eastAsia="zh-CN"/>
        </w:rPr>
        <w:t>1</w:t>
      </w:r>
      <w:r>
        <w:rPr>
          <w:rFonts w:hint="eastAsia" w:ascii="仿宋" w:hAnsi="仿宋" w:eastAsia="仿宋" w:cs="仿宋"/>
          <w:b/>
          <w:spacing w:val="0"/>
          <w:sz w:val="32"/>
          <w:szCs w:val="32"/>
          <w:highlight w:val="none"/>
          <w:lang w:eastAsia="zh-CN"/>
        </w:rPr>
        <w:t>日至</w:t>
      </w:r>
      <w:r>
        <w:rPr>
          <w:rFonts w:hint="eastAsia" w:ascii="仿宋" w:hAnsi="仿宋" w:eastAsia="仿宋" w:cs="仿宋"/>
          <w:b/>
          <w:spacing w:val="0"/>
          <w:sz w:val="32"/>
          <w:szCs w:val="32"/>
          <w:highlight w:val="none"/>
          <w:lang w:val="en-US" w:eastAsia="zh-CN"/>
        </w:rPr>
        <w:t>9</w:t>
      </w:r>
      <w:r>
        <w:rPr>
          <w:rFonts w:hint="eastAsia" w:ascii="仿宋" w:hAnsi="仿宋" w:eastAsia="仿宋" w:cs="仿宋"/>
          <w:b/>
          <w:spacing w:val="0"/>
          <w:sz w:val="32"/>
          <w:szCs w:val="32"/>
          <w:highlight w:val="none"/>
          <w:lang w:eastAsia="zh-CN"/>
        </w:rPr>
        <w:t>月</w:t>
      </w:r>
      <w:r>
        <w:rPr>
          <w:rFonts w:hint="eastAsia" w:ascii="仿宋" w:hAnsi="仿宋" w:eastAsia="仿宋" w:cs="仿宋"/>
          <w:b/>
          <w:spacing w:val="0"/>
          <w:sz w:val="32"/>
          <w:szCs w:val="32"/>
          <w:highlight w:val="none"/>
          <w:lang w:val="en-US" w:eastAsia="zh-CN"/>
        </w:rPr>
        <w:t>14</w:t>
      </w:r>
      <w:r>
        <w:rPr>
          <w:rFonts w:hint="eastAsia" w:ascii="仿宋" w:hAnsi="仿宋" w:eastAsia="仿宋" w:cs="仿宋"/>
          <w:b/>
          <w:spacing w:val="0"/>
          <w:sz w:val="32"/>
          <w:szCs w:val="32"/>
          <w:highlight w:val="none"/>
          <w:lang w:eastAsia="zh-CN"/>
        </w:rPr>
        <w:t>日，区委巡察</w:t>
      </w:r>
      <w:r>
        <w:rPr>
          <w:rFonts w:hint="eastAsia" w:ascii="仿宋" w:hAnsi="仿宋" w:eastAsia="仿宋" w:cs="仿宋"/>
          <w:b/>
          <w:spacing w:val="0"/>
          <w:sz w:val="32"/>
          <w:szCs w:val="32"/>
          <w:highlight w:val="none"/>
          <w:lang w:val="en-US" w:eastAsia="zh-CN"/>
        </w:rPr>
        <w:t>二</w:t>
      </w:r>
      <w:r>
        <w:rPr>
          <w:rFonts w:hint="eastAsia" w:ascii="仿宋" w:hAnsi="仿宋" w:eastAsia="仿宋" w:cs="仿宋"/>
          <w:b/>
          <w:spacing w:val="0"/>
          <w:sz w:val="32"/>
          <w:szCs w:val="32"/>
          <w:highlight w:val="none"/>
          <w:lang w:eastAsia="zh-CN"/>
        </w:rPr>
        <w:t>组对</w:t>
      </w:r>
      <w:r>
        <w:rPr>
          <w:rFonts w:hint="eastAsia" w:ascii="仿宋" w:hAnsi="仿宋" w:eastAsia="仿宋" w:cs="仿宋"/>
          <w:b/>
          <w:spacing w:val="0"/>
          <w:sz w:val="32"/>
          <w:szCs w:val="32"/>
          <w:highlight w:val="none"/>
          <w:lang w:val="en-US" w:eastAsia="zh-CN"/>
        </w:rPr>
        <w:t>海滨街</w:t>
      </w:r>
      <w:r>
        <w:rPr>
          <w:rFonts w:hint="eastAsia" w:ascii="仿宋" w:hAnsi="仿宋" w:eastAsia="仿宋" w:cs="仿宋"/>
          <w:b/>
          <w:spacing w:val="0"/>
          <w:sz w:val="32"/>
          <w:szCs w:val="32"/>
          <w:highlight w:val="none"/>
          <w:lang w:eastAsia="zh-CN"/>
        </w:rPr>
        <w:t>开展了常规巡察，并于</w:t>
      </w:r>
      <w:r>
        <w:rPr>
          <w:rFonts w:hint="eastAsia" w:ascii="仿宋" w:hAnsi="仿宋" w:eastAsia="仿宋" w:cs="仿宋"/>
          <w:b/>
          <w:spacing w:val="0"/>
          <w:sz w:val="32"/>
          <w:szCs w:val="32"/>
          <w:highlight w:val="none"/>
          <w:lang w:val="en-US" w:eastAsia="zh-CN"/>
        </w:rPr>
        <w:t>11</w:t>
      </w:r>
      <w:r>
        <w:rPr>
          <w:rFonts w:hint="eastAsia" w:ascii="仿宋" w:hAnsi="仿宋" w:eastAsia="仿宋" w:cs="仿宋"/>
          <w:b/>
          <w:spacing w:val="0"/>
          <w:sz w:val="32"/>
          <w:szCs w:val="32"/>
          <w:highlight w:val="none"/>
          <w:lang w:eastAsia="zh-CN"/>
        </w:rPr>
        <w:t>月</w:t>
      </w:r>
      <w:r>
        <w:rPr>
          <w:rFonts w:hint="eastAsia" w:ascii="仿宋" w:hAnsi="仿宋" w:eastAsia="仿宋" w:cs="仿宋"/>
          <w:b/>
          <w:spacing w:val="0"/>
          <w:sz w:val="32"/>
          <w:szCs w:val="32"/>
          <w:highlight w:val="none"/>
          <w:lang w:val="en-US" w:eastAsia="zh-CN"/>
        </w:rPr>
        <w:t>3</w:t>
      </w:r>
      <w:r>
        <w:rPr>
          <w:rFonts w:hint="eastAsia" w:ascii="仿宋" w:hAnsi="仿宋" w:eastAsia="仿宋" w:cs="仿宋"/>
          <w:b/>
          <w:spacing w:val="0"/>
          <w:sz w:val="32"/>
          <w:szCs w:val="32"/>
          <w:highlight w:val="none"/>
          <w:lang w:eastAsia="zh-CN"/>
        </w:rPr>
        <w:t>日反馈了巡察意见。按照巡察工作有关要求，现将巡察集中整改进展情况予以公布。</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sz w:val="32"/>
          <w:szCs w:val="32"/>
          <w:highlight w:val="none"/>
          <w:lang w:eastAsia="zh-CN"/>
        </w:rPr>
        <w:t>一、</w:t>
      </w:r>
      <w:r>
        <w:rPr>
          <w:rFonts w:hint="eastAsia" w:ascii="黑体" w:hAnsi="黑体" w:eastAsia="黑体" w:cs="黑体"/>
          <w:b/>
          <w:spacing w:val="0"/>
          <w:sz w:val="32"/>
          <w:szCs w:val="32"/>
          <w:highlight w:val="none"/>
          <w:lang w:val="en-US" w:eastAsia="zh-CN"/>
        </w:rPr>
        <w:t>组织落实巡察整改</w:t>
      </w:r>
      <w:r>
        <w:rPr>
          <w:rFonts w:hint="eastAsia" w:ascii="黑体" w:hAnsi="黑体" w:eastAsia="黑体" w:cs="黑体"/>
          <w:b/>
          <w:spacing w:val="0"/>
          <w:sz w:val="32"/>
          <w:szCs w:val="32"/>
          <w:highlight w:val="none"/>
          <w:lang w:eastAsia="zh-CN"/>
        </w:rPr>
        <w:t>情况</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收到反馈意见后，</w:t>
      </w:r>
      <w:r>
        <w:rPr>
          <w:rFonts w:hint="eastAsia" w:ascii="仿宋" w:hAnsi="仿宋" w:eastAsia="仿宋" w:cs="仿宋"/>
          <w:b/>
          <w:spacing w:val="0"/>
          <w:sz w:val="32"/>
          <w:szCs w:val="32"/>
          <w:highlight w:val="none"/>
          <w:lang w:eastAsia="zh-CN"/>
        </w:rPr>
        <w:t>街工委高度重视，坚决贯彻落实区委巡察要求，立即召开专题会议对提出的整改意见深入学习领会，切实提高认识、统一思想，成立</w:t>
      </w:r>
      <w:r>
        <w:rPr>
          <w:rFonts w:hint="eastAsia" w:ascii="仿宋" w:hAnsi="仿宋" w:eastAsia="仿宋" w:cs="仿宋"/>
          <w:b/>
          <w:spacing w:val="0"/>
          <w:sz w:val="32"/>
          <w:szCs w:val="32"/>
          <w:highlight w:val="none"/>
          <w:lang w:val="en-US" w:eastAsia="zh-CN"/>
        </w:rPr>
        <w:t>了</w:t>
      </w:r>
      <w:r>
        <w:rPr>
          <w:rFonts w:hint="eastAsia" w:ascii="仿宋" w:hAnsi="仿宋" w:eastAsia="仿宋" w:cs="仿宋"/>
          <w:b/>
          <w:spacing w:val="0"/>
          <w:sz w:val="32"/>
          <w:szCs w:val="32"/>
          <w:highlight w:val="none"/>
          <w:lang w:eastAsia="zh-CN"/>
        </w:rPr>
        <w:t>海滨街巡察整改工作领导小组，</w:t>
      </w:r>
      <w:r>
        <w:rPr>
          <w:rFonts w:hint="eastAsia" w:ascii="仿宋" w:hAnsi="仿宋" w:eastAsia="仿宋" w:cs="仿宋"/>
          <w:b/>
          <w:spacing w:val="0"/>
          <w:sz w:val="32"/>
          <w:szCs w:val="32"/>
          <w:highlight w:val="none"/>
          <w:lang w:val="en-US" w:eastAsia="zh-CN"/>
        </w:rPr>
        <w:t>对反馈问题进行任务分解分工，</w:t>
      </w:r>
      <w:r>
        <w:rPr>
          <w:rFonts w:hint="eastAsia" w:ascii="仿宋" w:hAnsi="仿宋" w:eastAsia="仿宋" w:cs="仿宋"/>
          <w:b/>
          <w:spacing w:val="0"/>
          <w:sz w:val="32"/>
          <w:szCs w:val="32"/>
          <w:highlight w:val="none"/>
          <w:lang w:eastAsia="zh-CN"/>
        </w:rPr>
        <w:t>对问题整改清单、任务清单和责任清单“三个清单”进行了细化，本着对存在的问题真改彻改和立行立改的原则，对反馈意见中指出的问题进行了深入剖析，认真查找问题根源，制定了切实可行的整改方案，狠抓责任落实，</w:t>
      </w:r>
      <w:r>
        <w:rPr>
          <w:rFonts w:hint="eastAsia" w:ascii="仿宋" w:hAnsi="仿宋" w:eastAsia="仿宋" w:cs="仿宋"/>
          <w:b/>
          <w:spacing w:val="0"/>
          <w:sz w:val="32"/>
          <w:szCs w:val="32"/>
          <w:highlight w:val="none"/>
          <w:lang w:val="en-US" w:eastAsia="zh-CN"/>
        </w:rPr>
        <w:t>并在整改期间多次听取整改问题进展情况，及时研究解决突出问题。</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sz w:val="32"/>
          <w:szCs w:val="32"/>
          <w:highlight w:val="none"/>
          <w:lang w:eastAsia="zh-CN"/>
        </w:rPr>
        <w:t>二、反馈问题整改落实情况</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方正仿宋_GBK" w:hAnsi="方正仿宋_GBK" w:eastAsia="方正仿宋_GBK" w:cs="方正仿宋_GBK"/>
          <w:b/>
          <w:spacing w:val="0"/>
          <w:sz w:val="32"/>
          <w:szCs w:val="32"/>
          <w:highlight w:val="none"/>
          <w:u w:val="none"/>
          <w:lang w:eastAsia="zh-CN"/>
        </w:rPr>
      </w:pPr>
      <w:r>
        <w:rPr>
          <w:rFonts w:hint="eastAsia" w:ascii="仿宋" w:hAnsi="仿宋" w:eastAsia="仿宋" w:cs="仿宋"/>
          <w:b/>
          <w:spacing w:val="0"/>
          <w:kern w:val="2"/>
          <w:sz w:val="32"/>
          <w:szCs w:val="32"/>
          <w:highlight w:val="none"/>
          <w:lang w:val="en-US" w:eastAsia="zh-CN" w:bidi="ar-SA"/>
        </w:rPr>
        <w:t>海滨街严格按照区委巡察反馈指出的问题和意见建议，逐一落细落实，既全面抓好每项整改任务，又扭住最关键最要害的问题深化整改，切实推动问题整改落地见效。街道工委书记带头领办重点难点问题整改，主动协调大港油田公司和相关职能部门协助整改，区级职能部门多次深入海滨街具体指导、督促相关问题整改，并提出了针对性的指导意见和整改举措。</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eastAsia="zh-CN"/>
        </w:rPr>
      </w:pPr>
      <w:r>
        <w:rPr>
          <w:rFonts w:hint="eastAsia" w:ascii="楷体" w:hAnsi="楷体" w:eastAsia="楷体" w:cs="楷体"/>
          <w:b/>
          <w:spacing w:val="0"/>
          <w:sz w:val="32"/>
          <w:szCs w:val="32"/>
          <w:highlight w:val="none"/>
          <w:lang w:eastAsia="zh-CN"/>
        </w:rPr>
        <w:t>（</w:t>
      </w:r>
      <w:r>
        <w:rPr>
          <w:rFonts w:hint="eastAsia" w:ascii="楷体" w:hAnsi="楷体" w:eastAsia="楷体" w:cs="楷体"/>
          <w:b/>
          <w:spacing w:val="0"/>
          <w:sz w:val="32"/>
          <w:szCs w:val="32"/>
          <w:highlight w:val="none"/>
          <w:lang w:val="en-US" w:eastAsia="zh-CN"/>
        </w:rPr>
        <w:t>一</w:t>
      </w:r>
      <w:r>
        <w:rPr>
          <w:rFonts w:hint="eastAsia" w:ascii="楷体" w:hAnsi="楷体" w:eastAsia="楷体" w:cs="楷体"/>
          <w:b/>
          <w:spacing w:val="0"/>
          <w:sz w:val="32"/>
          <w:szCs w:val="32"/>
          <w:highlight w:val="none"/>
          <w:lang w:eastAsia="zh-CN"/>
        </w:rPr>
        <w:t>）关于</w:t>
      </w:r>
      <w:r>
        <w:rPr>
          <w:rFonts w:hint="eastAsia" w:ascii="楷体" w:hAnsi="楷体" w:eastAsia="楷体" w:cs="楷体"/>
          <w:b/>
          <w:spacing w:val="0"/>
          <w:sz w:val="32"/>
          <w:szCs w:val="32"/>
          <w:highlight w:val="none"/>
          <w:lang w:val="en-US" w:eastAsia="zh-CN"/>
        </w:rPr>
        <w:t>学习贯彻习近平新时代中国特色社会主义思想不够深入，统筹推进产城融合石油新城高质量发展存在差距</w:t>
      </w:r>
      <w:r>
        <w:rPr>
          <w:rFonts w:hint="eastAsia" w:ascii="楷体" w:hAnsi="楷体" w:eastAsia="楷体" w:cs="楷体"/>
          <w:b/>
          <w:spacing w:val="0"/>
          <w:sz w:val="32"/>
          <w:szCs w:val="32"/>
          <w:highlight w:val="none"/>
          <w:lang w:eastAsia="zh-CN"/>
        </w:rPr>
        <w:t>问题的整改情况</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eastAsia="zh-CN"/>
        </w:rPr>
      </w:pPr>
      <w:r>
        <w:rPr>
          <w:rFonts w:hint="eastAsia" w:ascii="仿宋" w:hAnsi="仿宋" w:eastAsia="仿宋" w:cs="仿宋"/>
          <w:b/>
          <w:spacing w:val="0"/>
          <w:sz w:val="32"/>
          <w:szCs w:val="32"/>
          <w:highlight w:val="none"/>
          <w:lang w:eastAsia="zh-CN"/>
        </w:rPr>
        <w:t>（</w:t>
      </w:r>
      <w:r>
        <w:rPr>
          <w:rFonts w:hint="eastAsia" w:ascii="仿宋" w:hAnsi="仿宋" w:eastAsia="仿宋" w:cs="仿宋"/>
          <w:b/>
          <w:spacing w:val="8"/>
          <w:sz w:val="32"/>
          <w:szCs w:val="32"/>
          <w:highlight w:val="none"/>
          <w:lang w:eastAsia="zh-CN"/>
        </w:rPr>
        <w:t>1</w:t>
      </w:r>
      <w:r>
        <w:rPr>
          <w:rFonts w:hint="eastAsia" w:ascii="仿宋" w:hAnsi="仿宋" w:eastAsia="仿宋" w:cs="仿宋"/>
          <w:b/>
          <w:spacing w:val="0"/>
          <w:sz w:val="32"/>
          <w:szCs w:val="32"/>
          <w:highlight w:val="none"/>
          <w:lang w:eastAsia="zh-CN"/>
        </w:rPr>
        <w:t>）针对政治站位不够高，以新发展理念推动街域经济发展缺乏主动性</w:t>
      </w:r>
      <w:r>
        <w:rPr>
          <w:rFonts w:hint="eastAsia" w:ascii="仿宋" w:hAnsi="仿宋" w:eastAsia="仿宋" w:cs="仿宋"/>
          <w:b/>
          <w:spacing w:val="0"/>
          <w:sz w:val="32"/>
          <w:szCs w:val="32"/>
          <w:highlight w:val="none"/>
          <w:lang w:val="en-US" w:eastAsia="zh-CN"/>
        </w:rPr>
        <w:t>的</w:t>
      </w:r>
      <w:r>
        <w:rPr>
          <w:rFonts w:hint="eastAsia" w:ascii="仿宋" w:hAnsi="仿宋" w:eastAsia="仿宋" w:cs="仿宋"/>
          <w:b/>
          <w:spacing w:val="0"/>
          <w:sz w:val="32"/>
          <w:szCs w:val="32"/>
          <w:highlight w:val="none"/>
          <w:lang w:eastAsia="zh-CN"/>
        </w:rPr>
        <w:t>问题，深入贯彻落实党的二十大精神和区委区政府关于</w:t>
      </w:r>
      <w:r>
        <w:rPr>
          <w:rFonts w:hint="eastAsia" w:ascii="仿宋" w:hAnsi="仿宋" w:eastAsia="仿宋" w:cs="仿宋"/>
          <w:b/>
          <w:spacing w:val="0"/>
          <w:sz w:val="32"/>
          <w:szCs w:val="32"/>
          <w:highlight w:val="none"/>
          <w:lang w:val="en-US" w:eastAsia="zh-CN"/>
        </w:rPr>
        <w:t>高质量发展的</w:t>
      </w:r>
      <w:r>
        <w:rPr>
          <w:rFonts w:hint="eastAsia" w:ascii="仿宋" w:hAnsi="仿宋" w:eastAsia="仿宋" w:cs="仿宋"/>
          <w:b/>
          <w:spacing w:val="0"/>
          <w:sz w:val="32"/>
          <w:szCs w:val="32"/>
          <w:highlight w:val="none"/>
          <w:lang w:eastAsia="zh-CN"/>
        </w:rPr>
        <w:t>部署要求，进一步增强创新意识，立足自身区位优势、资源禀赋和产业定位，</w:t>
      </w:r>
      <w:r>
        <w:rPr>
          <w:rFonts w:hint="eastAsia" w:ascii="仿宋" w:hAnsi="仿宋" w:eastAsia="仿宋" w:cs="仿宋"/>
          <w:b/>
          <w:spacing w:val="0"/>
          <w:sz w:val="32"/>
          <w:szCs w:val="32"/>
          <w:highlight w:val="none"/>
          <w:lang w:val="en-US" w:eastAsia="zh-CN"/>
        </w:rPr>
        <w:t>促进辖区经济及社会健康发展</w:t>
      </w:r>
      <w:r>
        <w:rPr>
          <w:rFonts w:hint="eastAsia" w:ascii="仿宋" w:hAnsi="仿宋" w:eastAsia="仿宋" w:cs="仿宋"/>
          <w:b/>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eastAsia="zh-CN"/>
        </w:rPr>
        <w:t>一是扎实</w:t>
      </w:r>
      <w:r>
        <w:rPr>
          <w:rFonts w:hint="eastAsia" w:ascii="仿宋" w:hAnsi="仿宋" w:eastAsia="仿宋" w:cs="仿宋"/>
          <w:b/>
          <w:spacing w:val="0"/>
          <w:sz w:val="32"/>
          <w:szCs w:val="32"/>
          <w:highlight w:val="none"/>
          <w:lang w:val="en-US" w:eastAsia="zh-CN"/>
        </w:rPr>
        <w:t>贯彻</w:t>
      </w:r>
      <w:r>
        <w:rPr>
          <w:rFonts w:hint="eastAsia" w:ascii="仿宋" w:hAnsi="仿宋" w:eastAsia="仿宋" w:cs="仿宋"/>
          <w:b/>
          <w:spacing w:val="0"/>
          <w:sz w:val="32"/>
          <w:szCs w:val="32"/>
          <w:highlight w:val="none"/>
          <w:lang w:eastAsia="zh-CN"/>
        </w:rPr>
        <w:t>落实上级决策部署。</w:t>
      </w:r>
      <w:r>
        <w:rPr>
          <w:rFonts w:hint="eastAsia" w:ascii="仿宋" w:hAnsi="仿宋" w:eastAsia="仿宋" w:cs="仿宋"/>
          <w:b/>
          <w:spacing w:val="0"/>
          <w:sz w:val="32"/>
          <w:szCs w:val="32"/>
          <w:highlight w:val="none"/>
          <w:lang w:val="en-US" w:eastAsia="zh-CN"/>
        </w:rPr>
        <w:t>海滨街工委认真学习中央、市委、区委关于经济工作的有关精神，特别是对照天津实施的十项行动，认真找差距、找潜力、定思路、定举措；从组建精干招商队伍，提升服务质量入手，积极推进招商引资工作，着力提高大厅服务质量；结合我街区位优势，加强经济发展新动能培育，积极推进投资6亿元石油石化产业链末端废旧资源循环利用项目开工，打造我街新的经济增长极。充分利用资源，不断壮大战略性新兴产业，引导并加强产业链企业合作融合发展、聚集发展，通过抓项目落地投产，保证了街域经济的稳步增长。2022年区级税收收入、规上工业总产值与主要经济指标实现了两位数增长；积极与谷川联行、宣怀管理两家平台公司对接，对港西工业园区及区域内企业聚集区资源、产业定位等情况进行宣传推介，已初步达成合作意向，近期就产业链项目进行实地考察；加强企业走访服务活动，推动惠企惠民政策落实，街道领导落实包保企业制度，及时收集解决企业发展中的问题，针对远景包装新扩生产线问题，积极与区各部门沟通，共同研究解决方法。解决了天瑞水泥政策性资金支持问题，将推动企业新材料研发进程；结合我街地处油田腹地实际，加快推动大港油田创业路片区城市更新项目，目前已经报区规资局进行审核修改，计划纳入区城市更新项目库。按照街产业定位，设立装备制造、石化新材料、废旧资源循环利用，新能源产业链招商专班，明确工作职责，制定了全员招商工作管理办法，建立了招商工作目标等有关考核机制；建立了项目谋划、筹备、开工、在建、竣工库，项目实施挂牌督办专人负责的工作机制，进一步提高项目开工率、投资完成率、资金到位率、按期竣工率。加强园区基础设施功能提升，先后投入1300余万元，实施园区勘察、测绘等基础设施建设前期工作；完成8000万元政府债发行工作，园区照明、交通、绿化、给排水、燃气、热力等基础配套设施建设正在推进之中；1107万元的园区专项资金已完成事前绩效评价，等待资金拨付；已建立自贸创新海滨街实践基地，选聘3名工作人员已到岗到位，工作架构已建立，有关制度正在优化完善；已与多家央企国企建立对接渠道，正在根据合作共建方案研判合作单位。</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合理科学统筹谋划街道发展。按照街道“十四五”规划，街工委提出了“发挥区位优势，推进新产业培育；优化产业升级，做强制造业，利用资源优势，壮大战新产业；服务于大港油田南港工业区，融入产业链发展”的发展思路。加快推进投资6.6亿元的两个项目开工，推进6个签约项目落地，积极推进新能源项目开发建设，不断加大先进制造业、新材料、新能源的比重，进一步优化产业结构。2022年战新产业实现工业产值2.9亿元，同比增长12%，占全街产值的8%。2022年认定国家高新技术企业11家，重新认定18家，总计55家，占工业企业的16%。按照滨海新区高质量发展支撑引领行动要求，严格贯彻落实街镇高质量发展等政策措施，结合海滨街实际情况和产业定位、布局，激发企业加大研发投入，提升技术含量和创新型改造；积极促成天津润沃供水有限公司和污水处理项目与中油龙域科技有限公司油污泥处理项目融合发展，互促互进，加快环保产业成长速度；积极扶持天瑞水泥等新材料项目的研发、推广和应用，提升新材料产业的新格局；积极鼓励企业进行技术改造，渤海装备中成机械公司生产线技术改造项目已接近尾声，对提升产业数字化、智能化水平，带动产业创新升级具有重大意义。街道加强与大港油田的沟通合作，通过民企与大港油田合作方式解决了龙域科技、磐竹科技用地问题，两个项目正在办理前置手续；以土地租赁和招拍挂等方式进行协商，力促6个项目落地，突破了项目落地难问题；积极推进大港油田闲置资源的盘活工作，引进的宽途产业管理和弘博教育产业两个项目已完成签约，目前两个项目正在建设中；盘活街道闲置房产，打造原港西街办公楼楼宇经济，完成注册企业7家。</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扎实有力推进乡村全面振兴。推动乡村振兴战略规划，重视旅游、文化、教育、健康养老等产业的占比，提高乡村经济融合度和竞争力；积极探索科研与教学融合实践之路，目前已对联盟村-研学实践拓展教育基地实施方案进行重新修改，并已参加市农委组织的专家评审。按照区农委部署安排，定期开展村集体资产清查工作，做到实体资产明晰；已布置农村资产流转进入农交所平台工作，目前沙井子二村1700亩耕地流转项目已顺利通过农交所进行流转，进一步增加了集体收入，另有四个村虾池流转、土地流转等项目正在履行手续。结合各村资源禀赋和产业基础，突出特色化发展、差异化竞争，六个村均已制定“一村一品”方案，积极谋求集体经济发展新模式，明确了以工业园区发展、沿街商业打造、特色种养殖等为主导产业的发展方向；针对蓝莓特色项目，我街工作人员正抓紧与区规自局和区水务局相关部门沟通协调，抓紧推动土地备案工作。</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w:t>
      </w:r>
      <w:r>
        <w:rPr>
          <w:rFonts w:hint="default" w:ascii="仿宋" w:hAnsi="仿宋" w:eastAsia="仿宋" w:cs="仿宋"/>
          <w:b/>
          <w:spacing w:val="0"/>
          <w:sz w:val="32"/>
          <w:szCs w:val="32"/>
          <w:highlight w:val="none"/>
          <w:lang w:val="en" w:eastAsia="zh-CN"/>
        </w:rPr>
        <w:t>2</w:t>
      </w:r>
      <w:r>
        <w:rPr>
          <w:rFonts w:hint="eastAsia" w:ascii="仿宋" w:hAnsi="仿宋" w:eastAsia="仿宋" w:cs="仿宋"/>
          <w:b/>
          <w:spacing w:val="0"/>
          <w:sz w:val="32"/>
          <w:szCs w:val="32"/>
          <w:highlight w:val="none"/>
          <w:lang w:val="en-US" w:eastAsia="zh-CN"/>
        </w:rPr>
        <w:t>）针对以人民为中心的思想树得不牢，推进基层社会治理未下足“绣花”功夫问题，坚持人民至上，紧紧围绕群众所思所盼，用心用情用力为民办实事、办好事。</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重点解决群众反映难点问题。经协调，大港油田公司已与区城管委签订了照明设施移交协议，照明设施已经检修完毕，街道将继续发挥纽带作用，时刻关注，协调相关部门及时维护修缮道路设施，提升为民服务质效。街工委进一步树牢“以人民为中心”的发展理思想，畅通各类民生问题反馈渠道，细化规范12345工单办理流程，压实部门责任；定期对群众反馈问题进行梳理分析，针对反映较多的问题交由分管班子成员专题研究，特别重要的由街道主要领导提级办理；加强群众关切问题的持续跟踪，建立工作台账，形成工作闭环，构建部门检查、工委督察、纪检监察的督办机制。责令原物业服务公司退出限时限地物业服务，由商户自行协商更换新的物业服务公司；积极督促新物业服务公司与商户进行协商，共同研究收费事宜，确保合情合理；积极督促该公司组织员工进行上岗培训，优化服务举措，提升服务质量；海滨街综合执法大队和公共安全办加强对限时限地点位市容环境卫生、食品卫生、消防安全等方面检查力度，及时发现问题，并督促整改。</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全力全面推进美丽滨城建设。对河道进行全面排查，封堵雨排口、清理打捞河道内及岸边垃圾、河内渔具等；对胡同内堆放的杂物进行清理；加大宣传力度，向周边村民宣传环保知识，对非法排污、乱倒垃圾等行为进行劝导；已将远景一村、远景三村纳入区农村人居环境示范村整治计划，目前正在积极推进；组织人员对板厂河违建进行了清理，并开展日常监管巡察。督促未苫盖的砂石料存放点进行苫盖，目前已整改完毕。同时，加大了巡查力度，发现未苫盖点位立即进行苫盖，对拒不整改的点位及时上报环境局执法。通过文明城区实地测评档案的检查来推动社区对文明城区复审工作的自查整改，进一步加强督促新时代文明实践、精神文明等活动的开展，依据区月度反馈督促社区继续落实文明城区工作中出现的问题，及时对区长效办反馈的问题进行整改，进一步加强日常巡查督导工作，及时协调物业配合整改，目前存在问题均已基本改善。</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坚持树立法治思维法律意识。已去除14辆网格巡查车辆警灯标识，恢复车辆原貌；重新规划网格巡查车行车路线，避开主要干道和密集线路，沿着小区和油田厂区便道前往空旷区域；高度重视法治意识教育工作，将法制教育与日常工作相结合，凡提交工委会集体决策的议题事先经法律审核，通过后再提交会议研究，</w:t>
      </w:r>
      <w:bookmarkStart w:id="0" w:name="_GoBack"/>
      <w:bookmarkEnd w:id="0"/>
      <w:r>
        <w:rPr>
          <w:rFonts w:hint="eastAsia" w:ascii="仿宋" w:hAnsi="仿宋" w:eastAsia="仿宋" w:cs="仿宋"/>
          <w:b/>
          <w:spacing w:val="0"/>
          <w:sz w:val="32"/>
          <w:szCs w:val="32"/>
          <w:highlight w:val="none"/>
          <w:lang w:val="en-US" w:eastAsia="zh-CN"/>
        </w:rPr>
        <w:t>进一步增强法治意识。对综合治理中心负责同志进行批评教育，坚决杜绝相关问题发生。</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针对底线思维意识不强，安全责任未压实问题。认真履职尽责，强化底线思维，加强各领域隐患排查。</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增强安全风险意识。针对管道下堆物问题，城管大队和安监中队已要求违法相对人自行清理堆物，并与大港油田工业服务公司联系，对此处点位进行圈挡封闭作业；通过吹哨机制已组织区相关部门、食品集团开会研究，由滨城商贸委托第三方进行房屋鉴定，对所属D级危房的平房进行封闭，劝说人员撤离；充分发挥燃气巡检员、社区网格员“两大员”的积极作用，持续开展燃气管线隐患巡检整改，加大燃气管线保护力度的宣传，制作警示标识，保障居民用气安全。</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切实堵塞隐患漏洞。组织召开了各村居书记专题会议，安排部署非法加油治理相关工作，提出明确治理要求；下发非法加油加气治理通知，全方位开展排查治理，完善了非法加油加气联防联控治理机制，明确各自工作职能，全面排查治理；加大安全法治宣传力度，开展多种形式、多种方式的宣传教育活动，积极引入群众监督，鼓励群众举报不法行为，坚决打击非法加油加气现象。海滨街执法大队对巡查中发现的废品收购点进行了清理，并举一反三，沿高压线及周边继续巡查，对发现的具有安全隐患的点位一并进行了清理。</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紧抓交通安全责任。街道会同港南交警大队对近三年的交通事故情况进行了梳理，进一步发挥街交安委的作用，加强成员单位联合共治，持续加强宣传，及时排查道路隐患，减少交通事故的发生。2022年累计开展交通宣传1693次，开展文明劝导183次，发放交通安全宣传单11950份。经协调，交通指示灯已正常工作，指出的问题已整改完毕，街道加强道路设施的检查关注，发现问题及时向相关职能部门反馈并修缮，确保随坏随修，定期检修。</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针对落实审计整改不到位问题。强化责任意识，对发现及反馈问题第一时间跟踪督办，举一反三、立行立改。</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一是落实审计整改不到位。经协调，审计指出的沙井子三村地热井已办理采矿许可证和取水许可证，相关手续已办理完毕。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（二）</w:t>
      </w:r>
      <w:r>
        <w:rPr>
          <w:rFonts w:hint="eastAsia" w:ascii="楷体" w:hAnsi="楷体" w:eastAsia="楷体" w:cs="楷体"/>
          <w:b/>
          <w:spacing w:val="0"/>
          <w:sz w:val="32"/>
          <w:szCs w:val="32"/>
          <w:highlight w:val="none"/>
          <w:lang w:eastAsia="zh-CN"/>
        </w:rPr>
        <w:t>关于履行全面从严治党</w:t>
      </w:r>
      <w:r>
        <w:rPr>
          <w:rFonts w:hint="eastAsia" w:ascii="楷体" w:hAnsi="楷体" w:eastAsia="楷体" w:cs="楷体"/>
          <w:b/>
          <w:spacing w:val="0"/>
          <w:sz w:val="32"/>
          <w:szCs w:val="32"/>
          <w:highlight w:val="none"/>
          <w:lang w:val="en-US" w:eastAsia="zh-CN"/>
        </w:rPr>
        <w:t>主体</w:t>
      </w:r>
      <w:r>
        <w:rPr>
          <w:rFonts w:hint="eastAsia" w:ascii="楷体" w:hAnsi="楷体" w:eastAsia="楷体" w:cs="楷体"/>
          <w:b/>
          <w:spacing w:val="0"/>
          <w:sz w:val="32"/>
          <w:szCs w:val="32"/>
          <w:highlight w:val="none"/>
          <w:lang w:eastAsia="zh-CN"/>
        </w:rPr>
        <w:t>责任不到位，重点领域问题频发、廉政风险突出问题的整改情况</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（1）针对一把手履行第一责任人责任有欠缺问题。强化纪检监察工委监督执纪作用，严格落实资金管理制度，加强制度执行力。</w:t>
      </w:r>
    </w:p>
    <w:p>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坚决抵制“好人主义”思想。组织各村居书记及科室工作人员召开专题会议，认真梳理各类慰问事项、人员范围，完善采购相关制度，开展采购业务培训，提高工作人员业务水平。认真反思问题，开展警示教育，提高工作人员思想认识，同时对原负责同志进行批评教育。进一步梳理借款账目，已收回应收借款32.4145万元，剩余借款正在组织各村及部门相关工作人员对历史账目进行逐笔梳理核对；根据梳理核对出的财务账目，分析借款原因，逐一进行账务处理或制定还款计划。严格落实相关项目采购规范文件，加强项目采购管理。</w:t>
      </w:r>
    </w:p>
    <w:p>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驰而不息强化作风建设。对考勤情况进行了监督抽查，通过架设录像机、签到检查科室出勤情况等方法增强工作人员组织纪律意识；完善街道考勤制度，加强机关工作人员对考勤制度的学习；组织部门负责人召开街道纪律整顿会议，重申工作纪律。</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（2）针对落实全面从严治党主体责任存在温差偏差问题。深入落实全面从严治党的各项举措，严格履行岗位职责，敢于追责问责。</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严格履行主体责任。完善了从严治党主体责任领导小组成员，明确了责任分工，认真落实全面从严治党主体责任内容。海滨街按照巡查组即知即改要求立即整改，已在幸福广场中石油加油站新办理九张加油卡，总计一张主卡11张副卡管理，并与新区纪委进行了对接，从2022年8月9日起切实落实一车一卡加油管理。</w:t>
      </w:r>
    </w:p>
    <w:p>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坚决执行八项规定精神。认真开展公务出行报销梳理自查，对超标准超范围报销的欠款进行清退，对原负责同志进行批评教育。已完成社区公务出行里程重新核定，严格按照有关规定执行，同时就相关财务制度进行汇编，对公务出行报销进行了再规范，严格审批关、报销关的管理。</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（3）针对街纪检监察工委监督执纪震慑作用未彰显问题。充分发挥纪检监察作用，强化日常监督，严格执纪问责。</w:t>
      </w:r>
    </w:p>
    <w:p>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从细从紧核查线索。组织集体研讨，深刻反省遗漏问题线索、缺少关键要件反映出的办案不严谨、业务能力低的问题，认真学习执纪执法工作规则，重新研判案件线索，严格调取材料，补充说明材料1份、医疗档案2份，与上级有关部门沟通案件办理工作6次。</w:t>
      </w:r>
    </w:p>
    <w:p>
      <w:pPr>
        <w:pStyle w:val="2"/>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二是从严从实执纪问责。在原工作基础上，赴大港医院、海滨人民医院、大港婚姻登记所等地调取违纪党员涉案材料，针对时间矛盾问题和主要量纪因素启动补证工作。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三是持续强化日常监督。强化了基层联络机制，在工作中引导基层联络员监督员主动提供问题线索。定期组织基层纪检人员培训学习，提升履职能力。紧盯热点和大项任务筹划内部巡察督查计划，着力拓展信访线索来源渠道，确保监督工作质效稳步提升。开展回头看，将各部门风险点整改情况重新梳理，并发回原部门重审，警示提醒其维持长效，封堵整而不改、改而不善的漏洞。</w:t>
      </w:r>
    </w:p>
    <w:p>
      <w:pPr>
        <w:pStyle w:val="2"/>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（4）针对重点领域廉洁风险防控缺位问题。严格落实相关制度规定，做到监督关口前移，压紧压实部门责任。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一是严管严控项目招标采购。通过各种会议对严格执行“三重一大”等决策程序进行再次强调，对各部门上会流程进行培训，严格把关合同审批和签字关口。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严格监管公有资产出租。组织专门人员对街道目前对外出租的9处房屋土地和租赁合同进行了梳理排查和现场勘察，同时就拖欠租金等相关问题向天津勤达律师事务所开展了多轮法律咨询和研讨，结合以上问题的历史经纬，根据律所的法律咨询意见，本着“依法依规，分类有序，精准有力”的原则，街工委多次研究，坚决开展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（三）</w:t>
      </w:r>
      <w:r>
        <w:rPr>
          <w:rFonts w:hint="eastAsia" w:ascii="楷体" w:hAnsi="楷体" w:eastAsia="楷体" w:cs="楷体"/>
          <w:b/>
          <w:spacing w:val="0"/>
          <w:sz w:val="32"/>
          <w:szCs w:val="32"/>
          <w:highlight w:val="none"/>
          <w:lang w:eastAsia="zh-CN"/>
        </w:rPr>
        <w:t>关于落实新时代党的组织路线存在短板，提升基层党组织的组织力、引领力、战斗力用力不足问题的整改情况</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kern w:val="2"/>
          <w:sz w:val="32"/>
          <w:szCs w:val="32"/>
          <w:highlight w:val="none"/>
          <w:lang w:val="en-US" w:eastAsia="zh-CN" w:bidi="ar-SA"/>
        </w:rPr>
        <w:t>（1）针</w:t>
      </w:r>
      <w:r>
        <w:rPr>
          <w:rFonts w:hint="eastAsia" w:ascii="仿宋" w:hAnsi="仿宋" w:eastAsia="仿宋" w:cs="仿宋"/>
          <w:b/>
          <w:spacing w:val="0"/>
          <w:sz w:val="32"/>
          <w:szCs w:val="32"/>
          <w:highlight w:val="none"/>
          <w:lang w:val="en-US" w:eastAsia="zh-CN"/>
        </w:rPr>
        <w:t>对领导班子“头雁”作用发挥不明显问题。充分发挥领导班子带头示范作用，坚持以上率下，严格落实规章制度。</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践行党建引领共同缔造理念。加强党建引领社会治理的专题教育，分析党建引领社会治理、城市发展存在的不足；结合驻街央企优势特点，健全完善街道“大工委”架构机制，使其在统筹街域发展中更好发挥统领作用；春节期间，街道领导班子全员整体出动，走访了中石油大港油田、大港石化、采油五厂、井下作业等驻街央企，共同研究了促进街域经济发展的思路，分头对接服务经济发展的具体事项，重点调研区域化党建思路举措。</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强化党对统战工作的领导。通过与民主党派区委会联系沟通，对在海滨街的民主党派人士名册进行了更新，对人大代表、政协委员、工商联代表、侨联委员、非公经济界人士名册进行了更新。同时，建立了《海滨街领导干部与重点统战对象联系交友制度》，细化了包保联络机制，明确具体包联领导、联系对象、联系要求。</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班子成员带头履行党员义务。将涉及的问题材料退回修改处理，对机关各支部材料重新审核检查，问题材料均已修改完成。街工委书记在支部会议作检讨，并进行深刻反思，将涉及的领导班子成员材料退回重新撰写，重新上报审查，并对涉及人员运用第一种形态批评，督促其严格落实“一岗双责”和“双重组织生活”。</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kern w:val="2"/>
          <w:sz w:val="32"/>
          <w:szCs w:val="32"/>
          <w:highlight w:val="none"/>
          <w:lang w:val="en-US" w:eastAsia="zh-CN" w:bidi="ar-SA"/>
        </w:rPr>
        <w:t>（2）针对</w:t>
      </w:r>
      <w:r>
        <w:rPr>
          <w:rFonts w:hint="eastAsia" w:ascii="仿宋" w:hAnsi="仿宋" w:eastAsia="仿宋" w:cs="仿宋"/>
          <w:b/>
          <w:spacing w:val="0"/>
          <w:sz w:val="32"/>
          <w:szCs w:val="32"/>
          <w:highlight w:val="none"/>
          <w:lang w:val="en-US" w:eastAsia="zh-CN"/>
        </w:rPr>
        <w:t>人员队伍建设管理问题较为突出问题。强化干部队伍建设，严格执行干部选拔任用规定，营造风清气正的良好环境。</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严格执行干部选拔任用规定。严把选人用人关，开展谈心谈话活动，尤其对新提拔干部、新招录公务员进行廉政思想政治教育，全面了解、掌握人员情况；已针对廉政风险开展回头看，全面警示领导班子成员、各部门强化廉政意识，重视敏感问题和关键环节，着手完善廉政档案、风险台账等基础材料；今后选人用人过程中，将廉政风险评估作为前置环节，严防带病上岗、带病提拔。利用专门时间学习了《公务员回避规定》、《党政领导干部选拔任用工作条例》，促进了干部选拔任用工作的规范化建设，对分管领导班子成员进行批评教育。</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坚持统筹谋划干部队伍建设。街工委认真梳理干部队伍学历、年龄、能力三个现状，从优化年龄机构、素质结构、能力机构出发，大力培养、使用干部，特别是注重年轻干部的选拔任用，2022年共提拔正科级领导干部5名，职级晋升37人；事业编职员等级晋升8人，并经组织推荐提拔1名事业正科级干部，年轻干部储备数量得到了提升，机关干部工作热情得到激发，干部队伍结构进一步优化。定期将分析街道干部情况作为工委会议议题，研究干部梯队建设，关心关注年轻干部思想动态，结合实际做好相关调研工作。</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default" w:ascii="方正仿宋_GBK" w:hAnsi="方正仿宋_GBK" w:eastAsia="方正仿宋_GBK" w:cs="方正仿宋_GBK"/>
          <w:b/>
          <w:bCs w:val="0"/>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加强对多种用工的日常管理。分领域、分工种、分类别对多种用工人员进行了全面梳理，完善了《海滨街多种用工管理办法》，对多种用工人员管理权限、考勤制度、履职考核进行细化，做到管理不遗漏一人，使用人岗相宜，履职不力合理清退。利用专门时间学习了《居委会事业编干部管理办法》，加强居委会事业编人员管理。</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kern w:val="2"/>
          <w:sz w:val="32"/>
          <w:szCs w:val="32"/>
          <w:highlight w:val="none"/>
          <w:lang w:val="en-US" w:eastAsia="zh-CN" w:bidi="ar-SA"/>
        </w:rPr>
        <w:t>（3）针</w:t>
      </w:r>
      <w:r>
        <w:rPr>
          <w:rFonts w:hint="eastAsia" w:ascii="仿宋" w:hAnsi="仿宋" w:eastAsia="仿宋" w:cs="仿宋"/>
          <w:b/>
          <w:spacing w:val="0"/>
          <w:sz w:val="32"/>
          <w:szCs w:val="32"/>
          <w:highlight w:val="none"/>
          <w:lang w:val="en-US" w:eastAsia="zh-CN"/>
        </w:rPr>
        <w:t>对基层党组织建设虚化弱化问题。严格落实党建巡查制度，及时发现问题并抓好整改，持续提升党建工作水平。</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树牢抓好党建是最大政绩的观念。约谈相关社区党组织书记，强化党建组织意识，认真筹划党建年度工作；对社区“大党委”委员进行及时调整，进一步规范“大党委”日常工作；定期开展党建巡查，及时发现问题并指导改进，开展党建业务集中培训和轮训，推动社区整体党建工作水平不断提高。对39个社区书记进行了集体约谈，强化支部建设重要性认识；开展“三会一课”专题培训，重点学习了《党支部工作条例》，进一步明确党支部“三会一课”、组织生活会、主题党日、党员评议等工作的规范要求；定期对社区支部日常工作开展了专项巡察，对制度坚持不经常、工作运行不规范、建设效果不明显的社区党组织负责人进行问责。</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严格党员日常教育管理。采取所有支部、全体党员集中开展警示教育的方法，提高思想认识，增强自律意识；坚持经常性提醒教育，由社区党委及各支部对所辖党员开展日常提醒，做到警钟长鸣，使其严守底线红线、不踩违法高压线。落实基层党建要情通报机制，早发现、早掌握涉及基层党组织和党员的涉访涉诉、违规违纪等情况，重要情况及时向区委组织部报告。将加强党员作风建设纳入了组织生活会对照检查清单，以支部为单位对党员开展了日常性经常性监督教育，党员工作纪律意识得到提升；持续做好监督工作，对故意向组织隐瞒个人信息等涉嫌违纪问题开展纪律核查。</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三是严格落实党费管理责任。对39个社区进行了《关于中国共产党党费收缴、使用和管理的规定》 专题培训，对党费标准核定、党费收缴时限、党费使用管理进行重点培训；深刻汲取教训，坚持抓早、抓长、抓规范，严格落实党费收缴相关要求，进一步提高党费使用、收缴和管理始终在规范化、制度化水平。按照党费管理规定，在核对人员和金额的基础上，已将现金全额存入街道党费账户，由党建办安排专人按月对各支部党费收缴汇款凭证进行清查检查，督促各支部党费每月按时依照标准收缴，及时存入党费帐户，确保党费现金不在个人手中、不在社区存放。</w:t>
      </w:r>
    </w:p>
    <w:p>
      <w:pPr>
        <w:keepNext w:val="0"/>
        <w:keepLines w:val="0"/>
        <w:pageBreakBefore w:val="0"/>
        <w:widowControl w:val="0"/>
        <w:tabs>
          <w:tab w:val="left" w:pos="8040"/>
        </w:tabs>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bCs/>
          <w:color w:val="auto"/>
          <w:spacing w:val="0"/>
          <w:szCs w:val="32"/>
          <w:highlight w:val="none"/>
          <w:u w:val="none"/>
        </w:rPr>
      </w:pPr>
      <w:r>
        <w:rPr>
          <w:rFonts w:hint="eastAsia" w:ascii="黑体" w:hAnsi="黑体" w:eastAsia="黑体" w:cs="黑体"/>
          <w:b/>
          <w:spacing w:val="0"/>
          <w:sz w:val="32"/>
          <w:szCs w:val="32"/>
          <w:highlight w:val="none"/>
          <w:lang w:val="en-US" w:eastAsia="zh-CN"/>
        </w:rPr>
        <w:t>三、</w:t>
      </w:r>
      <w:r>
        <w:rPr>
          <w:rFonts w:hint="eastAsia" w:ascii="黑体" w:hAnsi="黑体" w:eastAsia="黑体" w:cs="黑体"/>
          <w:b/>
          <w:spacing w:val="0"/>
          <w:sz w:val="32"/>
          <w:szCs w:val="32"/>
          <w:highlight w:val="none"/>
          <w:lang w:eastAsia="zh-CN"/>
        </w:rPr>
        <w:t>存在的主要问题和进一步巩固深化整改成果的措施与计划安排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（一）存在的主要问题</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在推动问题整改过程中，对承担整改任务的班子成员压力传导不足，了解进展情况不经常，存在部署、提要求、听汇报多，现场察看、调取资料较少的情况。对于有些历史遗留问题，因时间跨度长、人员更迭频繁，在整改过程中面临沟通协调等方面的困难，在一定程度上影响问题整改进度和效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（二）进一步巩固深化整改成果的措施与计划安排</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深入学习贯彻习近平新时代中国特色社会主义思想，坚决落实区委、区政府大力发展街镇经济的决策部署，努力破解制约发展的瓶颈问题。不断巩固和扩大整改成果，形成相互衔接、相互配套、相互促进的长效工作机制，防止问题回潮反弹、隐形变异。牢牢抓住巡察整改契机，坚持将问题整改和推动全街重点工作紧密结合，认真履行“两个责任”。切实落实全面从严治党政治要求，加强党的组织建设，坚持党建引领、共同缔造，凝聚各方力量，进一步形成共建共治共享新局面。</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欢迎党员、干部、群众对巡察集中整改情况进行监督。如有意见建议，请及时向海滨街工委反映。联系电话：63193672；邮政信箱：海滨街道办事处大厅；电子邮箱：</w:t>
      </w:r>
      <w:r>
        <w:rPr>
          <w:rFonts w:hint="eastAsia" w:ascii="仿宋" w:hAnsi="仿宋" w:eastAsia="仿宋" w:cs="仿宋"/>
          <w:b/>
          <w:spacing w:val="0"/>
          <w:sz w:val="32"/>
          <w:szCs w:val="32"/>
          <w:highlight w:val="none"/>
          <w:lang w:val="en-US" w:eastAsia="zh-CN"/>
        </w:rPr>
        <w:fldChar w:fldCharType="begin"/>
      </w:r>
      <w:r>
        <w:rPr>
          <w:rFonts w:hint="eastAsia" w:ascii="仿宋" w:hAnsi="仿宋" w:eastAsia="仿宋" w:cs="仿宋"/>
          <w:b/>
          <w:spacing w:val="0"/>
          <w:sz w:val="32"/>
          <w:szCs w:val="32"/>
          <w:highlight w:val="none"/>
          <w:lang w:val="en-US" w:eastAsia="zh-CN"/>
        </w:rPr>
        <w:instrText xml:space="preserve"> HYPERLINK "mailto:bhhbjzhbgs@tj.gov.cn。" </w:instrText>
      </w:r>
      <w:r>
        <w:rPr>
          <w:rFonts w:hint="eastAsia" w:ascii="仿宋" w:hAnsi="仿宋" w:eastAsia="仿宋" w:cs="仿宋"/>
          <w:b/>
          <w:spacing w:val="0"/>
          <w:sz w:val="32"/>
          <w:szCs w:val="32"/>
          <w:highlight w:val="none"/>
          <w:lang w:val="en-US" w:eastAsia="zh-CN"/>
        </w:rPr>
        <w:fldChar w:fldCharType="separate"/>
      </w:r>
      <w:r>
        <w:rPr>
          <w:rFonts w:hint="eastAsia" w:ascii="仿宋" w:hAnsi="仿宋" w:eastAsia="仿宋" w:cs="仿宋"/>
          <w:b/>
          <w:spacing w:val="0"/>
          <w:sz w:val="32"/>
          <w:szCs w:val="32"/>
          <w:highlight w:val="none"/>
          <w:lang w:val="en-US" w:eastAsia="zh-CN"/>
        </w:rPr>
        <w:t>bhhbjzhbgs@tj.gov.cn。</w:t>
      </w:r>
      <w:r>
        <w:rPr>
          <w:rFonts w:hint="eastAsia" w:ascii="仿宋" w:hAnsi="仿宋" w:eastAsia="仿宋" w:cs="仿宋"/>
          <w:b/>
          <w:spacing w:val="0"/>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default"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 xml:space="preserve">             中共天津市滨海新区海滨街道工作委员会</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default"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 xml:space="preserve">                          </w:t>
      </w:r>
      <w:r>
        <w:rPr>
          <w:rFonts w:hint="default" w:ascii="仿宋" w:hAnsi="仿宋" w:eastAsia="仿宋" w:cs="仿宋"/>
          <w:b/>
          <w:spacing w:val="0"/>
          <w:sz w:val="32"/>
          <w:szCs w:val="32"/>
          <w:highlight w:val="none"/>
          <w:lang w:val="en-US" w:eastAsia="zh-CN"/>
        </w:rPr>
        <w:t>202</w:t>
      </w:r>
      <w:r>
        <w:rPr>
          <w:rFonts w:hint="eastAsia" w:ascii="仿宋" w:hAnsi="仿宋" w:eastAsia="仿宋" w:cs="仿宋"/>
          <w:b/>
          <w:spacing w:val="0"/>
          <w:sz w:val="32"/>
          <w:szCs w:val="32"/>
          <w:highlight w:val="none"/>
          <w:lang w:val="en-US" w:eastAsia="zh-CN"/>
        </w:rPr>
        <w:t>3年5月9日</w:t>
      </w:r>
    </w:p>
    <w:p/>
    <w:sectPr>
      <w:footerReference r:id="rId3" w:type="default"/>
      <w:pgSz w:w="11906" w:h="16838"/>
      <w:pgMar w:top="2155" w:right="1531" w:bottom="187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6 -</w:t>
    </w:r>
    <w:r>
      <w:rPr>
        <w:rFonts w:ascii="Times New Roman" w:hAnsi="Times New Roman" w:cs="Times New Roman"/>
        <w:b/>
        <w:sz w:val="28"/>
        <w:szCs w:val="28"/>
      </w:rPr>
      <w:fldChar w:fldCharType="end"/>
    </w:r>
  </w:p>
  <w:p>
    <w:pPr>
      <w:pStyle w:val="3"/>
      <w:rPr>
        <w:rFonts w:ascii="Times New Roman" w:hAnsi="Times New Roman" w:cs="Times New Roman"/>
        <w:b/>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DhiODQyMzU5NTU0ZTRkOGVjNzk5MmEzMTJiNGIifQ=="/>
  </w:docVars>
  <w:rsids>
    <w:rsidRoot w:val="75B05F81"/>
    <w:rsid w:val="1A6A40DD"/>
    <w:rsid w:val="2EAC6867"/>
    <w:rsid w:val="428B0580"/>
    <w:rsid w:val="4C577725"/>
    <w:rsid w:val="4F3127A6"/>
    <w:rsid w:val="75B0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580" w:lineRule="exact"/>
      <w:ind w:firstLine="632" w:firstLineChars="200"/>
      <w:textAlignment w:val="auto"/>
    </w:pPr>
    <w:rPr>
      <w:rFonts w:eastAsia="仿宋_GB2312"/>
      <w:kern w:val="32"/>
      <w:sz w:val="36"/>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8501</Words>
  <Characters>8601</Characters>
  <Lines>0</Lines>
  <Paragraphs>0</Paragraphs>
  <TotalTime>13</TotalTime>
  <ScaleCrop>false</ScaleCrop>
  <LinksUpToDate>false</LinksUpToDate>
  <CharactersWithSpaces>8641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2023-07-20T02:05:00Z</dcterms:created>
  <dc:creator>Administrator</dc:creator>
  <cp:lastModifiedBy>Administrator</cp:lastModifiedBy>
  <dcterms:modified xsi:type="dcterms:W3CDTF">2023-07-24T01:57:30Z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1C1FCF1DE75B4056AACD0CBCD5D4BBE7_11</vt:lpwstr>
  </property>
</Properties>
</file>