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杨家泊镇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年治超工作方案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为做好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治理超限超载工作，巩固安全生产专项整治三年行动成果，坚决贯彻落实市区两级安全生产工作要求，严厉打击超限超载车辆，特别是“双百”货车违法超限超载行为，有效遏制因货车违法超限超载引发的群死群伤交通事故发生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结合杨家泊镇实际情况和特点，制定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年度杨家泊镇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治超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工作方案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组织领导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为保障2023年度治超工作顺利开展，成立由镇长王丽艳同志任组长，武装部部长牛志宏同志、副镇长陈孟德同志任副组长，公共安全办公室、公共管理办公室、经济发展办公室、镇综合执法大队、网络信息与安全委员会办公室、财政办公室、13个行政村为成员的领导小组。领导小组下设办公室，办公室设在公共安全办公室，具体负责组织、协调、监督、指导日常治超工作，韩红坡同志任办公室主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工作目标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以有效落实《2023年天津市治超工作要点》为指引，全面加强车辆超限超载运输源头治理，巩固和扩大整改整治成果，通过加大对货运源头企业巡查宣教力度，协同配合交运、交管等相关责任部门共同开展治超工作，实现“双百”货车数量明显下降、因超限超载引发的交通事故明显下降的工作目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工作任务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强化源头治理，建立源头企业监管清单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积极探索源头治理网格化管理模式，组织建立“四类企业、四类场站”、建筑工地、大件生产、储存等企业监管清单。强化日常巡查工作，针对货源企业违法装卸行为，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配合交运、交管部门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组织开展源头治超专项治理行动。引导重点货运源头企业安装承重检测和视频监控设备，并接入治超信息系统平台实时监管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组织开展公路沿线等“二次配载”点的巡查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配合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交运、交管、市场等部门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开展货运源头装载卸载企业倒查工作，彻底从源头上遏制非法超限超载行为发生。（牵头部门：公共安全办公室 责任部门：各村、公共管理办公室、经济发展办公室、镇综合执法大队）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  <w:t>（二）加强乡村道路治超工作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严格落实好“路长制”相关要求，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配合交运、交管部门落实乡村道路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治超责任。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全面配合交运、交管部门落实乡村道路桥梁限载标志配置、交通管控等措施。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（牵头部门：公共管理办公室 责任部门：公共安全办公室、镇综合执法大队）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  <w:t>（三）大力开展治超宣传教育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  <w:t>深入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各村</w:t>
      </w:r>
      <w:r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  <w:t>企业，积极开展全方位、多形式治超宣传工作，利用报刊、电视、网络等新闻媒体和手机短信、微信等传播平台，加大治超相关法律、法规、政策和工作情况的宣传力度，发挥舆论导向和监督作用，抓好正反两方面典型，开展以案释法，以案促教，以案示警，及时回应社会对治超工作的关切，做到回复率、满意率100%，提高全社会对治超工作的认识、理解、支持。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  <w:t>牵头部门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：公共安全办公室</w:t>
      </w:r>
      <w:r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责任部门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：各村、镇综合执法大队、公共管理办公室、经济发展办公室、网信办）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  <w:t>提高认识，加强领导。要坚持人民至上、生命至上，充分认识治超工作的重要性和必要性，进一步加强组织领导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  <w:t>建立相应机构，层层落实责任和措施，确保本年度治超工作取得成效，切实扛起治超工作的安全责任和政治责任。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  <w:t>统筹兼顾，形成合力。各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责任科室要</w:t>
      </w:r>
      <w:r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  <w:t>服从命令，听从指挥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  <w:t>树立治超一盘棋的思想，坚持关口前移，双重防控，紧紧围绕治超工作重心，统筹落实安全生产责任制、道路交通安全责任制、生态环境保护责任制，形成同频共振、同向发力，齐抓共管的良好工作局面。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（三）及时总结经验，建立长效机制</w:t>
      </w:r>
      <w:r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  <w:t>。各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责任科室</w:t>
      </w:r>
      <w:r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  <w:t>要及时梳理总结经验做法，固化常态长效机制，对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治超工作中</w:t>
      </w:r>
      <w:r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  <w:t>遇到的实际问题，要加强分析研判，制定针对性措施，促进日常工作有效开展。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2023年4月2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C6E1DE-D07D-475F-80BE-995BA8F24D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CD715B5-52E1-496B-BDC6-9F98958530C0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A7B9BF16-3463-4FB4-86E3-DE77156D2D8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C5C7A4D-EAF4-451C-AB89-73001D7A391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632BDEE-44C9-4F4A-9705-4B9CC7C2E67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A72FDC"/>
    <w:multiLevelType w:val="singleLevel"/>
    <w:tmpl w:val="0FA72F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OTY4OGU5YjIyOWMzZTRjYTQzZjRhMTQ5MDc3NDUifQ=="/>
  </w:docVars>
  <w:rsids>
    <w:rsidRoot w:val="3C03220E"/>
    <w:rsid w:val="3C03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2023-05-08T01:23:00Z</dcterms:created>
  <dc:creator>刘佳欣</dc:creator>
  <cp:lastModifiedBy>刘佳欣</cp:lastModifiedBy>
  <dcterms:modified xsi:type="dcterms:W3CDTF">2023-05-08T01:24:19Z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6ADF47671CE3429696A389DE401B75F0_11</vt:lpwstr>
  </property>
</Properties>
</file>