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lang w:eastAsia="zh-CN"/>
        </w:rPr>
        <w:t>太平镇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年春季重大动物疫病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eastAsia" w:ascii="方正小标宋简体" w:hAnsi="新宋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集中防控行动方案</w:t>
      </w:r>
    </w:p>
    <w:p>
      <w:pPr>
        <w:shd w:val="solid" w:color="FFFFFF" w:fill="auto"/>
        <w:autoSpaceDN w:val="0"/>
        <w:ind w:firstLine="610"/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firstLine="61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为切实做好我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春季重大动物疫病集中防控工作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杜绝出现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非洲猪瘟等重大动物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即日起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在</w:t>
      </w: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组织开展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春季重大动物疫病集中防控行动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根据《2023年滨海新区动物疫病强制免疫计划》要求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结合我镇实际，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特制定本方案。</w:t>
      </w:r>
    </w:p>
    <w:p>
      <w:pPr>
        <w:shd w:val="solid" w:color="FFFFFF" w:fill="auto"/>
        <w:autoSpaceDN w:val="0"/>
        <w:spacing w:line="540" w:lineRule="exact"/>
        <w:ind w:firstLine="612"/>
        <w:rPr>
          <w:rFonts w:ascii="新宋体" w:hAnsi="新宋体" w:eastAsia="新宋体"/>
          <w:color w:val="000000"/>
          <w:sz w:val="18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hd w:val="clear" w:color="auto" w:fill="FFFFFF"/>
        </w:rPr>
        <w:t>一、工作目标</w:t>
      </w:r>
    </w:p>
    <w:p>
      <w:pPr>
        <w:shd w:val="solid" w:color="FFFFFF" w:fill="auto"/>
        <w:autoSpaceDN w:val="0"/>
        <w:spacing w:line="540" w:lineRule="exact"/>
        <w:ind w:firstLine="612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</w:rPr>
        <w:t>（一）总体目标。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坚持</w:t>
      </w: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全链防控、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系统</w:t>
      </w: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治理，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切实</w:t>
      </w: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抓好非洲猪瘟等重大动物疫病常态化防控，所有畜禽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应免尽免</w:t>
      </w:r>
      <w:r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  <w:t>，不发生非洲猪瘟等重大动物疫病的区域性暴发流行。</w:t>
      </w:r>
    </w:p>
    <w:p>
      <w:pPr>
        <w:shd w:val="solid" w:color="FFFFFF" w:fill="auto"/>
        <w:autoSpaceDN w:val="0"/>
        <w:spacing w:line="540" w:lineRule="exact"/>
        <w:ind w:firstLine="610"/>
        <w:rPr>
          <w:rFonts w:ascii="楷体" w:hAnsi="楷体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</w:rPr>
        <w:t>（二）具体目标。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1.严格落实“责任到人、措施到村到场到户”要求，疫情包保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排查实现全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覆盖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。对养殖场户排查覆盖面达到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配合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生猪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贩运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人员和车辆备案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管理；一旦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发生疫情，及时采取应急处置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措施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，不发生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区域性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暴发流行。</w:t>
      </w:r>
    </w:p>
    <w:p>
      <w:pPr>
        <w:shd w:val="solid" w:color="FFFFFF" w:fill="auto"/>
        <w:autoSpaceDN w:val="0"/>
        <w:spacing w:line="540" w:lineRule="exact"/>
        <w:ind w:firstLine="61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.高致病性禽流感、口蹄疫、小反刍兽疫和布鲁氏菌病的群体免疫密度达到在90%以上，所有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畜禽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应免尽免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免疫抗体合格率达到80%以上（布鲁氏菌病除外）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.免疫档案和“天津市放心猪肉质量安全全程监管可追溯系统”信息同步，出栏动物免疫耳标加施率达到100%。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按计划完成春防专项监测任务。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规模养殖场监管实现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全覆盖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，病死畜禽无害化处理实现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全覆盖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地检疫申报受理率达到100%。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除畜禽养殖场户正常出售和合法畜禽屠宰场屠宰以外</w:t>
      </w:r>
      <w:r>
        <w:rPr>
          <w:rFonts w:hint="eastAsia" w:ascii="Times New Roman" w:hAnsi="Times New Roman" w:eastAsia="仿宋_GB2312"/>
          <w:color w:val="000000"/>
          <w:sz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活禽销售和现场屠宰交易现象得到有效遏制。</w:t>
      </w:r>
    </w:p>
    <w:p>
      <w:pPr>
        <w:shd w:val="solid" w:color="FFFFFF" w:fill="auto"/>
        <w:autoSpaceDN w:val="0"/>
        <w:spacing w:line="540" w:lineRule="exact"/>
        <w:ind w:firstLine="61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二、主要工作任务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（一）全面做好非洲猪瘟防控工作。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按照《滨海新区控制重大动物疫病指挥部办公室＜关于进一步明确非洲猪瘟疫情防控和应急处置工作职责的通知＞》（津滨控办〔2018〕13号）职责分工，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坚持全链条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防控，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压实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非洲猪瘟常态化防控关键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措施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继续推进养殖场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生物安全提升，强化生物安全风险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防范意识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，提升生物安全防控条件和能力。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落实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包村包场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包户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责任制，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开展网格化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疫情排查，对生猪养殖场户实施全覆盖、多轮次排查，及时消除风险隐患。实施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非洲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猪瘟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入场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抽样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检测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掌握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病原分布状况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疫病流行趋势，及时发布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预警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和扶持养殖场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开展非洲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猪瘟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无疫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小区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建设。规范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实施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生猪产地检疫，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强化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生猪贩运人员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贩运车辆备案管理，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加强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运输车辆定位跟踪管理和清洗消毒，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严格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落实进津指定通道和生猪“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点对点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备案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严厉打击“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空壳洗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猪”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调运“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三无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生猪”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（无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检疫证明、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无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牲畜耳标、车辆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未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备案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）等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违法违规行为。</w:t>
      </w:r>
    </w:p>
    <w:p>
      <w:pPr>
        <w:pStyle w:val="8"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trike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（二）开展集中强制免疫。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根据《动物防疫法》“第十八条 乡镇人民政府、街道办事处组织本辖区饲养动物的单位和个人做好强制免疫，协助做好监督检查。”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之规定，落实“政府保密度，部门保质量”免疫工作责任制，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滨海新区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动物疫病强制免疫计划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》，组织开展高致病性禽流感、口蹄疫、小反刍兽疫和布鲁氏菌病集中强制免疫，</w:t>
      </w:r>
      <w:r>
        <w:rPr>
          <w:rFonts w:hint="eastAsia" w:ascii="仿宋_GB2312" w:eastAsia="仿宋_GB2312"/>
          <w:color w:val="000000"/>
          <w:sz w:val="32"/>
          <w:szCs w:val="32"/>
        </w:rPr>
        <w:t>群体免疫密度应保持在90%以上，应免畜禽免疫密度应达到100%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高致病性禽流感、口蹄疫和小反刍兽疫免疫抗体合格率保持在</w:t>
      </w:r>
      <w:r>
        <w:rPr>
          <w:rFonts w:ascii="仿宋_GB2312" w:eastAsia="PMingLiU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0%以上。</w:t>
      </w:r>
      <w:r>
        <w:rPr>
          <w:rFonts w:ascii="Times New Roman" w:hAnsi="Times New Roman" w:eastAsia="仿宋_GB2312"/>
          <w:color w:val="000000"/>
          <w:sz w:val="32"/>
          <w:szCs w:val="32"/>
        </w:rPr>
        <w:t>进一步规范免疫档案管理，严格按照《乡镇畜牧兽医站动物免疫档案管理办法》《动物防疫和畜产品质量安全监管平台管理办法》规定，做好免疫记录和信息录入工作。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春防集中免疫于</w:t>
      </w:r>
      <w:r>
        <w:rPr>
          <w:rFonts w:hint="eastAsia" w:ascii="仿宋_GB2312" w:eastAsia="仿宋_GB2312"/>
          <w:color w:val="000000"/>
          <w:sz w:val="32"/>
          <w:szCs w:val="32"/>
        </w:rPr>
        <w:t>4月1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（三）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加强疫情巡查和报告。</w:t>
      </w:r>
      <w:r>
        <w:rPr>
          <w:rFonts w:ascii="Times New Roman" w:hAnsi="Times New Roman" w:eastAsia="仿宋_GB2312"/>
          <w:color w:val="000000"/>
          <w:sz w:val="32"/>
          <w:szCs w:val="32"/>
        </w:rPr>
        <w:t>春防期间，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对辖区所有畜禽养殖场户进行防疫巡查，及时掌握强制免疫、病死动物无害化处理以及畜禽健康状况等情况。对畜禽监测阳性、异常发病死亡等事件，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及时开展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调查并及时报告。高度重视群众举报，第一时间安排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科室工作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赴现场进行核实、诊断，怀疑为重大动物疫情的，依法依规处置。密切关注国内外疫情动态，做好信息搜集和数据分析整理，定期开展疫情风险分析，提出防治指导意见。对发现的问题进行督促整改，消除疫情隐患。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春防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启动免疫进度和疫情巡查周报告制度，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各村每周上报非洲猪瘟周报表至镇农服中心。2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4月30日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每周四上午10点前，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镇农服中心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将本周的免疫进度和疫情排查情况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报区农业农村发展服务中心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 w:line="540" w:lineRule="exact"/>
        <w:ind w:firstLine="624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（四）加强</w:t>
      </w:r>
      <w:r>
        <w:rPr>
          <w:rFonts w:hint="eastAsia" w:ascii="楷体_GB2312" w:hAnsi="楷体" w:eastAsia="楷体_GB2312"/>
          <w:color w:val="000000"/>
          <w:sz w:val="32"/>
          <w:szCs w:val="32"/>
          <w:lang w:eastAsia="zh-CN"/>
        </w:rPr>
        <w:t>宣传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消毒和防疫管理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畜禽养殖单位和个人，做好场内定期清洗消毒。督促畜禽养殖场户做好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安全防控工作，强化饲养场户外围防控措施，坚决整治餐厨剩余物饲喂生猪违规行为，纠正水禽与旱禽混养现象，切实提高饲养场所生物安全水平。</w:t>
      </w:r>
    </w:p>
    <w:p>
      <w:pPr>
        <w:autoSpaceDE w:val="0"/>
        <w:autoSpaceDN w:val="0"/>
        <w:adjustRightInd w:val="0"/>
        <w:spacing w:line="540" w:lineRule="exact"/>
        <w:ind w:firstLine="646"/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color w:val="000000"/>
          <w:sz w:val="32"/>
          <w:szCs w:val="32"/>
          <w:lang w:eastAsia="zh-CN"/>
        </w:rPr>
        <w:t>五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）规范做好应急准备。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春防期间启动应急值班制度，</w:t>
      </w:r>
      <w:r>
        <w:rPr>
          <w:rFonts w:ascii="仿宋_GB2312" w:hAnsi="仿宋" w:eastAsia="仿宋_GB2312" w:cs="仿宋_GB2312"/>
          <w:color w:val="000000"/>
          <w:sz w:val="32"/>
          <w:szCs w:val="32"/>
          <w:lang w:val="zh-CN"/>
        </w:rPr>
        <w:t>实行领导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24小时</w:t>
      </w:r>
      <w:r>
        <w:rPr>
          <w:rFonts w:ascii="仿宋_GB2312" w:hAnsi="仿宋" w:eastAsia="仿宋_GB2312" w:cs="仿宋_GB2312"/>
          <w:color w:val="000000"/>
          <w:sz w:val="32"/>
          <w:szCs w:val="32"/>
          <w:lang w:val="zh-CN"/>
        </w:rPr>
        <w:t>带班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制度，重点安排好疫情处置、疫苗供应、疫苗使用等重点岗位的值班人员，切实做好应急人员保障。做好疫苗、防护用品其他应急物资的储备、检查和维护工作，做好应急预备队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组建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，一旦发生突发动物疫情，要及时启动应急预案，依法、依规开展处置工作。</w:t>
      </w:r>
    </w:p>
    <w:p>
      <w:pPr>
        <w:spacing w:line="540" w:lineRule="exact"/>
        <w:ind w:firstLine="627" w:firstLineChars="196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三、保障措施</w:t>
      </w:r>
    </w:p>
    <w:p>
      <w:pPr>
        <w:spacing w:line="540" w:lineRule="exact"/>
        <w:ind w:firstLine="627" w:firstLineChars="196"/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（一）加强组织领导。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按照“区政府部署发动、乡镇干部带队组织、乡镇站兽医和村防疫员分片包村”的做法，积极做好春防动员部署，推动春防关键措施落实</w:t>
      </w:r>
      <w:r>
        <w:rPr>
          <w:rFonts w:hint="eastAsia" w:ascii="仿宋_GB2312" w:hAnsi="仿宋" w:eastAsia="仿宋_GB2312"/>
          <w:color w:val="000000"/>
          <w:sz w:val="32"/>
          <w:szCs w:val="30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0"/>
          <w:lang w:val="en-US" w:eastAsia="zh-CN"/>
        </w:rPr>
        <w:t>各村</w:t>
      </w:r>
      <w:r>
        <w:rPr>
          <w:rFonts w:ascii="仿宋_GB2312" w:hAnsi="仿宋" w:eastAsia="仿宋_GB2312"/>
          <w:color w:val="000000"/>
          <w:sz w:val="32"/>
          <w:szCs w:val="32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实际制定本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春防工作实施方案，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明确目标任务，确保各项工作高效、有序开展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和落实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。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（二）加强</w:t>
      </w:r>
      <w:r>
        <w:rPr>
          <w:rFonts w:hint="eastAsia" w:ascii="楷体_GB2312" w:hAnsi="楷体" w:eastAsia="楷体_GB2312"/>
          <w:color w:val="000000"/>
          <w:sz w:val="32"/>
          <w:szCs w:val="32"/>
          <w:lang w:eastAsia="zh-CN"/>
        </w:rPr>
        <w:t>镇、村两级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协作。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镇、村两级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要加强协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调配合，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共同做好非洲猪瘟等重大动物疫病、高致病性</w:t>
      </w:r>
      <w:r>
        <w:rPr>
          <w:rFonts w:ascii="仿宋_GB2312" w:hAnsi="仿宋" w:eastAsia="仿宋_GB2312"/>
          <w:color w:val="000000"/>
          <w:sz w:val="32"/>
          <w:szCs w:val="32"/>
        </w:rPr>
        <w:t>禽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流感等重点人畜共患病防治工作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与排查工作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/>
        </w:rPr>
        <w:t>。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）强化技术指导。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镇农服中心及各村要密切配合区农业农村发展服务中心，切实加强技术人员的免疫、消毒、采样、检测等防疫相关技术培训和指导，切实提高各级各类防疫人员技术水平。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YjM4ZTUxYWIwOGEwMzFhYWEyMjcxYWQ4NjM4ZjIifQ=="/>
  </w:docVars>
  <w:rsids>
    <w:rsidRoot w:val="5B790252"/>
    <w:rsid w:val="0A9E2C26"/>
    <w:rsid w:val="5B79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2092</Words>
  <Characters>2136</Characters>
  <Lines>0</Lines>
  <Paragraphs>0</Paragraphs>
  <TotalTime>0</TotalTime>
  <ScaleCrop>false</ScaleCrop>
  <LinksUpToDate>false</LinksUpToDate>
  <CharactersWithSpaces>2138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2023-04-03T08:54:00Z</dcterms:created>
  <dc:creator>Administrator</dc:creator>
  <cp:lastModifiedBy>Administrator</cp:lastModifiedBy>
  <dcterms:modified xsi:type="dcterms:W3CDTF">2023-04-03T09:11:40Z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D959C1F23E534DCDA96B4E23967D01D9_11</vt:lpwstr>
  </property>
</Properties>
</file>