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textAlignment w:val="baseline"/>
        <w:rPr>
          <w:rFonts w:hint="eastAsia" w:ascii="宋体" w:hAnsi="宋体" w:eastAsia="宋体" w:cs="宋体"/>
          <w:b/>
          <w:bCs/>
          <w:i w:val="0"/>
          <w:iCs w:val="0"/>
          <w:caps w:val="0"/>
          <w:color w:val="000000" w:themeColor="text1"/>
          <w:spacing w:val="0"/>
          <w:sz w:val="40"/>
          <w:szCs w:val="40"/>
          <w14:textFill>
            <w14:solidFill>
              <w14:schemeClr w14:val="tx1"/>
            </w14:solidFill>
          </w14:textFill>
        </w:rPr>
      </w:pPr>
      <w:r>
        <w:rPr>
          <w:rFonts w:hint="eastAsia" w:ascii="宋体" w:hAnsi="宋体" w:eastAsia="宋体" w:cs="宋体"/>
          <w:b/>
          <w:bCs/>
          <w:i w:val="0"/>
          <w:iCs w:val="0"/>
          <w:caps w:val="0"/>
          <w:color w:val="000000" w:themeColor="text1"/>
          <w:spacing w:val="0"/>
          <w:sz w:val="40"/>
          <w:szCs w:val="40"/>
          <w:shd w:val="clear" w:fill="FFFFFF"/>
          <w:vertAlign w:val="baseline"/>
          <w:lang w:val="en-US" w:eastAsia="zh-CN"/>
          <w14:textFill>
            <w14:solidFill>
              <w14:schemeClr w14:val="tx1"/>
            </w14:solidFill>
          </w14:textFill>
        </w:rPr>
        <w:t>海滨街关于</w:t>
      </w:r>
      <w:r>
        <w:rPr>
          <w:rFonts w:hint="eastAsia" w:ascii="宋体" w:hAnsi="宋体" w:eastAsia="宋体" w:cs="宋体"/>
          <w:b/>
          <w:bCs/>
          <w:i w:val="0"/>
          <w:iCs w:val="0"/>
          <w:caps w:val="0"/>
          <w:color w:val="000000" w:themeColor="text1"/>
          <w:spacing w:val="0"/>
          <w:sz w:val="40"/>
          <w:szCs w:val="40"/>
          <w:shd w:val="clear" w:fill="FFFFFF"/>
          <w:vertAlign w:val="baseline"/>
          <w14:textFill>
            <w14:solidFill>
              <w14:schemeClr w14:val="tx1"/>
            </w14:solidFill>
          </w14:textFill>
        </w:rPr>
        <w:t>划定</w:t>
      </w:r>
      <w:r>
        <w:rPr>
          <w:rFonts w:hint="eastAsia" w:cs="宋体"/>
          <w:b/>
          <w:bCs/>
          <w:i w:val="0"/>
          <w:iCs w:val="0"/>
          <w:caps w:val="0"/>
          <w:color w:val="000000" w:themeColor="text1"/>
          <w:spacing w:val="0"/>
          <w:sz w:val="40"/>
          <w:szCs w:val="40"/>
          <w:shd w:val="clear" w:fill="FFFFFF"/>
          <w:vertAlign w:val="baseline"/>
          <w:lang w:eastAsia="zh-CN"/>
          <w14:textFill>
            <w14:solidFill>
              <w14:schemeClr w14:val="tx1"/>
            </w14:solidFill>
          </w14:textFill>
        </w:rPr>
        <w:t>街</w:t>
      </w:r>
      <w:r>
        <w:rPr>
          <w:rFonts w:hint="eastAsia" w:ascii="宋体" w:hAnsi="宋体" w:eastAsia="宋体" w:cs="宋体"/>
          <w:b/>
          <w:bCs/>
          <w:i w:val="0"/>
          <w:iCs w:val="0"/>
          <w:caps w:val="0"/>
          <w:color w:val="000000" w:themeColor="text1"/>
          <w:spacing w:val="0"/>
          <w:sz w:val="40"/>
          <w:szCs w:val="40"/>
          <w:shd w:val="clear" w:fill="FFFFFF"/>
          <w:vertAlign w:val="baseline"/>
          <w14:textFill>
            <w14:solidFill>
              <w14:schemeClr w14:val="tx1"/>
            </w14:solidFill>
          </w14:textFill>
        </w:rPr>
        <w:t>管河湖管理范围的公告</w:t>
      </w:r>
    </w:p>
    <w:p>
      <w:pPr>
        <w:ind w:firstLine="600" w:firstLineChars="200"/>
        <w:rPr>
          <w:rFonts w:hint="eastAsia" w:ascii="仿宋_GB2312" w:hAnsi="仿宋_GB2312" w:eastAsia="仿宋_GB2312" w:cs="仿宋_GB2312"/>
          <w:sz w:val="30"/>
          <w:szCs w:val="30"/>
          <w:lang w:val="en-US" w:eastAsia="zh-CN"/>
        </w:rPr>
      </w:pPr>
    </w:p>
    <w:p>
      <w:pPr>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为切实加强海滨街街</w:t>
      </w:r>
      <w:r>
        <w:rPr>
          <w:rFonts w:hint="default" w:ascii="仿宋_GB2312" w:hAnsi="仿宋_GB2312" w:eastAsia="仿宋_GB2312" w:cs="仿宋_GB2312"/>
          <w:color w:val="000000"/>
          <w:sz w:val="28"/>
          <w:szCs w:val="28"/>
          <w:lang w:val="en-US" w:eastAsia="zh-CN"/>
        </w:rPr>
        <w:t>管河湖管护范围划定工作</w:t>
      </w:r>
      <w:r>
        <w:rPr>
          <w:rFonts w:hint="eastAsia" w:ascii="仿宋_GB2312" w:hAnsi="仿宋_GB2312" w:eastAsia="仿宋_GB2312" w:cs="仿宋_GB2312"/>
          <w:color w:val="000000"/>
          <w:sz w:val="28"/>
          <w:szCs w:val="28"/>
          <w:lang w:val="en-US" w:eastAsia="zh-CN"/>
        </w:rPr>
        <w:t>，按照《市河（湖）长办关于加快推动第一次全国水利普查名录以外河湖管理范围划界工作的通知》（津河长办[2022]19号）相关要求，以《天津市河道管理条例》、《市城市管理委关于加强建成区内各公园湖塘精细化管理的指导意见》、《</w:t>
      </w:r>
      <w:r>
        <w:rPr>
          <w:rFonts w:hint="eastAsia" w:ascii="仿宋_GB2312" w:hAnsi="仿宋_GB2312" w:eastAsia="仿宋_GB2312" w:cs="仿宋_GB2312"/>
          <w:color w:val="000000"/>
          <w:sz w:val="28"/>
          <w:szCs w:val="28"/>
          <w:lang w:val="en" w:eastAsia="zh-CN"/>
        </w:rPr>
        <w:t>第一次全国水利普查名录以外河湖管理范围划界指导意见</w:t>
      </w:r>
      <w:r>
        <w:rPr>
          <w:rFonts w:hint="eastAsia" w:ascii="仿宋_GB2312" w:hAnsi="仿宋_GB2312" w:eastAsia="仿宋_GB2312" w:cs="仿宋_GB2312"/>
          <w:color w:val="000000"/>
          <w:sz w:val="28"/>
          <w:szCs w:val="28"/>
          <w:lang w:val="en-US" w:eastAsia="zh-CN"/>
        </w:rPr>
        <w:t>》、《天津市乡村振兴战略规划（2018-2022）》等有关法律法规、技术标准为依据，依法依规，结合本街实际，现将我街</w:t>
      </w:r>
      <w:r>
        <w:rPr>
          <w:rFonts w:hint="default" w:ascii="仿宋_GB2312" w:hAnsi="仿宋_GB2312" w:eastAsia="仿宋_GB2312" w:cs="仿宋_GB2312"/>
          <w:color w:val="000000"/>
          <w:sz w:val="28"/>
          <w:szCs w:val="28"/>
          <w:lang w:val="en-US" w:eastAsia="zh-CN"/>
        </w:rPr>
        <w:t>管河湖管护范围公告如下：</w:t>
      </w:r>
    </w:p>
    <w:p>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一、划界范围</w:t>
      </w:r>
    </w:p>
    <w:p>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海滨街辖区内建成区开放式景观湖1座，承担引排水任务或具备生态功能的河道、沟渠（河道上口宽10米以上）2条，其他沟渠43条，坑塘52（条）座。</w:t>
      </w:r>
    </w:p>
    <w:tbl>
      <w:tblPr>
        <w:tblStyle w:val="3"/>
        <w:tblpPr w:leftFromText="180" w:rightFromText="180" w:vertAnchor="text" w:horzAnchor="page" w:tblpX="1635" w:tblpY="826"/>
        <w:tblOverlap w:val="never"/>
        <w:tblW w:w="5022" w:type="pct"/>
        <w:tblInd w:w="0" w:type="dxa"/>
        <w:tblLayout w:type="fixed"/>
        <w:tblCellMar>
          <w:top w:w="0" w:type="dxa"/>
          <w:left w:w="108" w:type="dxa"/>
          <w:bottom w:w="0" w:type="dxa"/>
          <w:right w:w="108" w:type="dxa"/>
        </w:tblCellMar>
      </w:tblPr>
      <w:tblGrid>
        <w:gridCol w:w="729"/>
        <w:gridCol w:w="1067"/>
        <w:gridCol w:w="971"/>
        <w:gridCol w:w="3153"/>
        <w:gridCol w:w="2640"/>
      </w:tblGrid>
      <w:tr>
        <w:tblPrEx>
          <w:tblCellMar>
            <w:top w:w="0" w:type="dxa"/>
            <w:left w:w="108" w:type="dxa"/>
            <w:bottom w:w="0" w:type="dxa"/>
            <w:right w:w="108" w:type="dxa"/>
          </w:tblCellMar>
        </w:tblPrEx>
        <w:trPr>
          <w:trHeight w:val="501"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rPr>
            </w:pPr>
            <w:r>
              <w:rPr>
                <w:rFonts w:hint="eastAsia" w:ascii="宋体" w:hAnsi="宋体" w:cs="宋体"/>
                <w:b/>
                <w:bCs/>
                <w:color w:val="000000"/>
                <w:kern w:val="0"/>
                <w:sz w:val="22"/>
              </w:rPr>
              <w:t>序号</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rPr>
            </w:pPr>
            <w:r>
              <w:rPr>
                <w:rFonts w:hint="eastAsia" w:ascii="宋体" w:hAnsi="宋体" w:cs="宋体"/>
                <w:b/>
                <w:bCs/>
                <w:color w:val="000000"/>
                <w:kern w:val="0"/>
                <w:sz w:val="22"/>
              </w:rPr>
              <w:t>名称</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rPr>
            </w:pPr>
            <w:r>
              <w:rPr>
                <w:rFonts w:hint="eastAsia" w:ascii="宋体" w:hAnsi="宋体" w:cs="宋体"/>
                <w:b/>
                <w:bCs/>
                <w:color w:val="000000"/>
                <w:kern w:val="0"/>
                <w:sz w:val="22"/>
              </w:rPr>
              <w:t>长度（米）</w:t>
            </w:r>
          </w:p>
        </w:tc>
        <w:tc>
          <w:tcPr>
            <w:tcW w:w="184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2"/>
              </w:rPr>
            </w:pPr>
            <w:r>
              <w:rPr>
                <w:rFonts w:hint="eastAsia" w:ascii="宋体" w:hAnsi="宋体" w:cs="宋体"/>
                <w:b/>
                <w:bCs/>
                <w:color w:val="000000"/>
                <w:kern w:val="0"/>
                <w:sz w:val="22"/>
              </w:rPr>
              <w:t>位置</w:t>
            </w:r>
          </w:p>
        </w:tc>
        <w:tc>
          <w:tcPr>
            <w:tcW w:w="154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2"/>
              </w:rPr>
            </w:pPr>
            <w:r>
              <w:rPr>
                <w:rFonts w:hint="eastAsia" w:ascii="宋体" w:hAnsi="宋体" w:cs="宋体"/>
                <w:b/>
                <w:bCs/>
                <w:color w:val="000000"/>
                <w:kern w:val="0"/>
                <w:sz w:val="22"/>
              </w:rPr>
              <w:t>划界范围</w:t>
            </w:r>
          </w:p>
        </w:tc>
      </w:tr>
      <w:tr>
        <w:tblPrEx>
          <w:tblCellMar>
            <w:top w:w="0" w:type="dxa"/>
            <w:left w:w="108" w:type="dxa"/>
            <w:bottom w:w="0" w:type="dxa"/>
            <w:right w:w="108" w:type="dxa"/>
          </w:tblCellMar>
        </w:tblPrEx>
        <w:trPr>
          <w:trHeight w:val="1156"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1</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五眼桥沟渠</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1741</w:t>
            </w:r>
          </w:p>
        </w:tc>
        <w:tc>
          <w:tcPr>
            <w:tcW w:w="18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sz w:val="22"/>
              </w:rPr>
              <w:t>北端经度</w:t>
            </w:r>
            <w:r>
              <w:rPr>
                <w:sz w:val="22"/>
              </w:rPr>
              <w:t>117.370904°，纬度38.658586°，南端经度117.378941°，纬度38.644634°</w:t>
            </w:r>
          </w:p>
        </w:tc>
        <w:tc>
          <w:tcPr>
            <w:tcW w:w="15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以沟渠上口为基准外延最小距离</w:t>
            </w:r>
            <w:r>
              <w:rPr>
                <w:rFonts w:ascii="宋体" w:hAnsi="宋体" w:eastAsia="宋体" w:cs="宋体"/>
                <w:color w:val="000000"/>
                <w:kern w:val="0"/>
                <w:sz w:val="22"/>
                <w:lang w:bidi="ar"/>
              </w:rPr>
              <w:t>1</w:t>
            </w:r>
            <w:r>
              <w:rPr>
                <w:rFonts w:hint="eastAsia" w:ascii="宋体" w:hAnsi="宋体" w:eastAsia="宋体" w:cs="宋体"/>
                <w:color w:val="000000"/>
                <w:kern w:val="0"/>
                <w:sz w:val="22"/>
                <w:lang w:bidi="ar"/>
              </w:rPr>
              <w:t>米，最大距离</w:t>
            </w:r>
            <w:r>
              <w:rPr>
                <w:rFonts w:ascii="宋体" w:hAnsi="宋体" w:eastAsia="宋体" w:cs="宋体"/>
                <w:color w:val="000000"/>
                <w:kern w:val="0"/>
                <w:sz w:val="22"/>
                <w:lang w:bidi="ar"/>
              </w:rPr>
              <w:t>8</w:t>
            </w:r>
            <w:r>
              <w:rPr>
                <w:rFonts w:hint="eastAsia" w:ascii="宋体" w:hAnsi="宋体" w:eastAsia="宋体" w:cs="宋体"/>
                <w:color w:val="000000"/>
                <w:kern w:val="0"/>
                <w:sz w:val="22"/>
                <w:lang w:bidi="ar"/>
              </w:rPr>
              <w:t>米</w:t>
            </w:r>
          </w:p>
        </w:tc>
      </w:tr>
      <w:tr>
        <w:tblPrEx>
          <w:tblCellMar>
            <w:top w:w="0" w:type="dxa"/>
            <w:left w:w="108" w:type="dxa"/>
            <w:bottom w:w="0" w:type="dxa"/>
            <w:right w:w="108" w:type="dxa"/>
          </w:tblCellMar>
        </w:tblPrEx>
        <w:trPr>
          <w:trHeight w:val="464"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2</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中心排干</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3218</w:t>
            </w:r>
          </w:p>
        </w:tc>
        <w:tc>
          <w:tcPr>
            <w:tcW w:w="18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北端经度</w:t>
            </w:r>
            <w:r>
              <w:rPr>
                <w:rFonts w:ascii="宋体" w:hAnsi="宋体" w:eastAsia="宋体" w:cs="宋体"/>
                <w:color w:val="000000"/>
                <w:kern w:val="0"/>
                <w:sz w:val="22"/>
                <w:lang w:bidi="ar"/>
              </w:rPr>
              <w:t>117.436467°，纬度38.684979°，南端经度117.450224°，纬度38.658041°</w:t>
            </w:r>
          </w:p>
        </w:tc>
        <w:tc>
          <w:tcPr>
            <w:tcW w:w="15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以沟渠上口为基准外延最小距离</w:t>
            </w:r>
            <w:r>
              <w:rPr>
                <w:rFonts w:ascii="宋体" w:hAnsi="宋体" w:eastAsia="宋体" w:cs="宋体"/>
                <w:color w:val="000000"/>
                <w:kern w:val="0"/>
                <w:sz w:val="22"/>
                <w:lang w:bidi="ar"/>
              </w:rPr>
              <w:t>2</w:t>
            </w:r>
            <w:r>
              <w:rPr>
                <w:rFonts w:hint="eastAsia" w:ascii="宋体" w:hAnsi="宋体" w:eastAsia="宋体" w:cs="宋体"/>
                <w:color w:val="000000"/>
                <w:kern w:val="0"/>
                <w:sz w:val="22"/>
                <w:lang w:bidi="ar"/>
              </w:rPr>
              <w:t>米，最大距离</w:t>
            </w:r>
            <w:r>
              <w:rPr>
                <w:rFonts w:ascii="宋体" w:hAnsi="宋体" w:eastAsia="宋体" w:cs="宋体"/>
                <w:color w:val="000000"/>
                <w:kern w:val="0"/>
                <w:sz w:val="22"/>
                <w:lang w:bidi="ar"/>
              </w:rPr>
              <w:t>5</w:t>
            </w:r>
            <w:r>
              <w:rPr>
                <w:rFonts w:hint="eastAsia" w:ascii="宋体" w:hAnsi="宋体" w:eastAsia="宋体" w:cs="宋体"/>
                <w:color w:val="000000"/>
                <w:kern w:val="0"/>
                <w:sz w:val="22"/>
                <w:lang w:bidi="ar"/>
              </w:rPr>
              <w:t>米</w:t>
            </w:r>
          </w:p>
        </w:tc>
      </w:tr>
    </w:tbl>
    <w:p>
      <w:pPr>
        <w:numPr>
          <w:ilvl w:val="0"/>
          <w:numId w:val="1"/>
        </w:num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管理范围划定</w:t>
      </w:r>
    </w:p>
    <w:p>
      <w:pPr>
        <w:numPr>
          <w:ilvl w:val="0"/>
          <w:numId w:val="0"/>
        </w:numPr>
        <w:rPr>
          <w:rFonts w:hint="eastAsia" w:ascii="仿宋_GB2312" w:hAnsi="仿宋_GB2312" w:eastAsia="仿宋_GB2312" w:cs="仿宋_GB2312"/>
          <w:color w:val="000000"/>
          <w:sz w:val="28"/>
          <w:szCs w:val="28"/>
          <w:lang w:val="en-US" w:eastAsia="zh-CN"/>
        </w:rPr>
      </w:pPr>
      <w:bookmarkStart w:id="0" w:name="_GoBack"/>
      <w:bookmarkEnd w:id="0"/>
    </w:p>
    <w:p>
      <w:pPr>
        <w:numPr>
          <w:ilvl w:val="0"/>
          <w:numId w:val="0"/>
        </w:numPr>
        <w:rPr>
          <w:rFonts w:hint="eastAsia" w:ascii="仿宋_GB2312" w:hAnsi="仿宋_GB2312" w:eastAsia="仿宋_GB2312" w:cs="仿宋_GB2312"/>
          <w:color w:val="000000"/>
          <w:sz w:val="28"/>
          <w:szCs w:val="28"/>
          <w:lang w:val="en-US" w:eastAsia="zh-CN"/>
        </w:rPr>
      </w:pPr>
    </w:p>
    <w:tbl>
      <w:tblPr>
        <w:tblStyle w:val="3"/>
        <w:tblpPr w:leftFromText="180" w:rightFromText="180" w:vertAnchor="text" w:horzAnchor="page" w:tblpX="1981" w:tblpY="600"/>
        <w:tblOverlap w:val="never"/>
        <w:tblW w:w="0" w:type="auto"/>
        <w:tblInd w:w="0" w:type="dxa"/>
        <w:tblLayout w:type="autofit"/>
        <w:tblCellMar>
          <w:top w:w="0" w:type="dxa"/>
          <w:left w:w="108" w:type="dxa"/>
          <w:bottom w:w="0" w:type="dxa"/>
          <w:right w:w="108" w:type="dxa"/>
        </w:tblCellMar>
      </w:tblPr>
      <w:tblGrid>
        <w:gridCol w:w="658"/>
        <w:gridCol w:w="1316"/>
        <w:gridCol w:w="1115"/>
        <w:gridCol w:w="2981"/>
        <w:gridCol w:w="2452"/>
      </w:tblGrid>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rPr>
            </w:pPr>
            <w:r>
              <w:rPr>
                <w:rFonts w:hint="eastAsia" w:ascii="宋体" w:hAnsi="宋体" w:cs="宋体"/>
                <w:b/>
                <w:bCs/>
                <w:color w:val="000000"/>
                <w:kern w:val="0"/>
                <w:sz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rPr>
            </w:pPr>
            <w:r>
              <w:rPr>
                <w:rFonts w:hint="eastAsia" w:ascii="宋体" w:hAnsi="宋体" w:cs="宋体"/>
                <w:b/>
                <w:bCs/>
                <w:color w:val="000000"/>
                <w:kern w:val="0"/>
                <w:sz w:val="22"/>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jc w:val="center"/>
              <w:textAlignment w:val="center"/>
              <w:rPr>
                <w:rFonts w:ascii="宋体" w:hAnsi="宋体" w:cs="宋体"/>
                <w:b/>
                <w:bCs/>
                <w:color w:val="000000"/>
                <w:kern w:val="0"/>
                <w:sz w:val="22"/>
              </w:rPr>
            </w:pPr>
            <w:r>
              <w:rPr>
                <w:rFonts w:hint="eastAsia" w:ascii="宋体" w:hAnsi="宋体" w:cs="宋体"/>
                <w:b/>
                <w:bCs/>
                <w:color w:val="000000"/>
                <w:kern w:val="0"/>
                <w:sz w:val="22"/>
              </w:rPr>
              <w:t>面积</w:t>
            </w:r>
          </w:p>
          <w:p>
            <w:pPr>
              <w:widowControl/>
              <w:textAlignment w:val="center"/>
              <w:rPr>
                <w:rFonts w:ascii="黑体" w:hAnsi="宋体" w:eastAsia="黑体" w:cs="黑体"/>
                <w:color w:val="000000"/>
                <w:sz w:val="22"/>
              </w:rPr>
            </w:pPr>
            <w:r>
              <w:rPr>
                <w:rFonts w:hint="eastAsia" w:ascii="宋体" w:hAnsi="宋体" w:cs="宋体"/>
                <w:b/>
                <w:bCs/>
                <w:color w:val="000000"/>
                <w:kern w:val="0"/>
                <w:sz w:val="22"/>
              </w:rPr>
              <w:t>（平方米）</w:t>
            </w:r>
          </w:p>
        </w:tc>
        <w:tc>
          <w:tcPr>
            <w:tcW w:w="2981"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jc w:val="center"/>
              <w:textAlignment w:val="center"/>
              <w:rPr>
                <w:rFonts w:ascii="宋体" w:hAnsi="宋体" w:cs="宋体"/>
                <w:b/>
                <w:bCs/>
                <w:color w:val="000000"/>
                <w:kern w:val="0"/>
                <w:sz w:val="22"/>
              </w:rPr>
            </w:pPr>
            <w:r>
              <w:rPr>
                <w:rFonts w:hint="eastAsia" w:ascii="宋体" w:hAnsi="宋体" w:cs="宋体"/>
                <w:b/>
                <w:bCs/>
                <w:color w:val="000000"/>
                <w:kern w:val="0"/>
                <w:sz w:val="22"/>
              </w:rPr>
              <w:t>位置</w:t>
            </w:r>
          </w:p>
        </w:tc>
        <w:tc>
          <w:tcPr>
            <w:tcW w:w="245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2"/>
              </w:rPr>
            </w:pPr>
            <w:r>
              <w:rPr>
                <w:rFonts w:hint="eastAsia" w:ascii="宋体" w:hAnsi="宋体" w:cs="宋体"/>
                <w:b/>
                <w:bCs/>
                <w:color w:val="000000"/>
                <w:kern w:val="0"/>
                <w:sz w:val="22"/>
              </w:rPr>
              <w:t>划界范围</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rPr>
            </w:pPr>
            <w:r>
              <w:rPr>
                <w:rFonts w:ascii="黑体" w:hAnsi="宋体" w:eastAsia="黑体" w:cs="黑体"/>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沙井子水库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7297654</w:t>
            </w:r>
          </w:p>
        </w:tc>
        <w:tc>
          <w:tcPr>
            <w:tcW w:w="2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西北端经度</w:t>
            </w:r>
            <w:r>
              <w:rPr>
                <w:rFonts w:ascii="宋体" w:hAnsi="宋体" w:eastAsia="宋体" w:cs="宋体"/>
                <w:color w:val="000000"/>
                <w:kern w:val="0"/>
                <w:sz w:val="22"/>
                <w:lang w:bidi="ar"/>
              </w:rPr>
              <w:t>117.387571°，纬度38.659034°，东北端经度117.424640°，纬度38.677856°，东南端经度117.429553°，纬度38.657635°，西南端经度117.392347°，纬度38.644615°</w:t>
            </w:r>
          </w:p>
        </w:tc>
        <w:tc>
          <w:tcPr>
            <w:tcW w:w="2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以外堤脚</w:t>
            </w:r>
            <w:r>
              <w:rPr>
                <w:rFonts w:hint="eastAsia"/>
                <w:sz w:val="22"/>
              </w:rPr>
              <w:t>、</w:t>
            </w:r>
            <w:r>
              <w:rPr>
                <w:rFonts w:hint="eastAsia" w:ascii="宋体" w:hAnsi="宋体" w:eastAsia="宋体" w:cs="宋体"/>
                <w:color w:val="000000"/>
                <w:kern w:val="0"/>
                <w:sz w:val="22"/>
                <w:lang w:bidi="ar"/>
              </w:rPr>
              <w:t>上口为基准外延最小距离</w:t>
            </w:r>
            <w:r>
              <w:rPr>
                <w:rFonts w:ascii="宋体" w:hAnsi="宋体" w:eastAsia="宋体" w:cs="宋体"/>
                <w:color w:val="000000"/>
                <w:kern w:val="0"/>
                <w:sz w:val="22"/>
                <w:lang w:bidi="ar"/>
              </w:rPr>
              <w:t>1</w:t>
            </w:r>
            <w:r>
              <w:rPr>
                <w:rFonts w:hint="eastAsia" w:ascii="宋体" w:hAnsi="宋体" w:eastAsia="宋体" w:cs="宋体"/>
                <w:color w:val="000000"/>
                <w:kern w:val="0"/>
                <w:sz w:val="22"/>
                <w:lang w:bidi="ar"/>
              </w:rPr>
              <w:t>米，最大距离</w:t>
            </w:r>
            <w:r>
              <w:rPr>
                <w:rFonts w:ascii="宋体" w:hAnsi="宋体" w:eastAsia="宋体" w:cs="宋体"/>
                <w:color w:val="000000"/>
                <w:kern w:val="0"/>
                <w:sz w:val="22"/>
                <w:lang w:bidi="ar"/>
              </w:rPr>
              <w:t>16</w:t>
            </w:r>
            <w:r>
              <w:rPr>
                <w:rFonts w:hint="eastAsia" w:ascii="宋体" w:hAnsi="宋体" w:eastAsia="宋体" w:cs="宋体"/>
                <w:color w:val="000000"/>
                <w:kern w:val="0"/>
                <w:sz w:val="22"/>
                <w:lang w:bidi="ar"/>
              </w:rPr>
              <w:t>米</w:t>
            </w:r>
          </w:p>
        </w:tc>
      </w:tr>
    </w:tbl>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其他沟渠43条管理范围为以上口为基准线外延1.5米，其他坑塘52（条）座管理范围为以上口为基准线外延1米，（与道路相邻地沟渠按路长制规定，路沿以外1米为路长制制管辖范围，其余为河长制管辖范围）。</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本次划定河湖管理范围工作，是对现状河道管理范围的明确，不涉及土地权属、性质、用地规划调整。河湖管理范围内建设项目需符合《中华人民共和国水法》、《中华人民共和国防洪法》、《天津市河道管理条例》等有关法律法规要求，任何单位及个人不得从事危及河道行洪和水利工程安全的活动。</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四、本公告自发布之日起执行。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5DBA8"/>
    <w:multiLevelType w:val="singleLevel"/>
    <w:tmpl w:val="E345DB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Yjc2NmNlOGE2MWM4MGU5NWFjY2Y2MzE2NWM1YzQifQ=="/>
  </w:docVars>
  <w:rsids>
    <w:rsidRoot w:val="0A056F7A"/>
    <w:rsid w:val="0A056F7A"/>
    <w:rsid w:val="4D10403B"/>
    <w:rsid w:val="76EB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765</Words>
  <Characters>940</Characters>
  <Lines>0</Lines>
  <Paragraphs>0</Paragraphs>
  <TotalTime>5</TotalTime>
  <ScaleCrop>false</ScaleCrop>
  <LinksUpToDate>false</LinksUpToDate>
  <CharactersWithSpaces>940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2023-02-27T01:41:00Z</dcterms:created>
  <dc:creator>Administrator</dc:creator>
  <cp:lastModifiedBy>Administrator</cp:lastModifiedBy>
  <cp:lastPrinted>2023-02-28T02:46:21Z</cp:lastPrinted>
  <dcterms:modified xsi:type="dcterms:W3CDTF">2023-02-28T02:51:04Z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7A74EFF14ADF4C27B48F9188B2A46BD1</vt:lpwstr>
  </property>
</Properties>
</file>