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宋体" w:hAnsi="宋体" w:eastAsia="宋体"/>
          <w:sz w:val="32"/>
          <w:szCs w:val="32"/>
        </w:rPr>
      </w:pPr>
      <w:r>
        <w:rPr>
          <w:rFonts w:hint="eastAsia" w:ascii="宋体" w:hAnsi="宋体" w:eastAsia="宋体" w:cs="宋体"/>
          <w:sz w:val="32"/>
          <w:szCs w:val="32"/>
        </w:rPr>
        <w:t>天津市</w:t>
      </w:r>
      <w:r>
        <w:rPr>
          <w:rFonts w:hint="eastAsia" w:ascii="宋体" w:hAnsi="宋体" w:eastAsia="宋体" w:cs="宋体"/>
          <w:sz w:val="32"/>
          <w:szCs w:val="32"/>
          <w:lang w:val="en-US" w:eastAsia="zh-CN"/>
        </w:rPr>
        <w:t>滨海新区中塘镇综合便民服务中心</w:t>
      </w:r>
      <w:r>
        <w:rPr>
          <w:rFonts w:hint="eastAsia" w:ascii="宋体" w:hAnsi="宋体" w:eastAsia="宋体" w:cs="宋体"/>
          <w:sz w:val="32"/>
          <w:szCs w:val="32"/>
        </w:rPr>
        <w:t>关于对</w:t>
      </w:r>
      <w:r>
        <w:rPr>
          <w:rFonts w:hint="eastAsia" w:ascii="宋体" w:hAnsi="宋体" w:eastAsia="宋体" w:cs="宋体"/>
          <w:color w:val="000000"/>
          <w:kern w:val="0"/>
          <w:sz w:val="32"/>
          <w:szCs w:val="32"/>
          <w:lang w:val="en-US" w:eastAsia="zh-CN" w:bidi="ar"/>
        </w:rPr>
        <w:t>天津润东汽车部件有限公司汽车填充发泡件项目</w:t>
      </w:r>
      <w:r>
        <w:rPr>
          <w:rFonts w:hint="eastAsia" w:ascii="宋体" w:hAnsi="宋体" w:eastAsia="宋体" w:cs="宋体"/>
          <w:sz w:val="32"/>
          <w:szCs w:val="32"/>
        </w:rPr>
        <w:t>环境影响报告表</w:t>
      </w:r>
      <w:r>
        <w:rPr>
          <w:rFonts w:ascii="宋体" w:hAnsi="宋体" w:eastAsia="宋体" w:cs="Helvetica"/>
          <w:color w:val="000000"/>
          <w:kern w:val="36"/>
          <w:sz w:val="32"/>
          <w:szCs w:val="32"/>
        </w:rPr>
        <w:t>拟作出审批决定的公示</w:t>
      </w:r>
    </w:p>
    <w:p>
      <w:pPr>
        <w:widowControl/>
        <w:spacing w:before="100" w:beforeAutospacing="1" w:after="100" w:afterAutospacing="1" w:line="480" w:lineRule="atLeast"/>
        <w:ind w:firstLine="645"/>
        <w:rPr>
          <w:rFonts w:hint="eastAsia" w:ascii="宋体" w:hAnsi="宋体" w:eastAsia="宋体" w:cs="宋体"/>
          <w:color w:val="4D4F53"/>
          <w:kern w:val="0"/>
          <w:sz w:val="27"/>
          <w:szCs w:val="27"/>
        </w:rPr>
      </w:pPr>
      <w:r>
        <w:rPr>
          <w:rFonts w:hint="eastAsia" w:ascii="仿宋" w:hAnsi="仿宋" w:eastAsia="仿宋" w:cs="宋体"/>
          <w:color w:val="4D4F53"/>
          <w:kern w:val="0"/>
          <w:sz w:val="32"/>
          <w:szCs w:val="32"/>
        </w:rPr>
        <w:t>根据建设项目环境影响评价审批程序的有关规定，经审议，我中心拟对以下建设项目环境影响报告表作出审批决定。为保证审批工作的严肃性和公正性，现将拟作出审批决定的建设项目环境影响报告表基本情况予以公示。</w:t>
      </w:r>
    </w:p>
    <w:p>
      <w:pPr>
        <w:widowControl/>
        <w:spacing w:before="100" w:beforeAutospacing="1" w:after="100" w:afterAutospacing="1" w:line="480" w:lineRule="atLeast"/>
        <w:ind w:firstLine="645"/>
        <w:rPr>
          <w:rFonts w:ascii="宋体" w:hAnsi="宋体" w:eastAsia="宋体" w:cs="宋体"/>
          <w:color w:val="4D4F53"/>
          <w:kern w:val="0"/>
          <w:sz w:val="27"/>
          <w:szCs w:val="27"/>
        </w:rPr>
      </w:pPr>
      <w:r>
        <w:rPr>
          <w:rFonts w:hint="eastAsia" w:ascii="仿宋" w:hAnsi="仿宋" w:eastAsia="仿宋" w:cs="宋体"/>
          <w:color w:val="4D4F53"/>
          <w:kern w:val="0"/>
          <w:sz w:val="32"/>
          <w:szCs w:val="32"/>
        </w:rPr>
        <w:t>听证权利告知：依据《中华人民共和国行政许可法》，自公示起五日内申请人、利害关系人可提出听证申请。</w:t>
      </w:r>
    </w:p>
    <w:p>
      <w:pPr>
        <w:widowControl/>
        <w:spacing w:before="100" w:beforeAutospacing="1" w:after="100" w:afterAutospacing="1" w:line="480" w:lineRule="atLeast"/>
        <w:ind w:firstLine="645"/>
        <w:rPr>
          <w:rFonts w:ascii="宋体" w:hAnsi="宋体" w:eastAsia="宋体" w:cs="宋体"/>
          <w:color w:val="4D4F53"/>
          <w:kern w:val="0"/>
          <w:sz w:val="27"/>
          <w:szCs w:val="27"/>
        </w:rPr>
      </w:pPr>
      <w:r>
        <w:rPr>
          <w:rFonts w:hint="eastAsia" w:ascii="仿宋" w:hAnsi="仿宋" w:eastAsia="仿宋" w:cs="宋体"/>
          <w:color w:val="4D4F53"/>
          <w:kern w:val="0"/>
          <w:sz w:val="32"/>
          <w:szCs w:val="32"/>
        </w:rPr>
        <w:t>公示期限：自本信息发布之日起</w:t>
      </w:r>
      <w:r>
        <w:rPr>
          <w:rFonts w:ascii="Times New Roman" w:hAnsi="Times New Roman" w:eastAsia="宋体" w:cs="Times New Roman"/>
          <w:color w:val="4D4F53"/>
          <w:kern w:val="0"/>
          <w:sz w:val="32"/>
          <w:szCs w:val="32"/>
        </w:rPr>
        <w:t>5</w:t>
      </w:r>
      <w:r>
        <w:rPr>
          <w:rFonts w:hint="eastAsia" w:ascii="仿宋" w:hAnsi="仿宋" w:eastAsia="仿宋" w:cs="宋体"/>
          <w:color w:val="4D4F53"/>
          <w:kern w:val="0"/>
          <w:sz w:val="32"/>
          <w:szCs w:val="32"/>
        </w:rPr>
        <w:t>个工作日。</w:t>
      </w:r>
    </w:p>
    <w:p>
      <w:pPr>
        <w:widowControl/>
        <w:spacing w:before="100" w:beforeAutospacing="1" w:after="100" w:afterAutospacing="1" w:line="480" w:lineRule="atLeast"/>
        <w:ind w:firstLine="645"/>
        <w:rPr>
          <w:rFonts w:ascii="宋体" w:hAnsi="宋体" w:eastAsia="宋体" w:cs="宋体"/>
          <w:color w:val="4D4F53"/>
          <w:kern w:val="0"/>
          <w:sz w:val="27"/>
          <w:szCs w:val="27"/>
        </w:rPr>
      </w:pPr>
      <w:r>
        <w:rPr>
          <w:rFonts w:hint="eastAsia" w:ascii="仿宋" w:hAnsi="仿宋" w:eastAsia="仿宋" w:cs="宋体"/>
          <w:color w:val="4D4F53"/>
          <w:kern w:val="0"/>
          <w:sz w:val="32"/>
          <w:szCs w:val="32"/>
        </w:rPr>
        <w:t>联系电话：</w:t>
      </w:r>
      <w:r>
        <w:rPr>
          <w:rFonts w:ascii="Times New Roman" w:hAnsi="Times New Roman" w:eastAsia="宋体" w:cs="Times New Roman"/>
          <w:color w:val="4D4F53"/>
          <w:kern w:val="0"/>
          <w:sz w:val="32"/>
          <w:szCs w:val="32"/>
        </w:rPr>
        <w:t>6</w:t>
      </w:r>
      <w:r>
        <w:rPr>
          <w:rFonts w:hint="eastAsia" w:ascii="Times New Roman" w:hAnsi="Times New Roman" w:eastAsia="宋体" w:cs="Times New Roman"/>
          <w:color w:val="4D4F53"/>
          <w:kern w:val="0"/>
          <w:sz w:val="32"/>
          <w:szCs w:val="32"/>
        </w:rPr>
        <w:t>3268763</w:t>
      </w:r>
    </w:p>
    <w:p>
      <w:pPr>
        <w:widowControl/>
        <w:spacing w:before="100" w:beforeAutospacing="1" w:after="100" w:afterAutospacing="1" w:line="480" w:lineRule="atLeast"/>
        <w:ind w:firstLine="645"/>
        <w:rPr>
          <w:rFonts w:ascii="宋体" w:hAnsi="宋体" w:eastAsia="宋体" w:cs="宋体"/>
          <w:color w:val="4D4F53"/>
          <w:kern w:val="0"/>
          <w:sz w:val="27"/>
          <w:szCs w:val="27"/>
        </w:rPr>
      </w:pPr>
      <w:r>
        <w:rPr>
          <w:rFonts w:hint="eastAsia" w:ascii="仿宋" w:hAnsi="仿宋" w:eastAsia="仿宋" w:cs="宋体"/>
          <w:color w:val="4D4F53"/>
          <w:kern w:val="0"/>
          <w:sz w:val="32"/>
          <w:szCs w:val="32"/>
        </w:rPr>
        <w:t>传</w:t>
      </w:r>
      <w:r>
        <w:rPr>
          <w:rFonts w:hint="eastAsia" w:ascii="宋体" w:hAnsi="宋体" w:eastAsia="宋体" w:cs="宋体"/>
          <w:color w:val="4D4F53"/>
          <w:kern w:val="0"/>
          <w:sz w:val="32"/>
          <w:szCs w:val="32"/>
        </w:rPr>
        <w:t>  </w:t>
      </w:r>
      <w:r>
        <w:rPr>
          <w:rFonts w:hint="eastAsia" w:ascii="仿宋" w:hAnsi="仿宋" w:eastAsia="仿宋" w:cs="宋体"/>
          <w:color w:val="4D4F53"/>
          <w:kern w:val="0"/>
          <w:sz w:val="32"/>
          <w:szCs w:val="32"/>
        </w:rPr>
        <w:t>真：</w:t>
      </w:r>
      <w:r>
        <w:rPr>
          <w:rFonts w:ascii="Times New Roman" w:hAnsi="Times New Roman" w:eastAsia="宋体" w:cs="Times New Roman"/>
          <w:color w:val="4D4F53"/>
          <w:kern w:val="0"/>
          <w:sz w:val="32"/>
          <w:szCs w:val="32"/>
        </w:rPr>
        <w:t>6</w:t>
      </w:r>
      <w:r>
        <w:rPr>
          <w:rFonts w:hint="eastAsia" w:ascii="Times New Roman" w:hAnsi="Times New Roman" w:eastAsia="宋体" w:cs="Times New Roman"/>
          <w:color w:val="4D4F53"/>
          <w:kern w:val="0"/>
          <w:sz w:val="32"/>
          <w:szCs w:val="32"/>
        </w:rPr>
        <w:t>3268763</w:t>
      </w:r>
    </w:p>
    <w:p>
      <w:pPr>
        <w:widowControl/>
        <w:spacing w:before="100" w:beforeAutospacing="1" w:after="100" w:afterAutospacing="1" w:line="480" w:lineRule="atLeast"/>
        <w:ind w:firstLine="645"/>
        <w:rPr>
          <w:rFonts w:ascii="宋体" w:hAnsi="宋体" w:eastAsia="宋体" w:cs="宋体"/>
          <w:color w:val="4D4F53"/>
          <w:kern w:val="0"/>
          <w:sz w:val="27"/>
          <w:szCs w:val="27"/>
        </w:rPr>
      </w:pPr>
      <w:r>
        <w:rPr>
          <w:rFonts w:hint="eastAsia" w:ascii="仿宋" w:hAnsi="仿宋" w:eastAsia="仿宋" w:cs="宋体"/>
          <w:color w:val="4D4F53"/>
          <w:kern w:val="0"/>
          <w:sz w:val="32"/>
          <w:szCs w:val="32"/>
        </w:rPr>
        <w:t>通讯地址：天津市滨海新区中塘镇综合便民服务中心</w:t>
      </w:r>
    </w:p>
    <w:tbl>
      <w:tblPr>
        <w:tblStyle w:val="4"/>
        <w:tblW w:w="9670" w:type="dxa"/>
        <w:tblInd w:w="-415" w:type="dxa"/>
        <w:tblLayout w:type="fixed"/>
        <w:tblCellMar>
          <w:top w:w="0" w:type="dxa"/>
          <w:left w:w="105" w:type="dxa"/>
          <w:bottom w:w="0" w:type="dxa"/>
          <w:right w:w="105" w:type="dxa"/>
        </w:tblCellMar>
      </w:tblPr>
      <w:tblGrid>
        <w:gridCol w:w="1105"/>
        <w:gridCol w:w="642"/>
        <w:gridCol w:w="643"/>
        <w:gridCol w:w="643"/>
        <w:gridCol w:w="1644"/>
        <w:gridCol w:w="2570"/>
        <w:gridCol w:w="1030"/>
        <w:gridCol w:w="1393"/>
      </w:tblGrid>
      <w:tr>
        <w:tblPrEx>
          <w:tblCellMar>
            <w:top w:w="0" w:type="dxa"/>
            <w:left w:w="105" w:type="dxa"/>
            <w:bottom w:w="0" w:type="dxa"/>
            <w:right w:w="105" w:type="dxa"/>
          </w:tblCellMar>
        </w:tblPrEx>
        <w:trPr>
          <w:trHeight w:val="1260" w:hRule="atLeast"/>
        </w:trPr>
        <w:tc>
          <w:tcPr>
            <w:tcW w:w="1105" w:type="dxa"/>
            <w:tcBorders>
              <w:top w:val="single" w:color="000000" w:sz="6" w:space="0"/>
              <w:left w:val="single" w:color="000000" w:sz="6" w:space="0"/>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建设项目名称</w:t>
            </w:r>
          </w:p>
        </w:tc>
        <w:tc>
          <w:tcPr>
            <w:tcW w:w="642"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建设单位名称</w:t>
            </w:r>
          </w:p>
        </w:tc>
        <w:tc>
          <w:tcPr>
            <w:tcW w:w="643"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建设地点</w:t>
            </w:r>
          </w:p>
        </w:tc>
        <w:tc>
          <w:tcPr>
            <w:tcW w:w="643"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环评文件编制单位名称</w:t>
            </w:r>
          </w:p>
        </w:tc>
        <w:tc>
          <w:tcPr>
            <w:tcW w:w="1644"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建设项目概况</w:t>
            </w:r>
          </w:p>
        </w:tc>
        <w:tc>
          <w:tcPr>
            <w:tcW w:w="2570"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主要环境影响和环境保护对策与措施</w:t>
            </w:r>
          </w:p>
        </w:tc>
        <w:tc>
          <w:tcPr>
            <w:tcW w:w="1030"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建设单位开展的公众参与情况</w:t>
            </w:r>
          </w:p>
        </w:tc>
        <w:tc>
          <w:tcPr>
            <w:tcW w:w="1393"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公示起止日期</w:t>
            </w:r>
          </w:p>
        </w:tc>
      </w:tr>
      <w:tr>
        <w:tblPrEx>
          <w:tblCellMar>
            <w:top w:w="0" w:type="dxa"/>
            <w:left w:w="105" w:type="dxa"/>
            <w:bottom w:w="0" w:type="dxa"/>
            <w:right w:w="105" w:type="dxa"/>
          </w:tblCellMar>
        </w:tblPrEx>
        <w:trPr>
          <w:trHeight w:val="1605" w:hRule="atLeast"/>
        </w:trPr>
        <w:tc>
          <w:tcPr>
            <w:tcW w:w="1105" w:type="dxa"/>
            <w:tcBorders>
              <w:top w:val="nil"/>
              <w:left w:val="single" w:color="000000" w:sz="6" w:space="0"/>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hint="eastAsia" w:ascii="仿宋" w:hAnsi="仿宋" w:eastAsia="仿宋" w:cs="仿宋"/>
                <w:kern w:val="0"/>
                <w:sz w:val="21"/>
                <w:szCs w:val="21"/>
              </w:rPr>
            </w:pPr>
            <w:bookmarkStart w:id="0" w:name="_GoBack" w:colFirst="0" w:colLast="3"/>
            <w:r>
              <w:rPr>
                <w:rFonts w:hint="eastAsia" w:ascii="仿宋" w:hAnsi="仿宋" w:eastAsia="仿宋" w:cs="仿宋"/>
                <w:color w:val="000000"/>
                <w:kern w:val="0"/>
                <w:sz w:val="21"/>
                <w:szCs w:val="21"/>
                <w:lang w:val="en-US" w:eastAsia="zh-CN" w:bidi="ar"/>
              </w:rPr>
              <w:t>汽车填充发泡件项目</w:t>
            </w:r>
          </w:p>
        </w:tc>
        <w:tc>
          <w:tcPr>
            <w:tcW w:w="642"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hint="eastAsia" w:ascii="仿宋" w:hAnsi="仿宋" w:eastAsia="仿宋" w:cs="仿宋"/>
                <w:kern w:val="0"/>
                <w:sz w:val="21"/>
                <w:szCs w:val="21"/>
              </w:rPr>
            </w:pPr>
            <w:r>
              <w:rPr>
                <w:rFonts w:hint="eastAsia" w:ascii="仿宋" w:hAnsi="仿宋" w:eastAsia="仿宋" w:cs="仿宋"/>
                <w:color w:val="000000"/>
                <w:kern w:val="0"/>
                <w:sz w:val="21"/>
                <w:szCs w:val="21"/>
                <w:lang w:val="en-US" w:eastAsia="zh-CN" w:bidi="ar"/>
              </w:rPr>
              <w:t>天津润东汽车部件有限公司</w:t>
            </w:r>
          </w:p>
        </w:tc>
        <w:tc>
          <w:tcPr>
            <w:tcW w:w="643"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天津市滨海新区中塘镇河东工业园安港二路 10 号</w:t>
            </w:r>
          </w:p>
          <w:p>
            <w:pPr>
              <w:keepNext w:val="0"/>
              <w:keepLines w:val="0"/>
              <w:widowControl/>
              <w:suppressLineNumbers w:val="0"/>
              <w:jc w:val="left"/>
              <w:rPr>
                <w:rFonts w:hint="eastAsia" w:ascii="仿宋" w:hAnsi="仿宋" w:eastAsia="仿宋" w:cs="仿宋"/>
                <w:sz w:val="21"/>
                <w:szCs w:val="21"/>
              </w:rPr>
            </w:pPr>
          </w:p>
          <w:p>
            <w:pPr>
              <w:widowControl/>
              <w:spacing w:before="100" w:beforeAutospacing="1" w:after="100" w:afterAutospacing="1"/>
              <w:jc w:val="center"/>
              <w:rPr>
                <w:rFonts w:hint="eastAsia" w:ascii="仿宋" w:hAnsi="仿宋" w:eastAsia="仿宋" w:cs="仿宋"/>
                <w:kern w:val="0"/>
                <w:sz w:val="21"/>
                <w:szCs w:val="21"/>
              </w:rPr>
            </w:pPr>
          </w:p>
        </w:tc>
        <w:tc>
          <w:tcPr>
            <w:tcW w:w="643"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hint="eastAsia" w:ascii="仿宋" w:hAnsi="仿宋" w:eastAsia="仿宋" w:cs="仿宋"/>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天津市普林思瑞科技发展有限公司</w:t>
            </w:r>
          </w:p>
        </w:tc>
        <w:tc>
          <w:tcPr>
            <w:tcW w:w="1644"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keepNext w:val="0"/>
              <w:keepLines w:val="0"/>
              <w:widowControl/>
              <w:suppressLineNumbers w:val="0"/>
              <w:ind w:firstLine="420" w:firstLineChars="200"/>
              <w:jc w:val="left"/>
              <w:rPr>
                <w:rFonts w:hint="eastAsia" w:ascii="仿宋_GB2312" w:hAnsi="宋体" w:eastAsia="仿宋_GB2312" w:cs="宋体"/>
                <w:color w:val="000000"/>
                <w:kern w:val="0"/>
                <w:sz w:val="21"/>
                <w:szCs w:val="21"/>
                <w:lang w:bidi="ar"/>
              </w:rPr>
            </w:pPr>
            <w:r>
              <w:rPr>
                <w:rFonts w:hint="eastAsia" w:ascii="仿宋" w:hAnsi="仿宋" w:eastAsia="仿宋" w:cs="仿宋"/>
                <w:color w:val="000000"/>
                <w:kern w:val="0"/>
                <w:sz w:val="21"/>
                <w:szCs w:val="21"/>
                <w:lang w:val="en-US" w:eastAsia="zh-CN" w:bidi="ar"/>
              </w:rPr>
              <w:t>天津润东汽车部件有限公司</w:t>
            </w:r>
            <w:r>
              <w:rPr>
                <w:rFonts w:hint="eastAsia" w:ascii="仿宋_GB2312" w:hAnsi="宋体" w:eastAsia="仿宋_GB2312" w:cs="宋体"/>
                <w:color w:val="000000"/>
                <w:kern w:val="0"/>
                <w:sz w:val="21"/>
                <w:szCs w:val="21"/>
                <w:lang w:bidi="ar"/>
              </w:rPr>
              <w:t>（以下简称“建设单位”）</w:t>
            </w:r>
            <w:r>
              <w:rPr>
                <w:rFonts w:hint="eastAsia" w:ascii="仿宋" w:hAnsi="仿宋" w:eastAsia="仿宋" w:cs="仿宋"/>
                <w:color w:val="000000"/>
                <w:kern w:val="0"/>
                <w:sz w:val="21"/>
                <w:szCs w:val="21"/>
                <w:lang w:val="en-US" w:eastAsia="zh-CN" w:bidi="ar"/>
              </w:rPr>
              <w:t>租赁天津市滨海新区中塘镇安港二路10号现有厂房作为生产车间，</w:t>
            </w:r>
            <w:r>
              <w:rPr>
                <w:rFonts w:hint="eastAsia" w:ascii="仿宋" w:hAnsi="仿宋" w:eastAsia="仿宋" w:cs="仿宋"/>
                <w:color w:val="auto"/>
                <w:kern w:val="0"/>
                <w:sz w:val="21"/>
                <w:szCs w:val="21"/>
                <w:lang w:val="en-US" w:eastAsia="zh-CN" w:bidi="ar"/>
              </w:rPr>
              <w:t>购进 EPP成型机、PUR 发泡机、转盘、切割机和铺胶机等设备，建设“汽车填充发泡件项目”，主要生产 EPP 发泡产品和 PUR 发泡产品，用于汽车空调密封块、保险杠缓冲块等零部件。</w:t>
            </w:r>
            <w:r>
              <w:rPr>
                <w:rFonts w:hint="eastAsia" w:ascii="仿宋" w:hAnsi="仿宋" w:eastAsia="仿宋" w:cs="仿宋"/>
                <w:color w:val="000000"/>
                <w:kern w:val="0"/>
                <w:sz w:val="21"/>
                <w:szCs w:val="21"/>
                <w:lang w:val="en-US" w:eastAsia="zh-CN" w:bidi="ar"/>
              </w:rPr>
              <w:t>建成后预计年产汽车密封件和填充件共500万件，其中发泡密封件110万件、发泡填充件90万件、切割件300万件。本项目</w:t>
            </w:r>
            <w:r>
              <w:rPr>
                <w:rFonts w:hint="eastAsia" w:ascii="仿宋_GB2312" w:hAnsi="宋体" w:eastAsia="仿宋_GB2312" w:cs="宋体"/>
                <w:color w:val="000000"/>
                <w:kern w:val="0"/>
                <w:sz w:val="21"/>
                <w:szCs w:val="21"/>
                <w:lang w:bidi="ar"/>
              </w:rPr>
              <w:t>总投资为</w:t>
            </w:r>
            <w:r>
              <w:rPr>
                <w:rFonts w:hint="eastAsia" w:ascii="仿宋_GB2312" w:eastAsia="仿宋_GB2312"/>
                <w:color w:val="000000"/>
                <w:kern w:val="0"/>
                <w:sz w:val="21"/>
                <w:szCs w:val="21"/>
                <w:lang w:val="en-US" w:eastAsia="zh-CN" w:bidi="ar"/>
              </w:rPr>
              <w:t>600</w:t>
            </w:r>
            <w:r>
              <w:rPr>
                <w:rFonts w:hint="eastAsia" w:ascii="仿宋_GB2312" w:hAnsi="宋体" w:eastAsia="仿宋_GB2312" w:cs="宋体"/>
                <w:color w:val="000000"/>
                <w:kern w:val="0"/>
                <w:sz w:val="21"/>
                <w:szCs w:val="21"/>
                <w:lang w:bidi="ar"/>
              </w:rPr>
              <w:t>万元，</w:t>
            </w:r>
            <w:r>
              <w:rPr>
                <w:rFonts w:hint="eastAsia" w:ascii="仿宋_GB2312" w:hAnsi="宋体" w:eastAsia="仿宋_GB2312" w:cs="仿宋_GB2312"/>
                <w:sz w:val="21"/>
                <w:szCs w:val="21"/>
              </w:rPr>
              <w:t>其中环保投资</w:t>
            </w:r>
            <w:r>
              <w:rPr>
                <w:rFonts w:hint="eastAsia" w:ascii="仿宋_GB2312" w:hAnsi="宋体" w:eastAsia="仿宋_GB2312" w:cs="仿宋_GB2312"/>
                <w:sz w:val="21"/>
                <w:szCs w:val="21"/>
                <w:lang w:val="en-US" w:eastAsia="zh-CN"/>
              </w:rPr>
              <w:t>10</w:t>
            </w:r>
            <w:r>
              <w:rPr>
                <w:rFonts w:hint="eastAsia" w:ascii="仿宋_GB2312" w:hAnsi="宋体" w:eastAsia="仿宋_GB2312" w:cs="仿宋_GB2312"/>
                <w:sz w:val="21"/>
                <w:szCs w:val="21"/>
              </w:rPr>
              <w:t>万元，环保投资占</w:t>
            </w:r>
            <w:r>
              <w:rPr>
                <w:rFonts w:hint="eastAsia" w:ascii="仿宋_GB2312" w:hAnsi="宋体" w:eastAsia="仿宋_GB2312" w:cs="仿宋_GB2312"/>
                <w:sz w:val="21"/>
                <w:szCs w:val="21"/>
                <w:lang w:val="en-US" w:eastAsia="zh-CN"/>
              </w:rPr>
              <w:t>比1.7</w:t>
            </w:r>
            <w:r>
              <w:rPr>
                <w:rFonts w:hint="eastAsia" w:ascii="仿宋_GB2312" w:hAnsi="宋体" w:eastAsia="仿宋_GB2312" w:cs="仿宋_GB2312"/>
                <w:sz w:val="21"/>
                <w:szCs w:val="21"/>
              </w:rPr>
              <w:t>%。</w:t>
            </w:r>
            <w:r>
              <w:rPr>
                <w:rFonts w:hint="eastAsia" w:ascii="仿宋_GB2312" w:hAnsi="宋体" w:eastAsia="仿宋_GB2312" w:cs="宋体"/>
                <w:color w:val="000000"/>
                <w:kern w:val="0"/>
                <w:sz w:val="21"/>
                <w:szCs w:val="21"/>
                <w:lang w:bidi="ar"/>
              </w:rPr>
              <w:t>预计202</w:t>
            </w:r>
            <w:r>
              <w:rPr>
                <w:rFonts w:hint="eastAsia" w:ascii="仿宋_GB2312" w:hAnsi="宋体" w:eastAsia="仿宋_GB2312" w:cs="宋体"/>
                <w:color w:val="000000"/>
                <w:kern w:val="0"/>
                <w:sz w:val="21"/>
                <w:szCs w:val="21"/>
                <w:lang w:val="en-US" w:eastAsia="zh-CN" w:bidi="ar"/>
              </w:rPr>
              <w:t>3</w:t>
            </w:r>
            <w:r>
              <w:rPr>
                <w:rFonts w:hint="eastAsia" w:ascii="仿宋_GB2312" w:hAnsi="宋体" w:eastAsia="仿宋_GB2312" w:cs="宋体"/>
                <w:color w:val="000000"/>
                <w:kern w:val="0"/>
                <w:sz w:val="21"/>
                <w:szCs w:val="21"/>
                <w:lang w:bidi="ar"/>
              </w:rPr>
              <w:t>年</w:t>
            </w:r>
            <w:r>
              <w:rPr>
                <w:rFonts w:hint="eastAsia" w:ascii="仿宋_GB2312" w:hAnsi="宋体" w:eastAsia="仿宋_GB2312" w:cs="宋体"/>
                <w:color w:val="000000"/>
                <w:kern w:val="0"/>
                <w:sz w:val="21"/>
                <w:szCs w:val="21"/>
                <w:lang w:val="en-US" w:eastAsia="zh-CN" w:bidi="ar"/>
              </w:rPr>
              <w:t>4</w:t>
            </w:r>
            <w:r>
              <w:rPr>
                <w:rFonts w:hint="eastAsia" w:ascii="仿宋_GB2312" w:hAnsi="宋体" w:eastAsia="仿宋_GB2312" w:cs="宋体"/>
                <w:color w:val="000000"/>
                <w:kern w:val="0"/>
                <w:sz w:val="21"/>
                <w:szCs w:val="21"/>
                <w:lang w:bidi="ar"/>
              </w:rPr>
              <w:t>月投产。</w:t>
            </w:r>
          </w:p>
          <w:p>
            <w:pPr>
              <w:widowControl/>
              <w:spacing w:before="100" w:beforeAutospacing="1" w:after="100" w:afterAutospacing="1"/>
              <w:jc w:val="center"/>
              <w:rPr>
                <w:rFonts w:hint="eastAsia" w:ascii="仿宋" w:hAnsi="仿宋" w:eastAsia="仿宋" w:cs="仿宋"/>
                <w:kern w:val="0"/>
                <w:sz w:val="24"/>
                <w:szCs w:val="24"/>
              </w:rPr>
            </w:pPr>
          </w:p>
        </w:tc>
        <w:tc>
          <w:tcPr>
            <w:tcW w:w="2570"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ind w:firstLine="420" w:firstLineChars="200"/>
              <w:textAlignment w:val="baseline"/>
              <w:rPr>
                <w:rStyle w:val="9"/>
                <w:rFonts w:hint="eastAsia" w:ascii="仿宋_GB2312" w:hAnsi="宋体" w:eastAsia="仿宋_GB2312"/>
                <w:sz w:val="21"/>
                <w:szCs w:val="21"/>
              </w:rPr>
            </w:pPr>
            <w:r>
              <w:rPr>
                <w:rFonts w:hint="eastAsia" w:ascii="仿宋" w:hAnsi="仿宋" w:eastAsia="仿宋" w:cs="仿宋"/>
                <w:sz w:val="21"/>
                <w:szCs w:val="21"/>
                <w:lang w:val="en-US" w:eastAsia="zh-CN"/>
              </w:rPr>
              <w:t>一、</w:t>
            </w:r>
            <w:r>
              <w:rPr>
                <w:rStyle w:val="9"/>
                <w:rFonts w:hint="eastAsia" w:ascii="仿宋_GB2312" w:hAnsi="宋体" w:eastAsia="仿宋_GB2312"/>
                <w:sz w:val="21"/>
                <w:szCs w:val="21"/>
              </w:rPr>
              <w:t>项目施工期间，你公司应重点做好以下工作：</w:t>
            </w:r>
          </w:p>
          <w:p>
            <w:pPr>
              <w:spacing w:line="360" w:lineRule="auto"/>
              <w:ind w:firstLine="371" w:firstLineChars="177"/>
              <w:textAlignment w:val="baseline"/>
              <w:rPr>
                <w:rStyle w:val="9"/>
                <w:rFonts w:hint="eastAsia" w:ascii="仿宋_GB2312" w:hAnsi="宋体" w:eastAsia="仿宋_GB2312"/>
                <w:sz w:val="21"/>
                <w:szCs w:val="21"/>
              </w:rPr>
            </w:pPr>
            <w:r>
              <w:rPr>
                <w:rStyle w:val="9"/>
                <w:rFonts w:hint="eastAsia" w:ascii="仿宋_GB2312" w:hAnsi="宋体" w:eastAsia="仿宋_GB2312"/>
                <w:sz w:val="21"/>
                <w:szCs w:val="21"/>
              </w:rPr>
              <w:t xml:space="preserve"> 严格执行《天津市大气污染防治条例》、《天津市建设工程文明施工管理规定》、《天津市环境噪声污染防治管理办法》等环保法规要求，合理安排施工时间，落实施工噪声、</w:t>
            </w:r>
            <w:r>
              <w:rPr>
                <w:rStyle w:val="9"/>
                <w:rFonts w:hint="eastAsia" w:ascii="仿宋_GB2312" w:hAnsi="宋体" w:eastAsia="仿宋_GB2312"/>
                <w:sz w:val="21"/>
                <w:szCs w:val="21"/>
                <w:lang w:val="en-US"/>
              </w:rPr>
              <w:t>废气、</w:t>
            </w:r>
            <w:r>
              <w:rPr>
                <w:rStyle w:val="9"/>
                <w:rFonts w:hint="eastAsia" w:ascii="仿宋_GB2312" w:hAnsi="宋体" w:eastAsia="仿宋_GB2312"/>
                <w:sz w:val="21"/>
                <w:szCs w:val="21"/>
              </w:rPr>
              <w:t>废水、固废等各项污染防治措施，确保施工期不会对周边环境产生不良影响。</w:t>
            </w:r>
          </w:p>
          <w:p>
            <w:pPr>
              <w:ind w:firstLine="420" w:firstLineChars="200"/>
              <w:textAlignment w:val="baseline"/>
              <w:rPr>
                <w:rStyle w:val="9"/>
                <w:rFonts w:hint="eastAsia" w:ascii="仿宋_GB2312" w:hAnsi="宋体" w:eastAsia="仿宋_GB2312"/>
                <w:sz w:val="21"/>
                <w:szCs w:val="21"/>
              </w:rPr>
            </w:pPr>
            <w:r>
              <w:rPr>
                <w:rStyle w:val="9"/>
                <w:rFonts w:hint="eastAsia" w:ascii="仿宋_GB2312" w:hAnsi="宋体" w:eastAsia="仿宋_GB2312"/>
                <w:sz w:val="21"/>
                <w:szCs w:val="21"/>
                <w:lang w:val="en-US"/>
              </w:rPr>
              <w:t>二</w:t>
            </w:r>
            <w:r>
              <w:rPr>
                <w:rStyle w:val="9"/>
                <w:rFonts w:hint="eastAsia" w:ascii="仿宋_GB2312" w:hAnsi="宋体" w:eastAsia="仿宋_GB2312"/>
                <w:sz w:val="21"/>
                <w:szCs w:val="21"/>
              </w:rPr>
              <w:t>、项目运营期间，你公司应重点做好以下工作：</w:t>
            </w:r>
          </w:p>
          <w:p>
            <w:pPr>
              <w:keepNext w:val="0"/>
              <w:keepLines w:val="0"/>
              <w:widowControl/>
              <w:suppressLineNumbers w:val="0"/>
              <w:ind w:firstLine="420" w:firstLineChars="200"/>
              <w:jc w:val="left"/>
              <w:rPr>
                <w:rFonts w:hint="default" w:ascii="仿宋" w:hAnsi="仿宋" w:eastAsia="仿宋" w:cs="仿宋"/>
                <w:sz w:val="21"/>
                <w:szCs w:val="21"/>
                <w:lang w:val="en-US"/>
              </w:rPr>
            </w:pPr>
            <w:r>
              <w:rPr>
                <w:rStyle w:val="9"/>
                <w:rFonts w:hint="eastAsia" w:ascii="仿宋_GB2312" w:hAnsi="宋体" w:eastAsia="仿宋_GB2312"/>
                <w:sz w:val="21"/>
                <w:szCs w:val="21"/>
              </w:rPr>
              <w:t>1、本项目</w:t>
            </w:r>
            <w:r>
              <w:rPr>
                <w:rStyle w:val="9"/>
                <w:rFonts w:hint="eastAsia" w:ascii="仿宋_GB2312" w:hAnsi="宋体" w:eastAsia="仿宋_GB2312"/>
                <w:sz w:val="21"/>
                <w:szCs w:val="21"/>
                <w:lang w:val="en-US"/>
              </w:rPr>
              <w:t>产生的</w:t>
            </w:r>
            <w:r>
              <w:rPr>
                <w:rFonts w:hint="eastAsia" w:ascii="仿宋" w:hAnsi="仿宋" w:eastAsia="仿宋" w:cs="仿宋"/>
                <w:color w:val="000000"/>
                <w:kern w:val="0"/>
                <w:sz w:val="21"/>
                <w:szCs w:val="21"/>
                <w:lang w:val="en-US" w:eastAsia="zh-CN" w:bidi="ar"/>
              </w:rPr>
              <w:t>生活污水经化粪池沉淀后，与冷凝水通过厂区废水总排口，经市政污水管网，最终排入中塘污水处理厂进一步处理。确保不对周边环境产生影响。</w:t>
            </w:r>
          </w:p>
          <w:p>
            <w:pPr>
              <w:keepNext w:val="0"/>
              <w:keepLines w:val="0"/>
              <w:widowControl/>
              <w:suppressLineNumbers w:val="0"/>
              <w:ind w:firstLine="420" w:firstLineChars="200"/>
              <w:jc w:val="left"/>
              <w:rPr>
                <w:rFonts w:hint="eastAsia" w:ascii="仿宋" w:hAnsi="仿宋" w:eastAsia="仿宋" w:cs="仿宋"/>
                <w:color w:val="000000"/>
                <w:kern w:val="0"/>
                <w:sz w:val="21"/>
                <w:szCs w:val="21"/>
                <w:lang w:val="en-US" w:eastAsia="zh-CN" w:bidi="ar"/>
              </w:rPr>
            </w:pPr>
            <w:r>
              <w:rPr>
                <w:rStyle w:val="9"/>
                <w:rFonts w:hint="eastAsia" w:ascii="仿宋_GB2312" w:hAnsi="宋体" w:eastAsia="仿宋_GB2312"/>
                <w:sz w:val="21"/>
                <w:szCs w:val="21"/>
              </w:rPr>
              <w:t>2、</w:t>
            </w:r>
            <w:r>
              <w:rPr>
                <w:rStyle w:val="9"/>
                <w:rFonts w:hint="eastAsia" w:ascii="仿宋" w:hAnsi="仿宋" w:eastAsia="仿宋" w:cs="仿宋"/>
                <w:sz w:val="21"/>
                <w:szCs w:val="21"/>
              </w:rPr>
              <w:t>严格落实大气污染防治措施。</w:t>
            </w:r>
            <w:r>
              <w:rPr>
                <w:rFonts w:hint="eastAsia" w:ascii="仿宋" w:hAnsi="仿宋" w:eastAsia="仿宋" w:cs="仿宋"/>
                <w:color w:val="000000"/>
                <w:kern w:val="0"/>
                <w:sz w:val="21"/>
                <w:szCs w:val="21"/>
                <w:lang w:val="en-US" w:eastAsia="zh-CN" w:bidi="ar"/>
              </w:rPr>
              <w:t>本项目 EPP 生产线成型和开模工序产生的有机废气、PUR 生产线注料和发泡工序产生的有机废气、PUR 生产使用脱模剂产生的废气，由集气罩收集，经两级活性炭吸附处理后，通过一根15m高排气筒达标排放。严格控制无组织废气排放，确保厂界大气污染物达标排放。建设单位须按照《天津市涉气工业污染源自动监控系统建设工作方案》文件相关内容要求执行。</w:t>
            </w:r>
          </w:p>
          <w:p>
            <w:pPr>
              <w:keepNext w:val="0"/>
              <w:keepLines w:val="0"/>
              <w:widowControl/>
              <w:suppressLineNumbers w:val="0"/>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3、本项目实施后，根据天津市滨海新区生态环境局《关于天津润东汽车部件有限公司汽车填充发泡件项目新增主要污染物总量来源确认意见》，上述新增污染物总量指标均有来源。 </w:t>
            </w:r>
          </w:p>
          <w:p>
            <w:pPr>
              <w:keepNext w:val="0"/>
              <w:keepLines w:val="0"/>
              <w:widowControl/>
              <w:suppressLineNumbers w:val="0"/>
              <w:ind w:firstLine="420" w:firstLineChars="200"/>
              <w:jc w:val="left"/>
              <w:rPr>
                <w:rStyle w:val="9"/>
                <w:rFonts w:hint="eastAsia" w:ascii="仿宋_GB2312" w:hAnsi="宋体" w:eastAsia="仿宋_GB2312"/>
                <w:sz w:val="21"/>
                <w:szCs w:val="21"/>
              </w:rPr>
            </w:pPr>
            <w:r>
              <w:rPr>
                <w:rStyle w:val="9"/>
                <w:rFonts w:hint="eastAsia" w:ascii="仿宋_GB2312" w:eastAsia="仿宋_GB2312"/>
                <w:sz w:val="21"/>
                <w:szCs w:val="21"/>
                <w:lang w:val="en-US"/>
              </w:rPr>
              <w:t>4</w:t>
            </w:r>
            <w:r>
              <w:rPr>
                <w:rStyle w:val="9"/>
                <w:rFonts w:hint="eastAsia" w:ascii="仿宋_GB2312" w:eastAsia="仿宋_GB2312"/>
                <w:sz w:val="21"/>
                <w:szCs w:val="21"/>
              </w:rPr>
              <w:t>、</w:t>
            </w:r>
            <w:r>
              <w:rPr>
                <w:rStyle w:val="9"/>
                <w:rFonts w:hint="eastAsia" w:ascii="仿宋_GB2312" w:hAnsi="宋体" w:eastAsia="仿宋_GB2312"/>
                <w:sz w:val="21"/>
                <w:szCs w:val="21"/>
              </w:rPr>
              <w:t>强化噪声污染防治措施。</w:t>
            </w:r>
            <w:r>
              <w:rPr>
                <w:rStyle w:val="9"/>
                <w:rFonts w:hint="eastAsia" w:ascii="仿宋_GB2312" w:hAnsi="宋体" w:eastAsia="仿宋_GB2312"/>
                <w:sz w:val="21"/>
                <w:szCs w:val="21"/>
                <w:lang w:val="en-US"/>
              </w:rPr>
              <w:t>通过</w:t>
            </w:r>
            <w:r>
              <w:rPr>
                <w:rFonts w:hint="eastAsia" w:ascii="仿宋" w:hAnsi="仿宋" w:eastAsia="仿宋" w:cs="仿宋"/>
                <w:color w:val="000000"/>
                <w:kern w:val="0"/>
                <w:sz w:val="21"/>
                <w:szCs w:val="21"/>
                <w:lang w:val="en-US" w:eastAsia="zh-CN" w:bidi="ar"/>
              </w:rPr>
              <w:t>基础减震，墙体隔声，合理布局，距离衰减等、消声器降噪等措施，</w:t>
            </w:r>
            <w:r>
              <w:rPr>
                <w:rStyle w:val="9"/>
                <w:rFonts w:hint="eastAsia" w:ascii="仿宋_GB2312" w:hAnsi="宋体" w:eastAsia="仿宋_GB2312"/>
                <w:color w:val="000000"/>
                <w:kern w:val="0"/>
                <w:sz w:val="21"/>
                <w:szCs w:val="21"/>
              </w:rPr>
              <w:t>确保厂界噪声达标</w:t>
            </w:r>
            <w:r>
              <w:rPr>
                <w:rStyle w:val="9"/>
                <w:rFonts w:hint="eastAsia" w:ascii="仿宋_GB2312" w:hAnsi="宋体" w:eastAsia="仿宋_GB2312"/>
                <w:color w:val="000000"/>
                <w:kern w:val="0"/>
                <w:sz w:val="21"/>
                <w:szCs w:val="21"/>
                <w:lang w:val="en-US"/>
              </w:rPr>
              <w:t>排放</w:t>
            </w:r>
            <w:r>
              <w:rPr>
                <w:rStyle w:val="9"/>
                <w:rFonts w:hint="eastAsia" w:ascii="仿宋_GB2312" w:hAnsi="宋体" w:eastAsia="仿宋_GB2312"/>
                <w:color w:val="000000"/>
                <w:kern w:val="0"/>
                <w:sz w:val="21"/>
                <w:szCs w:val="21"/>
              </w:rPr>
              <w:t>。</w:t>
            </w:r>
          </w:p>
          <w:p>
            <w:pPr>
              <w:keepNext w:val="0"/>
              <w:keepLines w:val="0"/>
              <w:widowControl/>
              <w:suppressLineNumbers w:val="0"/>
              <w:ind w:firstLine="420" w:firstLineChars="200"/>
              <w:jc w:val="left"/>
              <w:rPr>
                <w:rStyle w:val="9"/>
                <w:rFonts w:hint="eastAsia" w:ascii="仿宋_GB2312" w:hAnsi="宋体" w:eastAsia="仿宋_GB2312"/>
                <w:sz w:val="21"/>
                <w:szCs w:val="21"/>
              </w:rPr>
            </w:pPr>
            <w:r>
              <w:rPr>
                <w:rStyle w:val="9"/>
                <w:rFonts w:hint="eastAsia" w:ascii="仿宋_GB2312" w:hAnsi="宋体" w:eastAsia="仿宋_GB2312"/>
                <w:sz w:val="21"/>
                <w:szCs w:val="21"/>
                <w:lang w:val="en-US"/>
              </w:rPr>
              <w:t>5</w:t>
            </w:r>
            <w:r>
              <w:rPr>
                <w:rStyle w:val="9"/>
                <w:rFonts w:hint="eastAsia" w:ascii="仿宋_GB2312" w:hAnsi="宋体" w:eastAsia="仿宋_GB2312"/>
                <w:sz w:val="21"/>
                <w:szCs w:val="21"/>
              </w:rPr>
              <w:t>、做好各类固体废物的收集、贮存、运输和处置，做到资源化、减量化、无害化。</w:t>
            </w:r>
            <w:r>
              <w:rPr>
                <w:rFonts w:hint="eastAsia" w:ascii="仿宋" w:hAnsi="仿宋" w:eastAsia="仿宋" w:cs="仿宋"/>
                <w:color w:val="000000"/>
                <w:kern w:val="0"/>
                <w:sz w:val="21"/>
                <w:szCs w:val="21"/>
                <w:lang w:val="en-US" w:eastAsia="zh-CN" w:bidi="ar"/>
              </w:rPr>
              <w:t>一般工业固体废物包括包装材料、不合格品、废边角料、胶带卷芯等分类收集，定期由物资部门回收利用；危险废物包括废原料桶、废液压油、废活性炭、废油桶等分类收集，暂存于危废间，定期交由有资质单位处置</w:t>
            </w:r>
            <w:r>
              <w:rPr>
                <w:rStyle w:val="9"/>
                <w:rFonts w:hint="eastAsia" w:ascii="仿宋" w:hAnsi="仿宋" w:eastAsia="仿宋" w:cs="仿宋"/>
                <w:sz w:val="21"/>
                <w:szCs w:val="21"/>
              </w:rPr>
              <w:t>；</w:t>
            </w:r>
            <w:r>
              <w:rPr>
                <w:rStyle w:val="9"/>
                <w:rFonts w:hint="eastAsia" w:ascii="仿宋_GB2312" w:hAnsi="宋体" w:eastAsia="仿宋_GB2312"/>
                <w:sz w:val="21"/>
                <w:szCs w:val="21"/>
              </w:rPr>
              <w:t>生活垃圾由城管委定期</w:t>
            </w:r>
            <w:r>
              <w:rPr>
                <w:rStyle w:val="9"/>
                <w:rFonts w:hint="eastAsia" w:ascii="仿宋_GB2312" w:hAnsi="宋体" w:eastAsia="仿宋_GB2312"/>
                <w:sz w:val="21"/>
                <w:szCs w:val="21"/>
                <w:lang w:val="en-US"/>
              </w:rPr>
              <w:t>处理</w:t>
            </w:r>
            <w:r>
              <w:rPr>
                <w:rStyle w:val="9"/>
                <w:rFonts w:hint="eastAsia" w:ascii="仿宋_GB2312" w:hAnsi="宋体" w:eastAsia="仿宋_GB2312"/>
                <w:sz w:val="21"/>
                <w:szCs w:val="21"/>
              </w:rPr>
              <w:t>，确保不会对周边环境产生二次污染。</w:t>
            </w:r>
          </w:p>
          <w:p>
            <w:pPr>
              <w:keepNext w:val="0"/>
              <w:keepLines w:val="0"/>
              <w:widowControl/>
              <w:suppressLineNumbers w:val="0"/>
              <w:ind w:firstLine="420" w:firstLineChars="200"/>
              <w:jc w:val="left"/>
              <w:rPr>
                <w:rStyle w:val="9"/>
                <w:rFonts w:hint="eastAsia" w:ascii="仿宋_GB2312" w:hAnsi="宋体" w:eastAsia="仿宋_GB2312"/>
                <w:sz w:val="21"/>
                <w:szCs w:val="21"/>
              </w:rPr>
            </w:pPr>
            <w:r>
              <w:rPr>
                <w:rStyle w:val="9"/>
                <w:rFonts w:hint="eastAsia" w:ascii="仿宋_GB2312" w:hAnsi="仿宋_GB2312" w:eastAsia="仿宋_GB2312"/>
                <w:sz w:val="21"/>
                <w:szCs w:val="21"/>
                <w:lang w:val="en-US"/>
              </w:rPr>
              <w:t>6</w:t>
            </w:r>
            <w:r>
              <w:rPr>
                <w:rStyle w:val="9"/>
                <w:rFonts w:hint="eastAsia" w:ascii="仿宋_GB2312" w:hAnsi="仿宋_GB2312" w:eastAsia="仿宋_GB2312"/>
                <w:sz w:val="21"/>
                <w:szCs w:val="21"/>
              </w:rPr>
              <w:t>、</w:t>
            </w:r>
            <w:r>
              <w:rPr>
                <w:rStyle w:val="9"/>
                <w:rFonts w:hint="eastAsia" w:ascii="仿宋_GB2312" w:hAnsi="宋体" w:eastAsia="仿宋_GB2312"/>
                <w:color w:val="000000"/>
                <w:kern w:val="0"/>
                <w:sz w:val="21"/>
                <w:szCs w:val="21"/>
              </w:rPr>
              <w:t>项目主要风险物质</w:t>
            </w:r>
            <w:r>
              <w:rPr>
                <w:rFonts w:hint="eastAsia" w:ascii="仿宋_GB2312" w:hAnsi="宋体" w:eastAsia="仿宋_GB2312" w:cs="宋体"/>
                <w:color w:val="000000"/>
                <w:kern w:val="0"/>
                <w:sz w:val="21"/>
                <w:szCs w:val="21"/>
                <w:lang w:bidi="ar"/>
              </w:rPr>
              <w:t>为</w:t>
            </w:r>
            <w:r>
              <w:rPr>
                <w:rFonts w:hint="eastAsia" w:ascii="仿宋" w:hAnsi="仿宋" w:eastAsia="仿宋" w:cs="仿宋"/>
                <w:color w:val="000000"/>
                <w:kern w:val="0"/>
                <w:sz w:val="21"/>
                <w:szCs w:val="21"/>
                <w:lang w:val="en-US" w:eastAsia="zh-CN" w:bidi="ar"/>
              </w:rPr>
              <w:t>多亚甲基多苯基异氰酸酯中的 MDI 和 PAPI、组合聚醚、液压油、废液压油</w:t>
            </w:r>
            <w:r>
              <w:rPr>
                <w:rFonts w:hint="eastAsia" w:ascii="仿宋_GB2312" w:hAnsi="宋体" w:eastAsia="仿宋_GB2312" w:cs="宋体"/>
                <w:color w:val="000000"/>
                <w:kern w:val="0"/>
                <w:sz w:val="21"/>
                <w:szCs w:val="21"/>
                <w:lang w:bidi="ar"/>
              </w:rPr>
              <w:t>等</w:t>
            </w:r>
            <w:r>
              <w:rPr>
                <w:rStyle w:val="9"/>
                <w:rFonts w:hint="eastAsia" w:ascii="仿宋_GB2312" w:hAnsi="宋体" w:eastAsia="仿宋_GB2312"/>
                <w:color w:val="000000"/>
                <w:kern w:val="0"/>
                <w:sz w:val="21"/>
                <w:szCs w:val="21"/>
              </w:rPr>
              <w:t>在</w:t>
            </w:r>
            <w:r>
              <w:rPr>
                <w:rFonts w:hint="eastAsia" w:ascii="仿宋_GB2312" w:hAnsi="宋体" w:eastAsia="仿宋_GB2312" w:cs="宋体"/>
                <w:color w:val="000000"/>
                <w:kern w:val="0"/>
                <w:sz w:val="21"/>
                <w:szCs w:val="21"/>
                <w:lang w:bidi="ar"/>
              </w:rPr>
              <w:t>运输、使用、储存过程中，管理不当导致的泄漏、火灾、中毒等伴生/次生风险事故</w:t>
            </w:r>
            <w:r>
              <w:rPr>
                <w:rStyle w:val="9"/>
                <w:rFonts w:hint="eastAsia" w:ascii="仿宋_GB2312" w:hAnsi="宋体" w:eastAsia="仿宋_GB2312"/>
                <w:color w:val="000000"/>
                <w:kern w:val="0"/>
                <w:sz w:val="21"/>
                <w:szCs w:val="21"/>
              </w:rPr>
              <w:t>。</w:t>
            </w:r>
            <w:r>
              <w:rPr>
                <w:rStyle w:val="9"/>
                <w:rFonts w:hint="eastAsia" w:ascii="仿宋_GB2312" w:hAnsi="宋体" w:eastAsia="仿宋_GB2312"/>
                <w:sz w:val="21"/>
                <w:szCs w:val="21"/>
              </w:rPr>
              <w:t>严格落实报告提出的风险事故的防范、减缓等措施，加强对环境风险的防治工作，强化管理、制定应急预案，防止发生环境事故和次生环境事故。</w:t>
            </w:r>
          </w:p>
          <w:p>
            <w:pPr>
              <w:ind w:firstLine="420" w:firstLineChars="200"/>
              <w:textAlignment w:val="baseline"/>
              <w:rPr>
                <w:rStyle w:val="9"/>
                <w:rFonts w:hint="eastAsia" w:ascii="仿宋_GB2312" w:hAnsi="宋体" w:eastAsia="仿宋_GB2312"/>
                <w:sz w:val="21"/>
                <w:szCs w:val="21"/>
              </w:rPr>
            </w:pPr>
            <w:r>
              <w:rPr>
                <w:rStyle w:val="9"/>
                <w:rFonts w:hint="eastAsia" w:ascii="仿宋_GB2312" w:hAnsi="宋体" w:eastAsia="仿宋_GB2312"/>
                <w:sz w:val="21"/>
                <w:szCs w:val="21"/>
                <w:lang w:val="en-US"/>
              </w:rPr>
              <w:t>7</w:t>
            </w:r>
            <w:r>
              <w:rPr>
                <w:rStyle w:val="9"/>
                <w:rFonts w:hint="eastAsia" w:ascii="仿宋_GB2312" w:hAnsi="宋体" w:eastAsia="仿宋_GB2312"/>
                <w:sz w:val="21"/>
                <w:szCs w:val="21"/>
              </w:rPr>
              <w:t>、按照相关技术要求做好排污口规范化建设，项目排污口规范化设置应与主体工程同时进行。按照相关规定设置规范的采样点，悬挂符合要求的标识牌。</w:t>
            </w:r>
          </w:p>
          <w:p>
            <w:pPr>
              <w:ind w:firstLine="420" w:firstLineChars="200"/>
              <w:textAlignment w:val="baseline"/>
              <w:rPr>
                <w:rStyle w:val="9"/>
                <w:rFonts w:hint="eastAsia" w:ascii="仿宋_GB2312" w:hAnsi="宋体" w:eastAsia="仿宋_GB2312"/>
                <w:sz w:val="21"/>
                <w:szCs w:val="21"/>
              </w:rPr>
            </w:pPr>
            <w:r>
              <w:rPr>
                <w:rStyle w:val="9"/>
                <w:rFonts w:hint="eastAsia" w:ascii="仿宋_GB2312" w:hAnsi="宋体" w:eastAsia="仿宋_GB2312"/>
                <w:sz w:val="21"/>
                <w:szCs w:val="21"/>
                <w:lang w:val="en-US"/>
              </w:rPr>
              <w:t>8</w:t>
            </w:r>
            <w:r>
              <w:rPr>
                <w:rStyle w:val="9"/>
                <w:rFonts w:hint="eastAsia" w:ascii="仿宋_GB2312" w:hAnsi="宋体" w:eastAsia="仿宋_GB2312"/>
                <w:sz w:val="21"/>
                <w:szCs w:val="21"/>
              </w:rPr>
              <w:t>、你单位应在启动生产设施或者在实际排污之前按照法律法规要求做好排污许可管理工作。</w:t>
            </w:r>
          </w:p>
          <w:p>
            <w:pPr>
              <w:ind w:firstLine="420" w:firstLineChars="200"/>
              <w:textAlignment w:val="baseline"/>
              <w:rPr>
                <w:rStyle w:val="9"/>
                <w:rFonts w:hint="eastAsia" w:ascii="仿宋_GB2312" w:hAnsi="宋体" w:eastAsia="仿宋_GB2312"/>
                <w:sz w:val="21"/>
                <w:szCs w:val="21"/>
              </w:rPr>
            </w:pPr>
          </w:p>
          <w:p>
            <w:pPr>
              <w:ind w:firstLine="420" w:firstLineChars="200"/>
              <w:textAlignment w:val="baseline"/>
              <w:rPr>
                <w:rStyle w:val="9"/>
                <w:rFonts w:hint="eastAsia" w:ascii="仿宋" w:hAnsi="仿宋" w:eastAsia="仿宋" w:cs="仿宋"/>
                <w:sz w:val="21"/>
                <w:szCs w:val="21"/>
              </w:rPr>
            </w:pPr>
          </w:p>
          <w:p>
            <w:pPr>
              <w:ind w:firstLine="480" w:firstLineChars="200"/>
              <w:textAlignment w:val="baseline"/>
              <w:rPr>
                <w:rStyle w:val="9"/>
                <w:rFonts w:hint="eastAsia" w:ascii="仿宋" w:hAnsi="仿宋" w:eastAsia="仿宋" w:cs="仿宋"/>
                <w:sz w:val="24"/>
                <w:szCs w:val="24"/>
              </w:rPr>
            </w:pPr>
          </w:p>
          <w:p>
            <w:pPr>
              <w:widowControl/>
              <w:spacing w:before="100" w:beforeAutospacing="1" w:after="100" w:afterAutospacing="1"/>
              <w:jc w:val="center"/>
              <w:rPr>
                <w:rFonts w:hint="eastAsia" w:ascii="仿宋" w:hAnsi="仿宋" w:eastAsia="仿宋" w:cs="仿宋"/>
                <w:kern w:val="0"/>
                <w:sz w:val="24"/>
                <w:szCs w:val="24"/>
              </w:rPr>
            </w:pPr>
          </w:p>
        </w:tc>
        <w:tc>
          <w:tcPr>
            <w:tcW w:w="1030"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393"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hint="eastAsia" w:ascii="仿宋" w:hAnsi="仿宋" w:eastAsia="仿宋" w:cs="仿宋"/>
                <w:kern w:val="0"/>
                <w:sz w:val="24"/>
                <w:szCs w:val="24"/>
              </w:rPr>
            </w:pP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w:t>
            </w:r>
          </w:p>
          <w:p>
            <w:pPr>
              <w:widowControl/>
              <w:spacing w:before="100" w:beforeAutospacing="1" w:after="100" w:afterAutospacing="1"/>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14</w:t>
            </w:r>
          </w:p>
        </w:tc>
      </w:tr>
      <w:bookmarkEnd w:id="0"/>
    </w:tbl>
    <w:p>
      <w:pPr>
        <w:widowControl/>
        <w:spacing w:before="100" w:beforeAutospacing="1" w:after="100" w:afterAutospacing="1" w:line="480" w:lineRule="atLeast"/>
        <w:rPr>
          <w:rFonts w:cs="宋体" w:asciiTheme="majorEastAsia" w:hAnsiTheme="majorEastAsia" w:eastAsiaTheme="majorEastAsia"/>
          <w:color w:val="4D4F53"/>
          <w:kern w:val="0"/>
          <w:sz w:val="28"/>
          <w:szCs w:val="28"/>
        </w:rPr>
      </w:pPr>
      <w:r>
        <w:rPr>
          <w:rFonts w:hint="eastAsia" w:ascii="仿宋" w:hAnsi="仿宋" w:eastAsia="仿宋" w:cs="仿宋"/>
          <w:color w:val="4D4F53"/>
          <w:kern w:val="0"/>
          <w:sz w:val="24"/>
          <w:szCs w:val="24"/>
        </w:rPr>
        <w:t> </w:t>
      </w:r>
    </w:p>
    <w:p>
      <w:pPr>
        <w:widowControl/>
        <w:spacing w:before="100" w:beforeAutospacing="1" w:after="100" w:afterAutospacing="1" w:line="480" w:lineRule="atLeast"/>
        <w:rPr>
          <w:rFonts w:ascii="宋体" w:hAnsi="宋体" w:eastAsia="宋体" w:cs="宋体"/>
          <w:color w:val="4D4F53"/>
          <w:kern w:val="0"/>
          <w:sz w:val="27"/>
          <w:szCs w:val="27"/>
        </w:rPr>
      </w:pPr>
      <w:r>
        <w:rPr>
          <w:rFonts w:hint="eastAsia" w:ascii="仿宋" w:hAnsi="仿宋" w:eastAsia="仿宋" w:cs="宋体"/>
          <w:color w:val="4D4F53"/>
          <w:kern w:val="0"/>
          <w:sz w:val="32"/>
          <w:szCs w:val="32"/>
        </w:rPr>
        <w:t>公示期限内，公众可以通过电话和信函的方式提出对该建设项目环境影响报告表审批的意见和建议。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iZTA4YWJiYTRlMWYwNGMyNTM5ZmM0NTU0NWFhMWYifQ=="/>
  </w:docVars>
  <w:rsids>
    <w:rsidRoot w:val="005E5C15"/>
    <w:rsid w:val="00096C7D"/>
    <w:rsid w:val="003F6434"/>
    <w:rsid w:val="00494BB5"/>
    <w:rsid w:val="005E5C15"/>
    <w:rsid w:val="008F11E6"/>
    <w:rsid w:val="092E4D51"/>
    <w:rsid w:val="0ACF21BB"/>
    <w:rsid w:val="121757CC"/>
    <w:rsid w:val="15D51D2D"/>
    <w:rsid w:val="508A2C9A"/>
    <w:rsid w:val="5B446707"/>
    <w:rsid w:val="622019C2"/>
    <w:rsid w:val="6E467247"/>
    <w:rsid w:val="7B245D3F"/>
    <w:rsid w:val="7DB1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1 Char"/>
    <w:basedOn w:val="5"/>
    <w:link w:val="2"/>
    <w:qFormat/>
    <w:uiPriority w:val="9"/>
    <w:rPr>
      <w:rFonts w:ascii="宋体" w:hAnsi="宋体" w:eastAsia="宋体" w:cs="宋体"/>
      <w:b/>
      <w:bCs/>
      <w:kern w:val="36"/>
      <w:sz w:val="48"/>
      <w:szCs w:val="48"/>
    </w:rPr>
  </w:style>
  <w:style w:type="character" w:customStyle="1" w:styleId="8">
    <w:name w:val="15"/>
    <w:basedOn w:val="5"/>
    <w:qFormat/>
    <w:uiPriority w:val="0"/>
    <w:rPr>
      <w:rFonts w:hint="default" w:ascii="Times New Roman" w:hAnsi="Times New Roman" w:cs="Times New Roman"/>
    </w:rPr>
  </w:style>
  <w:style w:type="character" w:customStyle="1" w:styleId="9">
    <w:name w:val="NormalCharacter"/>
    <w:link w:val="1"/>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1497</Words>
  <Characters>1532</Characters>
  <Lines>12</Lines>
  <Paragraphs>3</Paragraphs>
  <TotalTime>2</TotalTime>
  <ScaleCrop>false</ScaleCrop>
  <LinksUpToDate>false</LinksUpToDate>
  <CharactersWithSpaces>1538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2021-05-07T08:08:00Z</dcterms:created>
  <dc:creator>ndy</dc:creator>
  <cp:lastModifiedBy>Administrator</cp:lastModifiedBy>
  <cp:lastPrinted>2022-02-08T02:03:00Z</cp:lastPrinted>
  <dcterms:modified xsi:type="dcterms:W3CDTF">2023-02-08T01:24:25Z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02481AF15A644990AC939AC79B543114</vt:lpwstr>
  </property>
</Properties>
</file>