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宋体" w:hAnsi="宋体" w:eastAsia="宋体"/>
          <w:sz w:val="32"/>
          <w:szCs w:val="32"/>
        </w:rPr>
      </w:pPr>
      <w:r>
        <w:rPr>
          <w:rFonts w:hint="eastAsia" w:ascii="宋体" w:hAnsi="宋体" w:eastAsia="宋体" w:cs="宋体"/>
          <w:sz w:val="32"/>
          <w:szCs w:val="32"/>
        </w:rPr>
        <w:t>天津市</w:t>
      </w:r>
      <w:r>
        <w:rPr>
          <w:rFonts w:hint="eastAsia" w:ascii="宋体" w:hAnsi="宋体" w:eastAsia="宋体" w:cs="宋体"/>
          <w:sz w:val="32"/>
          <w:szCs w:val="32"/>
          <w:lang w:val="en-US" w:eastAsia="zh-CN"/>
        </w:rPr>
        <w:t>滨海新区中塘镇综合便民服务中心</w:t>
      </w:r>
      <w:r>
        <w:rPr>
          <w:rFonts w:hint="eastAsia" w:ascii="宋体" w:hAnsi="宋体" w:eastAsia="宋体" w:cs="宋体"/>
          <w:sz w:val="32"/>
          <w:szCs w:val="32"/>
        </w:rPr>
        <w:t>关于对</w:t>
      </w:r>
      <w:r>
        <w:rPr>
          <w:rFonts w:hint="eastAsia" w:ascii="宋体" w:hAnsi="宋体" w:eastAsia="宋体" w:cs="宋体"/>
          <w:color w:val="000000"/>
          <w:kern w:val="0"/>
          <w:sz w:val="32"/>
          <w:szCs w:val="32"/>
          <w:lang w:val="en-US" w:eastAsia="zh-CN" w:bidi="ar"/>
        </w:rPr>
        <w:t>天津市滨海新区中恒建材商行玻璃钢制品建设项目</w:t>
      </w:r>
      <w:r>
        <w:rPr>
          <w:rFonts w:hint="eastAsia" w:ascii="宋体" w:hAnsi="宋体" w:eastAsia="宋体" w:cs="宋体"/>
          <w:sz w:val="32"/>
          <w:szCs w:val="32"/>
        </w:rPr>
        <w:t>环境影响报告表</w:t>
      </w:r>
      <w:r>
        <w:rPr>
          <w:rFonts w:ascii="宋体" w:hAnsi="宋体" w:eastAsia="宋体" w:cs="Helvetica"/>
          <w:color w:val="000000"/>
          <w:kern w:val="36"/>
          <w:sz w:val="32"/>
          <w:szCs w:val="32"/>
        </w:rPr>
        <w:t>拟作出审批决定的公示</w:t>
      </w:r>
    </w:p>
    <w:p>
      <w:pPr>
        <w:widowControl/>
        <w:spacing w:before="100" w:beforeAutospacing="1" w:after="100" w:afterAutospacing="1" w:line="480" w:lineRule="atLeast"/>
        <w:ind w:firstLine="645"/>
        <w:rPr>
          <w:rFonts w:hint="eastAsia" w:ascii="宋体" w:hAnsi="宋体" w:eastAsia="宋体" w:cs="宋体"/>
          <w:color w:val="4D4F53"/>
          <w:kern w:val="0"/>
          <w:sz w:val="27"/>
          <w:szCs w:val="27"/>
        </w:rPr>
      </w:pPr>
      <w:r>
        <w:rPr>
          <w:rFonts w:hint="eastAsia" w:ascii="仿宋" w:hAnsi="仿宋" w:eastAsia="仿宋" w:cs="宋体"/>
          <w:color w:val="4D4F53"/>
          <w:kern w:val="0"/>
          <w:sz w:val="32"/>
          <w:szCs w:val="32"/>
        </w:rPr>
        <w:t>根据建设项目环境影响评价审批程序的有关规定，经审议，我中心拟对以下建设项目环境影响报告表作出审批决定。为保证审批工作的严肃性和公正性，现将拟作出审批决定的建设项目环境影响报告表基本情况予以公示。</w:t>
      </w:r>
    </w:p>
    <w:p>
      <w:pPr>
        <w:widowControl/>
        <w:spacing w:before="100" w:beforeAutospacing="1" w:after="100" w:afterAutospacing="1" w:line="480" w:lineRule="atLeast"/>
        <w:ind w:firstLine="645"/>
        <w:rPr>
          <w:rFonts w:ascii="宋体" w:hAnsi="宋体" w:eastAsia="宋体" w:cs="宋体"/>
          <w:color w:val="4D4F53"/>
          <w:kern w:val="0"/>
          <w:sz w:val="27"/>
          <w:szCs w:val="27"/>
        </w:rPr>
      </w:pPr>
      <w:r>
        <w:rPr>
          <w:rFonts w:hint="eastAsia" w:ascii="仿宋" w:hAnsi="仿宋" w:eastAsia="仿宋" w:cs="宋体"/>
          <w:color w:val="4D4F53"/>
          <w:kern w:val="0"/>
          <w:sz w:val="32"/>
          <w:szCs w:val="32"/>
        </w:rPr>
        <w:t>听证权利告知：依据《中华人民共和国行政许可法》，自公示起五日内申请人、利害关系人可提出听证申请。</w:t>
      </w:r>
    </w:p>
    <w:p>
      <w:pPr>
        <w:widowControl/>
        <w:spacing w:before="100" w:beforeAutospacing="1" w:after="100" w:afterAutospacing="1" w:line="480" w:lineRule="atLeast"/>
        <w:ind w:firstLine="645"/>
        <w:rPr>
          <w:rFonts w:ascii="宋体" w:hAnsi="宋体" w:eastAsia="宋体" w:cs="宋体"/>
          <w:color w:val="4D4F53"/>
          <w:kern w:val="0"/>
          <w:sz w:val="27"/>
          <w:szCs w:val="27"/>
        </w:rPr>
      </w:pPr>
      <w:r>
        <w:rPr>
          <w:rFonts w:hint="eastAsia" w:ascii="仿宋" w:hAnsi="仿宋" w:eastAsia="仿宋" w:cs="宋体"/>
          <w:color w:val="4D4F53"/>
          <w:kern w:val="0"/>
          <w:sz w:val="32"/>
          <w:szCs w:val="32"/>
        </w:rPr>
        <w:t>公示期限：自本信息发布之日起</w:t>
      </w:r>
      <w:r>
        <w:rPr>
          <w:rFonts w:ascii="Times New Roman" w:hAnsi="Times New Roman" w:eastAsia="宋体" w:cs="Times New Roman"/>
          <w:color w:val="4D4F53"/>
          <w:kern w:val="0"/>
          <w:sz w:val="32"/>
          <w:szCs w:val="32"/>
        </w:rPr>
        <w:t>5</w:t>
      </w:r>
      <w:r>
        <w:rPr>
          <w:rFonts w:hint="eastAsia" w:ascii="仿宋" w:hAnsi="仿宋" w:eastAsia="仿宋" w:cs="宋体"/>
          <w:color w:val="4D4F53"/>
          <w:kern w:val="0"/>
          <w:sz w:val="32"/>
          <w:szCs w:val="32"/>
        </w:rPr>
        <w:t>个工作日。</w:t>
      </w:r>
    </w:p>
    <w:p>
      <w:pPr>
        <w:widowControl/>
        <w:spacing w:before="100" w:beforeAutospacing="1" w:after="100" w:afterAutospacing="1" w:line="480" w:lineRule="atLeast"/>
        <w:ind w:firstLine="645"/>
        <w:rPr>
          <w:rFonts w:ascii="宋体" w:hAnsi="宋体" w:eastAsia="宋体" w:cs="宋体"/>
          <w:color w:val="4D4F53"/>
          <w:kern w:val="0"/>
          <w:sz w:val="27"/>
          <w:szCs w:val="27"/>
        </w:rPr>
      </w:pPr>
      <w:r>
        <w:rPr>
          <w:rFonts w:hint="eastAsia" w:ascii="仿宋" w:hAnsi="仿宋" w:eastAsia="仿宋" w:cs="宋体"/>
          <w:color w:val="4D4F53"/>
          <w:kern w:val="0"/>
          <w:sz w:val="32"/>
          <w:szCs w:val="32"/>
        </w:rPr>
        <w:t>联系电话：</w:t>
      </w:r>
      <w:r>
        <w:rPr>
          <w:rFonts w:ascii="Times New Roman" w:hAnsi="Times New Roman" w:eastAsia="宋体" w:cs="Times New Roman"/>
          <w:color w:val="4D4F53"/>
          <w:kern w:val="0"/>
          <w:sz w:val="32"/>
          <w:szCs w:val="32"/>
        </w:rPr>
        <w:t>6</w:t>
      </w:r>
      <w:r>
        <w:rPr>
          <w:rFonts w:hint="eastAsia" w:ascii="Times New Roman" w:hAnsi="Times New Roman" w:eastAsia="宋体" w:cs="Times New Roman"/>
          <w:color w:val="4D4F53"/>
          <w:kern w:val="0"/>
          <w:sz w:val="32"/>
          <w:szCs w:val="32"/>
        </w:rPr>
        <w:t>3268763</w:t>
      </w:r>
    </w:p>
    <w:p>
      <w:pPr>
        <w:widowControl/>
        <w:spacing w:before="100" w:beforeAutospacing="1" w:after="100" w:afterAutospacing="1" w:line="480" w:lineRule="atLeast"/>
        <w:ind w:firstLine="645"/>
        <w:rPr>
          <w:rFonts w:ascii="宋体" w:hAnsi="宋体" w:eastAsia="宋体" w:cs="宋体"/>
          <w:color w:val="4D4F53"/>
          <w:kern w:val="0"/>
          <w:sz w:val="27"/>
          <w:szCs w:val="27"/>
        </w:rPr>
      </w:pPr>
      <w:r>
        <w:rPr>
          <w:rFonts w:hint="eastAsia" w:ascii="仿宋" w:hAnsi="仿宋" w:eastAsia="仿宋" w:cs="宋体"/>
          <w:color w:val="4D4F53"/>
          <w:kern w:val="0"/>
          <w:sz w:val="32"/>
          <w:szCs w:val="32"/>
        </w:rPr>
        <w:t>传</w:t>
      </w:r>
      <w:r>
        <w:rPr>
          <w:rFonts w:hint="eastAsia" w:ascii="宋体" w:hAnsi="宋体" w:eastAsia="宋体" w:cs="宋体"/>
          <w:color w:val="4D4F53"/>
          <w:kern w:val="0"/>
          <w:sz w:val="32"/>
          <w:szCs w:val="32"/>
        </w:rPr>
        <w:t>  </w:t>
      </w:r>
      <w:r>
        <w:rPr>
          <w:rFonts w:hint="eastAsia" w:ascii="仿宋" w:hAnsi="仿宋" w:eastAsia="仿宋" w:cs="宋体"/>
          <w:color w:val="4D4F53"/>
          <w:kern w:val="0"/>
          <w:sz w:val="32"/>
          <w:szCs w:val="32"/>
        </w:rPr>
        <w:t>真：</w:t>
      </w:r>
      <w:r>
        <w:rPr>
          <w:rFonts w:ascii="Times New Roman" w:hAnsi="Times New Roman" w:eastAsia="宋体" w:cs="Times New Roman"/>
          <w:color w:val="4D4F53"/>
          <w:kern w:val="0"/>
          <w:sz w:val="32"/>
          <w:szCs w:val="32"/>
        </w:rPr>
        <w:t>6</w:t>
      </w:r>
      <w:r>
        <w:rPr>
          <w:rFonts w:hint="eastAsia" w:ascii="Times New Roman" w:hAnsi="Times New Roman" w:eastAsia="宋体" w:cs="Times New Roman"/>
          <w:color w:val="4D4F53"/>
          <w:kern w:val="0"/>
          <w:sz w:val="32"/>
          <w:szCs w:val="32"/>
        </w:rPr>
        <w:t>3268763</w:t>
      </w:r>
    </w:p>
    <w:p>
      <w:pPr>
        <w:widowControl/>
        <w:spacing w:before="100" w:beforeAutospacing="1" w:after="100" w:afterAutospacing="1" w:line="480" w:lineRule="atLeast"/>
        <w:ind w:firstLine="645"/>
        <w:rPr>
          <w:rFonts w:ascii="宋体" w:hAnsi="宋体" w:eastAsia="宋体" w:cs="宋体"/>
          <w:color w:val="4D4F53"/>
          <w:kern w:val="0"/>
          <w:sz w:val="27"/>
          <w:szCs w:val="27"/>
        </w:rPr>
      </w:pPr>
      <w:r>
        <w:rPr>
          <w:rFonts w:hint="eastAsia" w:ascii="仿宋" w:hAnsi="仿宋" w:eastAsia="仿宋" w:cs="宋体"/>
          <w:color w:val="4D4F53"/>
          <w:kern w:val="0"/>
          <w:sz w:val="32"/>
          <w:szCs w:val="32"/>
        </w:rPr>
        <w:t>通讯地址：天津市滨海新区中塘镇综合便民服务中心</w:t>
      </w:r>
    </w:p>
    <w:tbl>
      <w:tblPr>
        <w:tblStyle w:val="4"/>
        <w:tblW w:w="9670" w:type="dxa"/>
        <w:tblInd w:w="-415" w:type="dxa"/>
        <w:tblLayout w:type="fixed"/>
        <w:tblCellMar>
          <w:top w:w="0" w:type="dxa"/>
          <w:left w:w="105" w:type="dxa"/>
          <w:bottom w:w="0" w:type="dxa"/>
          <w:right w:w="105" w:type="dxa"/>
        </w:tblCellMar>
      </w:tblPr>
      <w:tblGrid>
        <w:gridCol w:w="1105"/>
        <w:gridCol w:w="642"/>
        <w:gridCol w:w="643"/>
        <w:gridCol w:w="643"/>
        <w:gridCol w:w="1644"/>
        <w:gridCol w:w="2570"/>
        <w:gridCol w:w="1030"/>
        <w:gridCol w:w="1393"/>
      </w:tblGrid>
      <w:tr>
        <w:tblPrEx>
          <w:tblCellMar>
            <w:top w:w="0" w:type="dxa"/>
            <w:left w:w="105" w:type="dxa"/>
            <w:bottom w:w="0" w:type="dxa"/>
            <w:right w:w="105" w:type="dxa"/>
          </w:tblCellMar>
        </w:tblPrEx>
        <w:trPr>
          <w:trHeight w:val="1260" w:hRule="atLeast"/>
        </w:trPr>
        <w:tc>
          <w:tcPr>
            <w:tcW w:w="1105" w:type="dxa"/>
            <w:tcBorders>
              <w:top w:val="single" w:color="000000" w:sz="6" w:space="0"/>
              <w:left w:val="single" w:color="000000" w:sz="6" w:space="0"/>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rPr>
              <w:t>建设项目名称</w:t>
            </w:r>
          </w:p>
        </w:tc>
        <w:tc>
          <w:tcPr>
            <w:tcW w:w="642" w:type="dxa"/>
            <w:tcBorders>
              <w:top w:val="single" w:color="000000" w:sz="6" w:space="0"/>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rPr>
              <w:t>建设单位名称</w:t>
            </w:r>
          </w:p>
        </w:tc>
        <w:tc>
          <w:tcPr>
            <w:tcW w:w="643" w:type="dxa"/>
            <w:tcBorders>
              <w:top w:val="single" w:color="000000" w:sz="6" w:space="0"/>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rPr>
              <w:t>建设地点</w:t>
            </w:r>
          </w:p>
        </w:tc>
        <w:tc>
          <w:tcPr>
            <w:tcW w:w="643" w:type="dxa"/>
            <w:tcBorders>
              <w:top w:val="single" w:color="000000" w:sz="6" w:space="0"/>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rPr>
              <w:t>环评文件编制单位名称</w:t>
            </w:r>
          </w:p>
        </w:tc>
        <w:tc>
          <w:tcPr>
            <w:tcW w:w="1644" w:type="dxa"/>
            <w:tcBorders>
              <w:top w:val="single" w:color="000000" w:sz="6" w:space="0"/>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rPr>
              <w:t>建设项目概况</w:t>
            </w:r>
          </w:p>
        </w:tc>
        <w:tc>
          <w:tcPr>
            <w:tcW w:w="2570" w:type="dxa"/>
            <w:tcBorders>
              <w:top w:val="single" w:color="000000" w:sz="6" w:space="0"/>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rPr>
              <w:t>主要环境影响和环境保护对策与措施</w:t>
            </w:r>
          </w:p>
        </w:tc>
        <w:tc>
          <w:tcPr>
            <w:tcW w:w="1030" w:type="dxa"/>
            <w:tcBorders>
              <w:top w:val="single" w:color="000000" w:sz="6" w:space="0"/>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rPr>
              <w:t>建设单位开展的公众参与情况</w:t>
            </w:r>
          </w:p>
        </w:tc>
        <w:tc>
          <w:tcPr>
            <w:tcW w:w="1393" w:type="dxa"/>
            <w:tcBorders>
              <w:top w:val="single" w:color="000000" w:sz="6" w:space="0"/>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rPr>
              <w:t>公示起止日期</w:t>
            </w:r>
          </w:p>
        </w:tc>
      </w:tr>
      <w:tr>
        <w:tblPrEx>
          <w:tblCellMar>
            <w:top w:w="0" w:type="dxa"/>
            <w:left w:w="105" w:type="dxa"/>
            <w:bottom w:w="0" w:type="dxa"/>
            <w:right w:w="105" w:type="dxa"/>
          </w:tblCellMar>
        </w:tblPrEx>
        <w:trPr>
          <w:trHeight w:val="1605" w:hRule="atLeast"/>
        </w:trPr>
        <w:tc>
          <w:tcPr>
            <w:tcW w:w="1105" w:type="dxa"/>
            <w:tcBorders>
              <w:top w:val="nil"/>
              <w:left w:val="single" w:color="000000" w:sz="6" w:space="0"/>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hint="eastAsia" w:ascii="仿宋" w:hAnsi="仿宋" w:eastAsia="仿宋" w:cs="仿宋"/>
                <w:kern w:val="0"/>
                <w:sz w:val="24"/>
                <w:szCs w:val="24"/>
              </w:rPr>
            </w:pPr>
            <w:r>
              <w:rPr>
                <w:rFonts w:hint="eastAsia" w:ascii="仿宋" w:hAnsi="仿宋" w:eastAsia="仿宋" w:cs="仿宋"/>
                <w:color w:val="000000"/>
                <w:kern w:val="0"/>
                <w:sz w:val="24"/>
                <w:szCs w:val="24"/>
                <w:lang w:val="en-US" w:eastAsia="zh-CN" w:bidi="ar"/>
              </w:rPr>
              <w:t>玻璃钢制品建设项目</w:t>
            </w:r>
          </w:p>
        </w:tc>
        <w:tc>
          <w:tcPr>
            <w:tcW w:w="642" w:type="dxa"/>
            <w:tcBorders>
              <w:top w:val="nil"/>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hint="eastAsia" w:ascii="仿宋" w:hAnsi="仿宋" w:eastAsia="仿宋" w:cs="仿宋"/>
                <w:kern w:val="0"/>
                <w:sz w:val="24"/>
                <w:szCs w:val="24"/>
              </w:rPr>
            </w:pPr>
            <w:r>
              <w:rPr>
                <w:rFonts w:hint="eastAsia" w:ascii="仿宋" w:hAnsi="仿宋" w:eastAsia="仿宋" w:cs="仿宋"/>
                <w:color w:val="000000"/>
                <w:kern w:val="0"/>
                <w:sz w:val="24"/>
                <w:szCs w:val="24"/>
                <w:lang w:val="en-US" w:eastAsia="zh-CN" w:bidi="ar"/>
              </w:rPr>
              <w:t>天津市滨海新区中恒建材商行</w:t>
            </w:r>
          </w:p>
        </w:tc>
        <w:tc>
          <w:tcPr>
            <w:tcW w:w="643" w:type="dxa"/>
            <w:tcBorders>
              <w:top w:val="nil"/>
              <w:left w:val="nil"/>
              <w:bottom w:val="single" w:color="000000" w:sz="6" w:space="0"/>
              <w:right w:val="single" w:color="000000" w:sz="6" w:space="0"/>
            </w:tcBorders>
            <w:shd w:val="clear" w:color="auto" w:fill="auto"/>
            <w:tcMar>
              <w:top w:w="0" w:type="dxa"/>
              <w:left w:w="15" w:type="dxa"/>
              <w:bottom w:w="0" w:type="dxa"/>
              <w:right w:w="15" w:type="dxa"/>
            </w:tcMar>
            <w:vAlign w:val="center"/>
          </w:tcPr>
          <w:p>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天津市滨海新区中塘镇制万路石化炼油厂北侧（天津市天元亨工贸有限公司院内西侧）</w:t>
            </w:r>
          </w:p>
          <w:p>
            <w:pPr>
              <w:widowControl/>
              <w:spacing w:before="100" w:beforeAutospacing="1" w:after="100" w:afterAutospacing="1"/>
              <w:jc w:val="center"/>
              <w:rPr>
                <w:rFonts w:hint="eastAsia" w:ascii="仿宋" w:hAnsi="仿宋" w:eastAsia="仿宋" w:cs="仿宋"/>
                <w:kern w:val="0"/>
                <w:sz w:val="24"/>
                <w:szCs w:val="24"/>
              </w:rPr>
            </w:pPr>
          </w:p>
        </w:tc>
        <w:tc>
          <w:tcPr>
            <w:tcW w:w="643" w:type="dxa"/>
            <w:tcBorders>
              <w:top w:val="nil"/>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hint="eastAsia" w:ascii="仿宋" w:hAnsi="仿宋" w:eastAsia="仿宋" w:cs="仿宋"/>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天津绿城环保科技有限公司</w:t>
            </w:r>
          </w:p>
        </w:tc>
        <w:tc>
          <w:tcPr>
            <w:tcW w:w="1644" w:type="dxa"/>
            <w:tcBorders>
              <w:top w:val="nil"/>
              <w:left w:val="nil"/>
              <w:bottom w:val="single" w:color="000000" w:sz="6" w:space="0"/>
              <w:right w:val="single" w:color="000000" w:sz="6" w:space="0"/>
            </w:tcBorders>
            <w:shd w:val="clear" w:color="auto" w:fill="auto"/>
            <w:tcMar>
              <w:top w:w="0" w:type="dxa"/>
              <w:left w:w="15" w:type="dxa"/>
              <w:bottom w:w="0" w:type="dxa"/>
              <w:right w:w="15" w:type="dxa"/>
            </w:tcMar>
            <w:vAlign w:val="center"/>
          </w:tcPr>
          <w:p>
            <w:pPr>
              <w:keepNext w:val="0"/>
              <w:keepLines w:val="0"/>
              <w:widowControl/>
              <w:suppressLineNumbers w:val="0"/>
              <w:ind w:firstLine="420" w:firstLineChars="200"/>
              <w:jc w:val="left"/>
              <w:rPr>
                <w:rFonts w:hint="eastAsia" w:ascii="仿宋_GB2312" w:hAnsi="宋体" w:eastAsia="仿宋_GB2312" w:cs="宋体"/>
                <w:color w:val="000000"/>
                <w:kern w:val="0"/>
                <w:sz w:val="21"/>
                <w:szCs w:val="21"/>
                <w:lang w:bidi="ar"/>
              </w:rPr>
            </w:pPr>
            <w:r>
              <w:rPr>
                <w:rStyle w:val="9"/>
                <w:rFonts w:hint="eastAsia" w:ascii="仿宋_GB2312" w:hAnsi="宋体" w:eastAsia="仿宋_GB2312"/>
                <w:color w:val="000000"/>
                <w:kern w:val="0"/>
                <w:sz w:val="21"/>
                <w:szCs w:val="21"/>
              </w:rPr>
              <w:t>天津</w:t>
            </w:r>
            <w:r>
              <w:rPr>
                <w:rStyle w:val="9"/>
                <w:rFonts w:hint="eastAsia" w:ascii="仿宋_GB2312" w:hAnsi="宋体" w:eastAsia="仿宋_GB2312"/>
                <w:color w:val="000000"/>
                <w:kern w:val="0"/>
                <w:sz w:val="21"/>
                <w:szCs w:val="21"/>
                <w:lang w:val="en-US"/>
              </w:rPr>
              <w:t>滨海新区中恒建材商行</w:t>
            </w:r>
            <w:r>
              <w:rPr>
                <w:rFonts w:hint="eastAsia" w:ascii="仿宋_GB2312" w:hAnsi="宋体" w:eastAsia="仿宋_GB2312" w:cs="宋体"/>
                <w:color w:val="000000"/>
                <w:kern w:val="0"/>
                <w:sz w:val="21"/>
                <w:szCs w:val="21"/>
                <w:lang w:bidi="ar"/>
              </w:rPr>
              <w:t>（以下简称“建设单位”）租赁</w:t>
            </w:r>
            <w:r>
              <w:rPr>
                <w:rFonts w:hint="eastAsia" w:ascii="仿宋" w:hAnsi="仿宋" w:eastAsia="仿宋" w:cs="仿宋"/>
                <w:color w:val="000000"/>
                <w:kern w:val="0"/>
                <w:sz w:val="21"/>
                <w:szCs w:val="21"/>
                <w:lang w:val="en-US" w:eastAsia="zh-CN" w:bidi="ar"/>
              </w:rPr>
              <w:t>天津天元亨工贸有限公司位于天津市滨海新区中塘镇制万路石化炼油厂北侧一处闲置区域建设天津市滨海新区中恒建材商行玻璃钢制品项目</w:t>
            </w:r>
            <w:r>
              <w:rPr>
                <w:rFonts w:hint="eastAsia" w:ascii="仿宋" w:hAnsi="仿宋" w:eastAsia="仿宋" w:cs="仿宋"/>
                <w:color w:val="000000"/>
                <w:kern w:val="0"/>
                <w:sz w:val="21"/>
                <w:szCs w:val="21"/>
                <w:lang w:eastAsia="zh-CN" w:bidi="ar"/>
              </w:rPr>
              <w:t>。</w:t>
            </w:r>
            <w:r>
              <w:rPr>
                <w:rFonts w:hint="eastAsia" w:ascii="仿宋_GB2312" w:hAnsi="宋体" w:eastAsia="仿宋_GB2312" w:cs="宋体"/>
                <w:color w:val="000000"/>
                <w:kern w:val="0"/>
                <w:sz w:val="21"/>
                <w:szCs w:val="21"/>
                <w:lang w:val="en-US" w:eastAsia="zh-CN" w:bidi="ar"/>
              </w:rPr>
              <w:t>项目</w:t>
            </w:r>
            <w:r>
              <w:rPr>
                <w:rFonts w:hint="eastAsia" w:ascii="仿宋_GB2312" w:hAnsi="宋体" w:eastAsia="仿宋_GB2312" w:cs="宋体"/>
                <w:color w:val="000000"/>
                <w:kern w:val="0"/>
                <w:sz w:val="21"/>
                <w:szCs w:val="21"/>
                <w:lang w:bidi="ar"/>
              </w:rPr>
              <w:t>主要建设内容：</w:t>
            </w:r>
            <w:r>
              <w:rPr>
                <w:rFonts w:hint="eastAsia" w:ascii="仿宋" w:hAnsi="仿宋" w:eastAsia="仿宋" w:cs="仿宋"/>
                <w:color w:val="000000"/>
                <w:kern w:val="0"/>
                <w:sz w:val="21"/>
                <w:szCs w:val="21"/>
                <w:lang w:val="en-US" w:eastAsia="zh-CN" w:bidi="ar"/>
              </w:rPr>
              <w:t xml:space="preserve">利用外购玻璃钢半成品等原料进行人工组装，组装成玻璃钢化粪池，预计年产6000套玻璃钢化粪池。 </w:t>
            </w:r>
            <w:r>
              <w:rPr>
                <w:rFonts w:hint="eastAsia" w:ascii="仿宋_GB2312" w:hAnsi="宋体" w:eastAsia="仿宋_GB2312" w:cs="宋体"/>
                <w:color w:val="000000"/>
                <w:kern w:val="0"/>
                <w:sz w:val="21"/>
                <w:szCs w:val="21"/>
                <w:lang w:bidi="ar"/>
              </w:rPr>
              <w:t>项目总投资为</w:t>
            </w:r>
            <w:r>
              <w:rPr>
                <w:rFonts w:hint="eastAsia" w:ascii="仿宋_GB2312" w:eastAsia="仿宋_GB2312"/>
                <w:color w:val="000000"/>
                <w:kern w:val="0"/>
                <w:sz w:val="21"/>
                <w:szCs w:val="21"/>
                <w:lang w:val="en-US" w:eastAsia="zh-CN" w:bidi="ar"/>
              </w:rPr>
              <w:t>500</w:t>
            </w:r>
            <w:r>
              <w:rPr>
                <w:rFonts w:hint="eastAsia" w:ascii="仿宋_GB2312" w:hAnsi="宋体" w:eastAsia="仿宋_GB2312" w:cs="宋体"/>
                <w:color w:val="000000"/>
                <w:kern w:val="0"/>
                <w:sz w:val="21"/>
                <w:szCs w:val="21"/>
                <w:lang w:bidi="ar"/>
              </w:rPr>
              <w:t>万元，</w:t>
            </w:r>
            <w:r>
              <w:rPr>
                <w:rFonts w:hint="eastAsia" w:ascii="仿宋_GB2312" w:hAnsi="宋体" w:eastAsia="仿宋_GB2312" w:cs="仿宋_GB2312"/>
                <w:sz w:val="21"/>
                <w:szCs w:val="21"/>
              </w:rPr>
              <w:t>其中环保投资</w:t>
            </w:r>
            <w:r>
              <w:rPr>
                <w:rFonts w:hint="eastAsia" w:ascii="仿宋_GB2312" w:hAnsi="宋体" w:eastAsia="仿宋_GB2312" w:cs="仿宋_GB2312"/>
                <w:sz w:val="21"/>
                <w:szCs w:val="21"/>
                <w:lang w:val="en-US" w:eastAsia="zh-CN"/>
              </w:rPr>
              <w:t>10</w:t>
            </w:r>
            <w:r>
              <w:rPr>
                <w:rFonts w:hint="eastAsia" w:ascii="仿宋_GB2312" w:hAnsi="宋体" w:eastAsia="仿宋_GB2312" w:cs="仿宋_GB2312"/>
                <w:sz w:val="21"/>
                <w:szCs w:val="21"/>
              </w:rPr>
              <w:t>万元，环保投资占</w:t>
            </w:r>
            <w:r>
              <w:rPr>
                <w:rFonts w:hint="eastAsia" w:ascii="仿宋_GB2312" w:hAnsi="宋体" w:eastAsia="仿宋_GB2312" w:cs="仿宋_GB2312"/>
                <w:sz w:val="21"/>
                <w:szCs w:val="21"/>
                <w:lang w:val="en-US" w:eastAsia="zh-CN"/>
              </w:rPr>
              <w:t>比2</w:t>
            </w:r>
            <w:r>
              <w:rPr>
                <w:rFonts w:hint="eastAsia" w:ascii="仿宋_GB2312" w:hAnsi="宋体" w:eastAsia="仿宋_GB2312" w:cs="仿宋_GB2312"/>
                <w:sz w:val="21"/>
                <w:szCs w:val="21"/>
              </w:rPr>
              <w:t>%。</w:t>
            </w:r>
            <w:r>
              <w:rPr>
                <w:rFonts w:hint="eastAsia" w:ascii="仿宋_GB2312" w:hAnsi="宋体" w:eastAsia="仿宋_GB2312" w:cs="宋体"/>
                <w:color w:val="000000"/>
                <w:kern w:val="0"/>
                <w:sz w:val="21"/>
                <w:szCs w:val="21"/>
                <w:lang w:bidi="ar"/>
              </w:rPr>
              <w:t>预计202</w:t>
            </w:r>
            <w:r>
              <w:rPr>
                <w:rFonts w:hint="eastAsia" w:ascii="仿宋_GB2312" w:hAnsi="宋体" w:eastAsia="仿宋_GB2312" w:cs="宋体"/>
                <w:color w:val="000000"/>
                <w:kern w:val="0"/>
                <w:sz w:val="21"/>
                <w:szCs w:val="21"/>
                <w:lang w:val="en-US" w:eastAsia="zh-CN" w:bidi="ar"/>
              </w:rPr>
              <w:t>3</w:t>
            </w:r>
            <w:r>
              <w:rPr>
                <w:rFonts w:hint="eastAsia" w:ascii="仿宋_GB2312" w:hAnsi="宋体" w:eastAsia="仿宋_GB2312" w:cs="宋体"/>
                <w:color w:val="000000"/>
                <w:kern w:val="0"/>
                <w:sz w:val="21"/>
                <w:szCs w:val="21"/>
                <w:lang w:bidi="ar"/>
              </w:rPr>
              <w:t>年</w:t>
            </w:r>
            <w:r>
              <w:rPr>
                <w:rFonts w:hint="eastAsia" w:ascii="仿宋_GB2312" w:hAnsi="宋体" w:eastAsia="仿宋_GB2312" w:cs="宋体"/>
                <w:color w:val="000000"/>
                <w:kern w:val="0"/>
                <w:sz w:val="21"/>
                <w:szCs w:val="21"/>
                <w:lang w:val="en-US" w:eastAsia="zh-CN" w:bidi="ar"/>
              </w:rPr>
              <w:t>4</w:t>
            </w:r>
            <w:r>
              <w:rPr>
                <w:rFonts w:hint="eastAsia" w:ascii="仿宋_GB2312" w:hAnsi="宋体" w:eastAsia="仿宋_GB2312" w:cs="宋体"/>
                <w:color w:val="000000"/>
                <w:kern w:val="0"/>
                <w:sz w:val="21"/>
                <w:szCs w:val="21"/>
                <w:lang w:bidi="ar"/>
              </w:rPr>
              <w:t>月投产。</w:t>
            </w:r>
          </w:p>
          <w:p>
            <w:pPr>
              <w:widowControl/>
              <w:spacing w:before="100" w:beforeAutospacing="1" w:after="100" w:afterAutospacing="1"/>
              <w:jc w:val="center"/>
              <w:rPr>
                <w:rFonts w:hint="eastAsia" w:ascii="仿宋" w:hAnsi="仿宋" w:eastAsia="仿宋" w:cs="仿宋"/>
                <w:kern w:val="0"/>
                <w:sz w:val="24"/>
                <w:szCs w:val="24"/>
              </w:rPr>
            </w:pPr>
          </w:p>
        </w:tc>
        <w:tc>
          <w:tcPr>
            <w:tcW w:w="2570" w:type="dxa"/>
            <w:tcBorders>
              <w:top w:val="nil"/>
              <w:left w:val="nil"/>
              <w:bottom w:val="single" w:color="000000" w:sz="6" w:space="0"/>
              <w:right w:val="single" w:color="000000" w:sz="6" w:space="0"/>
            </w:tcBorders>
            <w:shd w:val="clear" w:color="auto" w:fill="auto"/>
            <w:tcMar>
              <w:top w:w="0" w:type="dxa"/>
              <w:left w:w="15" w:type="dxa"/>
              <w:bottom w:w="0" w:type="dxa"/>
              <w:right w:w="15" w:type="dxa"/>
            </w:tcMar>
            <w:vAlign w:val="center"/>
          </w:tcPr>
          <w:p>
            <w:pPr>
              <w:ind w:firstLine="420" w:firstLineChars="200"/>
              <w:textAlignment w:val="baseline"/>
              <w:rPr>
                <w:rStyle w:val="9"/>
                <w:rFonts w:hint="eastAsia" w:ascii="仿宋_GB2312" w:hAnsi="宋体" w:eastAsia="仿宋_GB2312"/>
                <w:sz w:val="21"/>
                <w:szCs w:val="21"/>
              </w:rPr>
            </w:pPr>
            <w:r>
              <w:rPr>
                <w:rFonts w:hint="eastAsia" w:ascii="仿宋" w:hAnsi="仿宋" w:eastAsia="仿宋" w:cs="仿宋"/>
                <w:sz w:val="21"/>
                <w:szCs w:val="21"/>
                <w:lang w:val="en-US" w:eastAsia="zh-CN"/>
              </w:rPr>
              <w:t>一、</w:t>
            </w:r>
            <w:r>
              <w:rPr>
                <w:rStyle w:val="9"/>
                <w:rFonts w:hint="eastAsia" w:ascii="仿宋_GB2312" w:hAnsi="宋体" w:eastAsia="仿宋_GB2312"/>
                <w:sz w:val="21"/>
                <w:szCs w:val="21"/>
              </w:rPr>
              <w:t>项目施工期间，你公司应重点做好以下工作：</w:t>
            </w:r>
          </w:p>
          <w:p>
            <w:pPr>
              <w:spacing w:line="360" w:lineRule="auto"/>
              <w:ind w:firstLine="371" w:firstLineChars="177"/>
              <w:textAlignment w:val="baseline"/>
              <w:rPr>
                <w:rStyle w:val="9"/>
                <w:rFonts w:hint="eastAsia" w:ascii="仿宋_GB2312" w:hAnsi="宋体" w:eastAsia="仿宋_GB2312"/>
                <w:sz w:val="21"/>
                <w:szCs w:val="21"/>
              </w:rPr>
            </w:pPr>
            <w:r>
              <w:rPr>
                <w:rStyle w:val="9"/>
                <w:rFonts w:hint="eastAsia" w:ascii="仿宋_GB2312" w:hAnsi="宋体" w:eastAsia="仿宋_GB2312"/>
                <w:sz w:val="21"/>
                <w:szCs w:val="21"/>
              </w:rPr>
              <w:t xml:space="preserve"> 严格执行《天津市大气污染防治条例》、《天津市建设工程文明施工管理规定》、《天津市环境噪声污染防治管理办法》等环保法规要求，合理安排施工时间，落实施工噪声、</w:t>
            </w:r>
            <w:r>
              <w:rPr>
                <w:rStyle w:val="9"/>
                <w:rFonts w:hint="eastAsia" w:ascii="仿宋_GB2312" w:hAnsi="宋体" w:eastAsia="仿宋_GB2312"/>
                <w:sz w:val="21"/>
                <w:szCs w:val="21"/>
                <w:lang w:val="en-US"/>
              </w:rPr>
              <w:t>废气、</w:t>
            </w:r>
            <w:r>
              <w:rPr>
                <w:rStyle w:val="9"/>
                <w:rFonts w:hint="eastAsia" w:ascii="仿宋_GB2312" w:hAnsi="宋体" w:eastAsia="仿宋_GB2312"/>
                <w:sz w:val="21"/>
                <w:szCs w:val="21"/>
              </w:rPr>
              <w:t>废水、固废等各项污染防治措施，确保施工期不会对周边环境产生不良影响。</w:t>
            </w:r>
          </w:p>
          <w:p>
            <w:pPr>
              <w:ind w:firstLine="420" w:firstLineChars="200"/>
              <w:textAlignment w:val="baseline"/>
              <w:rPr>
                <w:rStyle w:val="9"/>
                <w:rFonts w:hint="eastAsia" w:ascii="仿宋_GB2312" w:hAnsi="宋体" w:eastAsia="仿宋_GB2312"/>
                <w:sz w:val="21"/>
                <w:szCs w:val="21"/>
              </w:rPr>
            </w:pPr>
            <w:r>
              <w:rPr>
                <w:rStyle w:val="9"/>
                <w:rFonts w:hint="eastAsia" w:ascii="仿宋_GB2312" w:hAnsi="宋体" w:eastAsia="仿宋_GB2312"/>
                <w:sz w:val="21"/>
                <w:szCs w:val="21"/>
                <w:lang w:val="en-US"/>
              </w:rPr>
              <w:t>二</w:t>
            </w:r>
            <w:bookmarkStart w:id="0" w:name="_GoBack"/>
            <w:bookmarkEnd w:id="0"/>
            <w:r>
              <w:rPr>
                <w:rStyle w:val="9"/>
                <w:rFonts w:hint="eastAsia" w:ascii="仿宋_GB2312" w:hAnsi="宋体" w:eastAsia="仿宋_GB2312"/>
                <w:sz w:val="21"/>
                <w:szCs w:val="21"/>
              </w:rPr>
              <w:t>、项目运营期间，你公司应重点做好以下工作：</w:t>
            </w:r>
          </w:p>
          <w:p>
            <w:pPr>
              <w:keepNext w:val="0"/>
              <w:keepLines w:val="0"/>
              <w:widowControl/>
              <w:suppressLineNumbers w:val="0"/>
              <w:ind w:firstLine="420" w:firstLineChars="200"/>
              <w:jc w:val="left"/>
              <w:rPr>
                <w:rFonts w:hint="default" w:ascii="仿宋" w:hAnsi="仿宋" w:eastAsia="仿宋" w:cs="仿宋"/>
                <w:color w:val="000000"/>
                <w:kern w:val="0"/>
                <w:sz w:val="21"/>
                <w:szCs w:val="21"/>
                <w:lang w:val="en-US" w:bidi="ar"/>
              </w:rPr>
            </w:pPr>
            <w:r>
              <w:rPr>
                <w:rStyle w:val="9"/>
                <w:rFonts w:hint="eastAsia" w:ascii="仿宋_GB2312" w:hAnsi="宋体" w:eastAsia="仿宋_GB2312"/>
                <w:sz w:val="21"/>
                <w:szCs w:val="21"/>
              </w:rPr>
              <w:t>1、</w:t>
            </w:r>
            <w:r>
              <w:rPr>
                <w:rStyle w:val="9"/>
                <w:rFonts w:hint="eastAsia" w:ascii="仿宋_GB2312" w:hAnsi="宋体" w:eastAsia="仿宋_GB2312"/>
                <w:sz w:val="21"/>
                <w:szCs w:val="21"/>
                <w:lang w:val="en-US"/>
              </w:rPr>
              <w:t>本项目</w:t>
            </w:r>
            <w:r>
              <w:rPr>
                <w:rFonts w:hint="eastAsia" w:ascii="仿宋" w:hAnsi="仿宋" w:eastAsia="仿宋" w:cs="仿宋"/>
                <w:color w:val="000000"/>
                <w:kern w:val="0"/>
                <w:sz w:val="21"/>
                <w:szCs w:val="21"/>
                <w:lang w:val="en-US" w:eastAsia="zh-CN" w:bidi="ar"/>
              </w:rPr>
              <w:t>产生的生活污水经厂区化粪池沉淀后，经自建的一体化污水处理设施处理后回用于本项目厂区绿化，不外排</w:t>
            </w:r>
            <w:r>
              <w:rPr>
                <w:rStyle w:val="9"/>
                <w:rFonts w:hint="eastAsia" w:ascii="仿宋" w:hAnsi="仿宋" w:eastAsia="仿宋" w:cs="仿宋"/>
                <w:sz w:val="21"/>
                <w:szCs w:val="21"/>
              </w:rPr>
              <w:t>。</w:t>
            </w:r>
            <w:r>
              <w:rPr>
                <w:rStyle w:val="9"/>
                <w:rFonts w:hint="eastAsia" w:ascii="仿宋" w:hAnsi="仿宋" w:eastAsia="仿宋" w:cs="仿宋"/>
                <w:sz w:val="21"/>
                <w:szCs w:val="21"/>
                <w:lang w:val="en-US"/>
              </w:rPr>
              <w:t>确保不对周边环境产生污染。</w:t>
            </w:r>
          </w:p>
          <w:p>
            <w:pPr>
              <w:keepNext w:val="0"/>
              <w:keepLines w:val="0"/>
              <w:widowControl/>
              <w:suppressLineNumbers w:val="0"/>
              <w:ind w:firstLine="420" w:firstLineChars="200"/>
              <w:jc w:val="left"/>
              <w:rPr>
                <w:rFonts w:hint="default" w:ascii="仿宋" w:hAnsi="仿宋" w:eastAsia="仿宋" w:cs="仿宋"/>
                <w:sz w:val="21"/>
                <w:szCs w:val="21"/>
                <w:lang w:val="en-US"/>
              </w:rPr>
            </w:pPr>
            <w:r>
              <w:rPr>
                <w:rStyle w:val="9"/>
                <w:rFonts w:hint="eastAsia" w:ascii="仿宋_GB2312" w:hAnsi="宋体" w:eastAsia="仿宋_GB2312"/>
                <w:sz w:val="21"/>
                <w:szCs w:val="21"/>
              </w:rPr>
              <w:t>2、</w:t>
            </w:r>
            <w:r>
              <w:rPr>
                <w:rStyle w:val="9"/>
                <w:rFonts w:hint="eastAsia" w:ascii="仿宋" w:hAnsi="仿宋" w:eastAsia="仿宋" w:cs="仿宋"/>
                <w:sz w:val="21"/>
                <w:szCs w:val="21"/>
              </w:rPr>
              <w:t>严格落实大气污染防治措施。</w:t>
            </w:r>
            <w:r>
              <w:rPr>
                <w:rFonts w:hint="eastAsia" w:ascii="仿宋" w:hAnsi="仿宋" w:eastAsia="仿宋" w:cs="仿宋"/>
                <w:color w:val="000000"/>
                <w:kern w:val="0"/>
                <w:sz w:val="21"/>
                <w:szCs w:val="21"/>
                <w:lang w:val="en-US" w:eastAsia="zh-CN" w:bidi="ar"/>
              </w:rPr>
              <w:t>本项目污水处理设施产生的异味气体经一体化污水处理设施排风口管道内部设置的活性炭吸附装置净化处理后最终经排气口达标排放。严格控制无组织废气排放，确保厂界大气污染物达标排放。建设单位须按照《天津市涉气工业污染源自动监控系统建设工作方案》文件相关内容要求执行。</w:t>
            </w:r>
          </w:p>
          <w:p>
            <w:pPr>
              <w:widowControl/>
              <w:ind w:firstLine="420" w:firstLineChars="200"/>
              <w:jc w:val="left"/>
              <w:textAlignment w:val="baseline"/>
              <w:rPr>
                <w:rStyle w:val="9"/>
                <w:rFonts w:hint="eastAsia" w:ascii="仿宋_GB2312" w:hAnsi="宋体" w:eastAsia="仿宋_GB2312"/>
                <w:sz w:val="21"/>
                <w:szCs w:val="21"/>
              </w:rPr>
            </w:pPr>
            <w:r>
              <w:rPr>
                <w:rStyle w:val="9"/>
                <w:rFonts w:hint="eastAsia" w:ascii="仿宋_GB2312" w:eastAsia="仿宋_GB2312"/>
                <w:sz w:val="21"/>
                <w:szCs w:val="21"/>
              </w:rPr>
              <w:t>3、</w:t>
            </w:r>
            <w:r>
              <w:rPr>
                <w:rStyle w:val="9"/>
                <w:rFonts w:hint="eastAsia" w:ascii="仿宋_GB2312" w:hAnsi="宋体" w:eastAsia="仿宋_GB2312"/>
                <w:sz w:val="21"/>
                <w:szCs w:val="21"/>
              </w:rPr>
              <w:t>强化噪声污染防治措施。合理布局、</w:t>
            </w:r>
            <w:r>
              <w:rPr>
                <w:rStyle w:val="9"/>
                <w:rFonts w:hint="eastAsia" w:ascii="仿宋_GB2312" w:hAnsi="宋体" w:eastAsia="仿宋_GB2312"/>
                <w:color w:val="000000"/>
                <w:kern w:val="0"/>
                <w:sz w:val="21"/>
                <w:szCs w:val="21"/>
              </w:rPr>
              <w:t>选用低噪声设备，基础减振、</w:t>
            </w:r>
            <w:r>
              <w:rPr>
                <w:rStyle w:val="9"/>
                <w:rFonts w:hint="eastAsia" w:ascii="仿宋_GB2312" w:hAnsi="宋体" w:eastAsia="仿宋_GB2312"/>
                <w:color w:val="000000"/>
                <w:kern w:val="0"/>
                <w:sz w:val="21"/>
                <w:szCs w:val="21"/>
                <w:lang w:val="en-US"/>
              </w:rPr>
              <w:t>距离衰减</w:t>
            </w:r>
            <w:r>
              <w:rPr>
                <w:rStyle w:val="9"/>
                <w:rFonts w:hint="eastAsia" w:ascii="仿宋_GB2312" w:hAnsi="宋体" w:eastAsia="仿宋_GB2312"/>
                <w:color w:val="000000"/>
                <w:kern w:val="0"/>
                <w:sz w:val="21"/>
                <w:szCs w:val="21"/>
              </w:rPr>
              <w:t>等</w:t>
            </w:r>
            <w:r>
              <w:rPr>
                <w:rStyle w:val="9"/>
                <w:rFonts w:hint="eastAsia" w:ascii="仿宋_GB2312" w:hAnsi="宋体" w:eastAsia="仿宋_GB2312"/>
                <w:color w:val="000000"/>
                <w:kern w:val="0"/>
                <w:sz w:val="21"/>
                <w:szCs w:val="21"/>
                <w:lang w:val="en-US"/>
              </w:rPr>
              <w:t>减振降燥</w:t>
            </w:r>
            <w:r>
              <w:rPr>
                <w:rStyle w:val="9"/>
                <w:rFonts w:hint="eastAsia" w:ascii="仿宋_GB2312" w:hAnsi="宋体" w:eastAsia="仿宋_GB2312"/>
                <w:color w:val="000000"/>
                <w:kern w:val="0"/>
                <w:sz w:val="21"/>
                <w:szCs w:val="21"/>
              </w:rPr>
              <w:t>措施，确保厂界噪声达标。</w:t>
            </w:r>
          </w:p>
          <w:p>
            <w:pPr>
              <w:keepNext w:val="0"/>
              <w:keepLines w:val="0"/>
              <w:widowControl/>
              <w:suppressLineNumbers w:val="0"/>
              <w:ind w:firstLine="420" w:firstLineChars="200"/>
              <w:jc w:val="left"/>
              <w:rPr>
                <w:rStyle w:val="9"/>
                <w:rFonts w:hint="eastAsia" w:ascii="仿宋_GB2312" w:hAnsi="宋体" w:eastAsia="仿宋_GB2312"/>
                <w:sz w:val="21"/>
                <w:szCs w:val="21"/>
              </w:rPr>
            </w:pPr>
            <w:r>
              <w:rPr>
                <w:rStyle w:val="9"/>
                <w:rFonts w:hint="eastAsia" w:ascii="仿宋_GB2312" w:hAnsi="宋体" w:eastAsia="仿宋_GB2312"/>
                <w:sz w:val="21"/>
                <w:szCs w:val="21"/>
              </w:rPr>
              <w:t>4、做好各类固体废物的收集、贮存、运输和处置，做到资源化、减量化、无害化。</w:t>
            </w:r>
            <w:r>
              <w:rPr>
                <w:rFonts w:hint="eastAsia" w:ascii="仿宋" w:hAnsi="仿宋" w:eastAsia="仿宋" w:cs="仿宋"/>
                <w:color w:val="000000"/>
                <w:kern w:val="0"/>
                <w:sz w:val="21"/>
                <w:szCs w:val="21"/>
                <w:lang w:val="en-US" w:eastAsia="zh-CN" w:bidi="ar"/>
              </w:rPr>
              <w:t>一般固体废物包括废防水布、废栅渣、污泥收集后暂存在生产厂房内北侧的一般固体废物暂存间内，其中废防水布定期交物资部门回收，废栅渣、污泥交由城管委定期清运</w:t>
            </w:r>
            <w:r>
              <w:rPr>
                <w:rFonts w:hint="eastAsia" w:ascii="仿宋_GB2312" w:hAnsi="宋体" w:eastAsia="仿宋_GB2312" w:cs="宋体"/>
                <w:color w:val="000000"/>
                <w:kern w:val="0"/>
                <w:sz w:val="21"/>
                <w:szCs w:val="21"/>
                <w:lang w:bidi="ar"/>
              </w:rPr>
              <w:t>；</w:t>
            </w:r>
            <w:r>
              <w:rPr>
                <w:rFonts w:hint="eastAsia" w:ascii="仿宋" w:hAnsi="仿宋" w:eastAsia="仿宋" w:cs="仿宋"/>
                <w:color w:val="000000"/>
                <w:kern w:val="0"/>
                <w:sz w:val="21"/>
                <w:szCs w:val="21"/>
                <w:lang w:val="en-US" w:eastAsia="zh-CN" w:bidi="ar"/>
              </w:rPr>
              <w:t>危险废物包括废二氧化氯桶、废活性炭、废机油、废含油棉纱、废铅蓄电池等，暂存于危险废物暂存间内，定期交由有资质单位进行处理</w:t>
            </w:r>
            <w:r>
              <w:rPr>
                <w:rStyle w:val="9"/>
                <w:rFonts w:hint="eastAsia" w:ascii="仿宋_GB2312" w:hAnsi="宋体" w:eastAsia="仿宋_GB2312"/>
                <w:sz w:val="21"/>
                <w:szCs w:val="21"/>
              </w:rPr>
              <w:t>；生活垃圾由城管委定期清运，确保不会对周边环境产生二次污染。</w:t>
            </w:r>
          </w:p>
          <w:p>
            <w:pPr>
              <w:keepNext w:val="0"/>
              <w:keepLines w:val="0"/>
              <w:widowControl/>
              <w:suppressLineNumbers w:val="0"/>
              <w:ind w:firstLine="420" w:firstLineChars="200"/>
              <w:jc w:val="left"/>
              <w:rPr>
                <w:rStyle w:val="9"/>
                <w:rFonts w:hint="eastAsia" w:ascii="仿宋_GB2312" w:hAnsi="宋体" w:eastAsia="仿宋_GB2312"/>
                <w:sz w:val="21"/>
                <w:szCs w:val="21"/>
              </w:rPr>
            </w:pPr>
            <w:r>
              <w:rPr>
                <w:rStyle w:val="9"/>
                <w:rFonts w:hint="eastAsia" w:ascii="仿宋_GB2312" w:hAnsi="仿宋_GB2312" w:eastAsia="仿宋_GB2312"/>
                <w:sz w:val="21"/>
                <w:szCs w:val="21"/>
              </w:rPr>
              <w:t>5、</w:t>
            </w:r>
            <w:r>
              <w:rPr>
                <w:rStyle w:val="9"/>
                <w:rFonts w:hint="eastAsia" w:ascii="仿宋_GB2312" w:hAnsi="宋体" w:eastAsia="仿宋_GB2312"/>
                <w:color w:val="000000"/>
                <w:kern w:val="0"/>
                <w:sz w:val="21"/>
                <w:szCs w:val="21"/>
              </w:rPr>
              <w:t>项目主要风险物质</w:t>
            </w:r>
            <w:r>
              <w:rPr>
                <w:rFonts w:hint="eastAsia" w:ascii="仿宋_GB2312" w:hAnsi="宋体" w:eastAsia="仿宋_GB2312" w:cs="宋体"/>
                <w:color w:val="000000"/>
                <w:kern w:val="0"/>
                <w:sz w:val="21"/>
                <w:szCs w:val="21"/>
                <w:lang w:bidi="ar"/>
              </w:rPr>
              <w:t>为</w:t>
            </w:r>
            <w:r>
              <w:rPr>
                <w:rFonts w:hint="eastAsia" w:ascii="仿宋" w:hAnsi="仿宋" w:eastAsia="仿宋" w:cs="仿宋"/>
                <w:color w:val="000000"/>
                <w:kern w:val="0"/>
                <w:sz w:val="21"/>
                <w:szCs w:val="21"/>
                <w:lang w:val="en-US" w:eastAsia="zh-CN" w:bidi="ar"/>
              </w:rPr>
              <w:t>机油、二氧化氯溶液及危废暂存间的废机油、废油桶、含油棉纱、废电池</w:t>
            </w:r>
            <w:r>
              <w:rPr>
                <w:rFonts w:hint="eastAsia" w:ascii="仿宋_GB2312" w:hAnsi="宋体" w:eastAsia="仿宋_GB2312" w:cs="宋体"/>
                <w:color w:val="000000"/>
                <w:kern w:val="0"/>
                <w:sz w:val="21"/>
                <w:szCs w:val="21"/>
                <w:lang w:bidi="ar"/>
              </w:rPr>
              <w:t>等</w:t>
            </w:r>
            <w:r>
              <w:rPr>
                <w:rStyle w:val="9"/>
                <w:rFonts w:hint="eastAsia" w:ascii="仿宋_GB2312" w:hAnsi="宋体" w:eastAsia="仿宋_GB2312"/>
                <w:color w:val="000000"/>
                <w:kern w:val="0"/>
                <w:sz w:val="21"/>
                <w:szCs w:val="21"/>
              </w:rPr>
              <w:t>在</w:t>
            </w:r>
            <w:r>
              <w:rPr>
                <w:rFonts w:hint="eastAsia" w:ascii="仿宋_GB2312" w:hAnsi="宋体" w:eastAsia="仿宋_GB2312" w:cs="宋体"/>
                <w:color w:val="000000"/>
                <w:kern w:val="0"/>
                <w:sz w:val="21"/>
                <w:szCs w:val="21"/>
                <w:lang w:bidi="ar"/>
              </w:rPr>
              <w:t>运输、使用、储存过程中，管理不当导致的泄漏、火灾、中毒等伴生/次生风险事故</w:t>
            </w:r>
            <w:r>
              <w:rPr>
                <w:rStyle w:val="9"/>
                <w:rFonts w:hint="eastAsia" w:ascii="仿宋_GB2312" w:hAnsi="宋体" w:eastAsia="仿宋_GB2312"/>
                <w:color w:val="000000"/>
                <w:kern w:val="0"/>
                <w:sz w:val="21"/>
                <w:szCs w:val="21"/>
              </w:rPr>
              <w:t>。</w:t>
            </w:r>
            <w:r>
              <w:rPr>
                <w:rStyle w:val="9"/>
                <w:rFonts w:hint="eastAsia" w:ascii="仿宋_GB2312" w:hAnsi="宋体" w:eastAsia="仿宋_GB2312"/>
                <w:sz w:val="21"/>
                <w:szCs w:val="21"/>
              </w:rPr>
              <w:t>严格落实报告提出的风险事故的防范、减缓等措施，加强对环境风险的防治工作，强化管理、制定应急预案，防止发生环境事故和次生环境事故。</w:t>
            </w:r>
          </w:p>
          <w:p>
            <w:pPr>
              <w:ind w:firstLine="420" w:firstLineChars="200"/>
              <w:textAlignment w:val="baseline"/>
              <w:rPr>
                <w:rStyle w:val="9"/>
                <w:rFonts w:hint="eastAsia" w:ascii="仿宋_GB2312" w:hAnsi="宋体" w:eastAsia="仿宋_GB2312"/>
                <w:sz w:val="21"/>
                <w:szCs w:val="21"/>
              </w:rPr>
            </w:pPr>
            <w:r>
              <w:rPr>
                <w:rStyle w:val="9"/>
                <w:rFonts w:hint="eastAsia" w:ascii="仿宋_GB2312" w:hAnsi="宋体" w:eastAsia="仿宋_GB2312"/>
                <w:sz w:val="21"/>
                <w:szCs w:val="21"/>
              </w:rPr>
              <w:t>6、按照相关技术要求做好排污口规范化建设，项目排污口规范化设置应与主体工程同时进行。按照相关规定设置规范的采样点，悬挂符合要求的标识牌。</w:t>
            </w:r>
          </w:p>
          <w:p>
            <w:pPr>
              <w:ind w:firstLine="420" w:firstLineChars="200"/>
              <w:textAlignment w:val="baseline"/>
              <w:rPr>
                <w:rStyle w:val="9"/>
                <w:rFonts w:hint="eastAsia" w:ascii="仿宋_GB2312" w:hAnsi="宋体" w:eastAsia="仿宋_GB2312"/>
                <w:sz w:val="21"/>
                <w:szCs w:val="21"/>
              </w:rPr>
            </w:pPr>
            <w:r>
              <w:rPr>
                <w:rStyle w:val="9"/>
                <w:rFonts w:hint="eastAsia" w:ascii="仿宋_GB2312" w:hAnsi="宋体" w:eastAsia="仿宋_GB2312"/>
                <w:sz w:val="21"/>
                <w:szCs w:val="21"/>
              </w:rPr>
              <w:t>7、你单位应在启动生产设施或者在实际排污之前按照法律法规要求做好排污许可管理工作。</w:t>
            </w:r>
          </w:p>
          <w:p>
            <w:pPr>
              <w:ind w:firstLine="480" w:firstLineChars="200"/>
              <w:textAlignment w:val="baseline"/>
              <w:rPr>
                <w:rStyle w:val="9"/>
                <w:rFonts w:hint="eastAsia" w:ascii="仿宋" w:hAnsi="仿宋" w:eastAsia="仿宋" w:cs="仿宋"/>
                <w:sz w:val="24"/>
                <w:szCs w:val="24"/>
              </w:rPr>
            </w:pPr>
          </w:p>
          <w:p>
            <w:pPr>
              <w:ind w:firstLine="480" w:firstLineChars="200"/>
              <w:textAlignment w:val="baseline"/>
              <w:rPr>
                <w:rStyle w:val="9"/>
                <w:rFonts w:hint="eastAsia" w:ascii="仿宋" w:hAnsi="仿宋" w:eastAsia="仿宋" w:cs="仿宋"/>
                <w:sz w:val="24"/>
                <w:szCs w:val="24"/>
              </w:rPr>
            </w:pPr>
          </w:p>
          <w:p>
            <w:pPr>
              <w:widowControl/>
              <w:spacing w:before="100" w:beforeAutospacing="1" w:after="100" w:afterAutospacing="1"/>
              <w:jc w:val="center"/>
              <w:rPr>
                <w:rFonts w:hint="eastAsia" w:ascii="仿宋" w:hAnsi="仿宋" w:eastAsia="仿宋" w:cs="仿宋"/>
                <w:kern w:val="0"/>
                <w:sz w:val="24"/>
                <w:szCs w:val="24"/>
              </w:rPr>
            </w:pPr>
          </w:p>
        </w:tc>
        <w:tc>
          <w:tcPr>
            <w:tcW w:w="1030" w:type="dxa"/>
            <w:tcBorders>
              <w:top w:val="nil"/>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393" w:type="dxa"/>
            <w:tcBorders>
              <w:top w:val="nil"/>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hint="eastAsia" w:ascii="仿宋" w:hAnsi="仿宋" w:eastAsia="仿宋" w:cs="仿宋"/>
                <w:kern w:val="0"/>
                <w:sz w:val="24"/>
                <w:szCs w:val="24"/>
              </w:rPr>
            </w:pPr>
            <w:r>
              <w:rPr>
                <w:rFonts w:hint="eastAsia" w:ascii="仿宋" w:hAnsi="仿宋" w:eastAsia="仿宋" w:cs="仿宋"/>
                <w:kern w:val="0"/>
                <w:sz w:val="24"/>
                <w:szCs w:val="24"/>
              </w:rPr>
              <w:t>202</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w:t>
            </w:r>
          </w:p>
          <w:p>
            <w:pPr>
              <w:widowControl/>
              <w:spacing w:before="100" w:beforeAutospacing="1" w:after="100" w:afterAutospacing="1"/>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14</w:t>
            </w:r>
          </w:p>
        </w:tc>
      </w:tr>
    </w:tbl>
    <w:p>
      <w:pPr>
        <w:widowControl/>
        <w:spacing w:before="100" w:beforeAutospacing="1" w:after="100" w:afterAutospacing="1" w:line="480" w:lineRule="atLeast"/>
        <w:rPr>
          <w:rFonts w:cs="宋体" w:asciiTheme="majorEastAsia" w:hAnsiTheme="majorEastAsia" w:eastAsiaTheme="majorEastAsia"/>
          <w:color w:val="4D4F53"/>
          <w:kern w:val="0"/>
          <w:sz w:val="28"/>
          <w:szCs w:val="28"/>
        </w:rPr>
      </w:pPr>
      <w:r>
        <w:rPr>
          <w:rFonts w:hint="eastAsia" w:ascii="仿宋" w:hAnsi="仿宋" w:eastAsia="仿宋" w:cs="仿宋"/>
          <w:color w:val="4D4F53"/>
          <w:kern w:val="0"/>
          <w:sz w:val="24"/>
          <w:szCs w:val="24"/>
        </w:rPr>
        <w:t> </w:t>
      </w:r>
    </w:p>
    <w:p>
      <w:pPr>
        <w:widowControl/>
        <w:spacing w:before="100" w:beforeAutospacing="1" w:after="100" w:afterAutospacing="1" w:line="480" w:lineRule="atLeast"/>
        <w:rPr>
          <w:rFonts w:ascii="宋体" w:hAnsi="宋体" w:eastAsia="宋体" w:cs="宋体"/>
          <w:color w:val="4D4F53"/>
          <w:kern w:val="0"/>
          <w:sz w:val="27"/>
          <w:szCs w:val="27"/>
        </w:rPr>
      </w:pPr>
      <w:r>
        <w:rPr>
          <w:rFonts w:hint="eastAsia" w:ascii="仿宋" w:hAnsi="仿宋" w:eastAsia="仿宋" w:cs="宋体"/>
          <w:color w:val="4D4F53"/>
          <w:kern w:val="0"/>
          <w:sz w:val="32"/>
          <w:szCs w:val="32"/>
        </w:rPr>
        <w:t>公示期限内，公众可以通过电话和信函的方式提出对该建设项目环境影响报告表审批的意见和建议。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iZTA4YWJiYTRlMWYwNGMyNTM5ZmM0NTU0NWFhMWYifQ=="/>
  </w:docVars>
  <w:rsids>
    <w:rsidRoot w:val="005E5C15"/>
    <w:rsid w:val="00096C7D"/>
    <w:rsid w:val="003F6434"/>
    <w:rsid w:val="00494BB5"/>
    <w:rsid w:val="005E5C15"/>
    <w:rsid w:val="008F11E6"/>
    <w:rsid w:val="092E4D51"/>
    <w:rsid w:val="0ACF21BB"/>
    <w:rsid w:val="121757CC"/>
    <w:rsid w:val="15D51D2D"/>
    <w:rsid w:val="508A2C9A"/>
    <w:rsid w:val="5B446707"/>
    <w:rsid w:val="622019C2"/>
    <w:rsid w:val="6E467247"/>
    <w:rsid w:val="7DB14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标题 1 Char"/>
    <w:basedOn w:val="5"/>
    <w:link w:val="2"/>
    <w:qFormat/>
    <w:uiPriority w:val="9"/>
    <w:rPr>
      <w:rFonts w:ascii="宋体" w:hAnsi="宋体" w:eastAsia="宋体" w:cs="宋体"/>
      <w:b/>
      <w:bCs/>
      <w:kern w:val="36"/>
      <w:sz w:val="48"/>
      <w:szCs w:val="48"/>
    </w:rPr>
  </w:style>
  <w:style w:type="character" w:customStyle="1" w:styleId="8">
    <w:name w:val="15"/>
    <w:basedOn w:val="5"/>
    <w:qFormat/>
    <w:uiPriority w:val="0"/>
    <w:rPr>
      <w:rFonts w:hint="default" w:ascii="Times New Roman" w:hAnsi="Times New Roman" w:cs="Times New Roman"/>
    </w:rPr>
  </w:style>
  <w:style w:type="character" w:customStyle="1" w:styleId="9">
    <w:name w:val="NormalCharacter"/>
    <w:link w:val="1"/>
    <w:semiHidden/>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1497</Words>
  <Characters>1532</Characters>
  <Lines>12</Lines>
  <Paragraphs>3</Paragraphs>
  <TotalTime>3</TotalTime>
  <ScaleCrop>false</ScaleCrop>
  <LinksUpToDate>false</LinksUpToDate>
  <CharactersWithSpaces>1538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2021-05-07T08:08:00Z</dcterms:created>
  <dc:creator>ndy</dc:creator>
  <cp:lastModifiedBy>Administrator</cp:lastModifiedBy>
  <cp:lastPrinted>2022-02-08T02:03:00Z</cp:lastPrinted>
  <dcterms:modified xsi:type="dcterms:W3CDTF">2023-02-08T01:16:35Z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68D36173FC3D403D85FBC43A6C21F08A</vt:lpwstr>
  </property>
</Properties>
</file>