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bidi w:val="0"/>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胡家园街“</w:t>
      </w:r>
      <w:r>
        <w:rPr>
          <w:rFonts w:hint="eastAsia" w:ascii="方正小标宋简体" w:hAnsi="方正小标宋简体" w:eastAsia="方正小标宋简体" w:cs="方正小标宋简体"/>
          <w:sz w:val="44"/>
          <w:szCs w:val="44"/>
        </w:rPr>
        <w:t>四好农村路”高质量</w:t>
      </w:r>
    </w:p>
    <w:p>
      <w:pPr>
        <w:pageBreakBefore w:val="0"/>
        <w:widowControl w:val="0"/>
        <w:kinsoku/>
        <w:wordWrap/>
        <w:overflowPunct/>
        <w:topLinePunct w:val="0"/>
        <w:bidi w:val="0"/>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发展“十四五”规划</w:t>
      </w:r>
    </w:p>
    <w:p>
      <w:pPr>
        <w:pStyle w:val="2"/>
        <w:rPr>
          <w:rFonts w:hint="eastAsia"/>
        </w:rPr>
      </w:pPr>
    </w:p>
    <w:p>
      <w:pPr>
        <w:pStyle w:val="3"/>
        <w:pageBreakBefore w:val="0"/>
        <w:widowControl w:val="0"/>
        <w:kinsoku/>
        <w:wordWrap/>
        <w:overflowPunct/>
        <w:topLinePunct w:val="0"/>
        <w:bidi w:val="0"/>
        <w:snapToGrid/>
        <w:spacing w:before="0" w:after="0" w:line="58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、总体要求</w:t>
      </w:r>
    </w:p>
    <w:p>
      <w:pPr>
        <w:pStyle w:val="4"/>
        <w:pageBreakBefore w:val="0"/>
        <w:widowControl w:val="0"/>
        <w:kinsoku/>
        <w:wordWrap/>
        <w:overflowPunct/>
        <w:topLinePunct w:val="0"/>
        <w:bidi w:val="0"/>
        <w:snapToGrid/>
        <w:spacing w:before="0" w:after="0"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（一）指导思想</w:t>
      </w:r>
    </w:p>
    <w:p>
      <w:pPr>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的十九大、十九届历次全会和天津市2022年第22次委党委会的精神,深入贯彻落实习近平总书记对农村公路重要指示批示精神和对天津工作“三个着力”重要部署,按照交通强国和乡村振兴战略总要求,坚持以人民为中心,立足新发展阶段、贯彻新发展理念、构建新发展格局,以推进“四好农村路”建设、推动城乡经济社会一体化发展、服务社会主义新农村建设为出发点，以扩大网络覆盖、提升路网等级、改善交通条件、引导农村公路建设有序推进为主线，构建结构合理、规模适当、布局完善、安全可靠的农村公路网络，全面开创</w:t>
      </w:r>
      <w:r>
        <w:rPr>
          <w:rFonts w:hint="eastAsia" w:ascii="仿宋_GB2312" w:hAnsi="仿宋_GB2312" w:eastAsia="仿宋_GB2312" w:cs="仿宋_GB2312"/>
          <w:sz w:val="32"/>
          <w:szCs w:val="32"/>
          <w:lang w:eastAsia="zh-CN"/>
        </w:rPr>
        <w:t>胡家园街</w:t>
      </w:r>
      <w:r>
        <w:rPr>
          <w:rFonts w:hint="eastAsia" w:ascii="仿宋_GB2312" w:hAnsi="仿宋_GB2312" w:eastAsia="仿宋_GB2312" w:cs="仿宋_GB2312"/>
          <w:sz w:val="32"/>
          <w:szCs w:val="32"/>
        </w:rPr>
        <w:t>农村公路发展的新局面。</w:t>
      </w:r>
    </w:p>
    <w:p>
      <w:pPr>
        <w:pStyle w:val="4"/>
        <w:pageBreakBefore w:val="0"/>
        <w:widowControl w:val="0"/>
        <w:kinsoku/>
        <w:wordWrap/>
        <w:overflowPunct/>
        <w:topLinePunct w:val="0"/>
        <w:bidi w:val="0"/>
        <w:snapToGrid/>
        <w:spacing w:before="0" w:after="0"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（二）基本原则</w:t>
      </w:r>
    </w:p>
    <w:p>
      <w:pPr>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坚持党的领导、品质发展。加强各级党组织对农村公路工作的领导,完善执行有力的组织体系,提升干部队伍素质,压实</w:t>
      </w:r>
      <w:r>
        <w:rPr>
          <w:rFonts w:hint="eastAsia" w:ascii="仿宋_GB2312" w:hAnsi="仿宋_GB2312" w:eastAsia="仿宋_GB2312" w:cs="仿宋_GB2312"/>
          <w:sz w:val="32"/>
          <w:szCs w:val="32"/>
          <w:lang w:eastAsia="zh-CN"/>
        </w:rPr>
        <w:t>胡家园街</w:t>
      </w:r>
      <w:r>
        <w:rPr>
          <w:rFonts w:hint="eastAsia" w:ascii="仿宋_GB2312" w:hAnsi="仿宋_GB2312" w:eastAsia="仿宋_GB2312" w:cs="仿宋_GB2312"/>
          <w:sz w:val="32"/>
          <w:szCs w:val="32"/>
        </w:rPr>
        <w:t>人民政府主体责任,健全协作联动的工作机制,引导社会力量参与,补齐工作短板,加快形成“四好农村路”高质量发展格局。</w:t>
      </w:r>
    </w:p>
    <w:p>
      <w:pPr>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规划引领、融合发展。统筹现状与发展,突出规划引领和约束作用,注重城乡公路基础设施有效衔接和城乡交通运输一体化。深入实施农村公路与产业、生态、旅游等“农村公路+”模式多元发展,促进农村公路与农村经济社会融合发展。</w:t>
      </w:r>
    </w:p>
    <w:p>
      <w:pPr>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需求导向、惠民发展。秉持服务人民、依靠人民的发展思路,推动农村公路管理理念、实践、制度创新,着力破除农村公路发展体制机制障碍。发挥农民作为直接受益主体的作用,引导农民和农村集体经济组织参与“四好农村路”建设工作。</w:t>
      </w:r>
    </w:p>
    <w:p>
      <w:pPr>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坚持科技支撑、科学发展。以高质量发展为中心,强化新技术、新业态发展赋能,注重农村公路各环节绿色发展和节能降碳,推动数字化智能化技术应用,提升农村公路科技应用水平。</w:t>
      </w:r>
    </w:p>
    <w:p>
      <w:pPr>
        <w:pStyle w:val="4"/>
        <w:pageBreakBefore w:val="0"/>
        <w:widowControl w:val="0"/>
        <w:kinsoku/>
        <w:wordWrap/>
        <w:overflowPunct/>
        <w:topLinePunct w:val="0"/>
        <w:bidi w:val="0"/>
        <w:snapToGrid/>
        <w:spacing w:before="0" w:after="0"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）发展目标</w:t>
      </w:r>
    </w:p>
    <w:p>
      <w:pPr>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建设好、管理好、养护好、运营好”四大方面,加快构建安全便捷的路网体系、长效稳定的管养保障体系、高效优质的运输服务体系、科学有效的制度保障体系、创新多元的融合发展体系“五大体系”。到2025年,</w:t>
      </w:r>
      <w:r>
        <w:rPr>
          <w:rFonts w:hint="eastAsia" w:ascii="仿宋_GB2312" w:hAnsi="仿宋_GB2312" w:eastAsia="仿宋_GB2312" w:cs="仿宋_GB2312"/>
          <w:sz w:val="32"/>
          <w:szCs w:val="32"/>
          <w:lang w:eastAsia="zh-CN"/>
        </w:rPr>
        <w:t>胡家园街</w:t>
      </w:r>
      <w:r>
        <w:rPr>
          <w:rFonts w:hint="eastAsia" w:ascii="仿宋_GB2312" w:hAnsi="仿宋_GB2312" w:eastAsia="仿宋_GB2312" w:cs="仿宋_GB2312"/>
          <w:sz w:val="32"/>
          <w:szCs w:val="32"/>
        </w:rPr>
        <w:t>“四好农村路”高质量发展取得较大进展,农村公路总体发展水平达到</w:t>
      </w:r>
      <w:r>
        <w:rPr>
          <w:rFonts w:hint="eastAsia" w:ascii="仿宋_GB2312" w:hAnsi="仿宋_GB2312" w:eastAsia="仿宋_GB2312" w:cs="仿宋_GB2312"/>
          <w:sz w:val="32"/>
          <w:szCs w:val="32"/>
          <w:highlight w:val="none"/>
        </w:rPr>
        <w:t>且</w:t>
      </w:r>
      <w:r>
        <w:rPr>
          <w:rFonts w:hint="eastAsia" w:ascii="仿宋_GB2312" w:hAnsi="仿宋_GB2312" w:eastAsia="仿宋_GB2312" w:cs="仿宋_GB2312"/>
          <w:sz w:val="32"/>
          <w:szCs w:val="32"/>
        </w:rPr>
        <w:t>超过</w:t>
      </w:r>
      <w:r>
        <w:rPr>
          <w:rFonts w:hint="eastAsia" w:ascii="仿宋_GB2312" w:hAnsi="仿宋_GB2312" w:eastAsia="仿宋_GB2312" w:cs="仿宋_GB2312"/>
          <w:sz w:val="32"/>
          <w:szCs w:val="32"/>
          <w:lang w:eastAsia="zh-CN"/>
        </w:rPr>
        <w:t>滨海新区</w:t>
      </w:r>
      <w:r>
        <w:rPr>
          <w:rFonts w:hint="eastAsia" w:ascii="仿宋_GB2312" w:hAnsi="仿宋_GB2312" w:eastAsia="仿宋_GB2312" w:cs="仿宋_GB2312"/>
          <w:sz w:val="32"/>
          <w:szCs w:val="32"/>
        </w:rPr>
        <w:t>的平均水平,争取打造天</w:t>
      </w:r>
      <w:r>
        <w:rPr>
          <w:rFonts w:hint="eastAsia" w:ascii="仿宋_GB2312" w:hAnsi="仿宋_GB2312" w:eastAsia="仿宋_GB2312" w:cs="仿宋_GB2312"/>
          <w:sz w:val="32"/>
          <w:szCs w:val="32"/>
          <w:lang w:eastAsia="zh-CN"/>
        </w:rPr>
        <w:t>滨海新区</w:t>
      </w:r>
      <w:r>
        <w:rPr>
          <w:rFonts w:hint="eastAsia" w:ascii="仿宋_GB2312" w:hAnsi="仿宋_GB2312" w:eastAsia="仿宋_GB2312" w:cs="仿宋_GB2312"/>
          <w:sz w:val="32"/>
          <w:szCs w:val="32"/>
        </w:rPr>
        <w:t>“四好农村路”发展样板,服务支撑乡村振兴战略、交通强国战略实施。</w:t>
      </w:r>
    </w:p>
    <w:p>
      <w:pPr>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——构建安全便捷的路网体系。</w:t>
      </w:r>
    </w:p>
    <w:p>
      <w:pPr>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以建设好农村公路，做好与干线公路的对接，提高通村公路通达深度和覆盖广度为近期目标，建制村通双车道比例达到</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%；乡镇通三级路和自然村通硬化路比例保持100%；实现资源路、产业路覆盖率100%；四、五类桥及时处置率100%；推进农村公路向村委会、学校、派出所、卫生院和敬老院等群众活动密集点延伸。</w:t>
      </w:r>
    </w:p>
    <w:p>
      <w:pPr>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——长效稳定的管养保障体系。</w:t>
      </w:r>
    </w:p>
    <w:p>
      <w:pPr>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农村公路路面技术状况MQI达到85%以上；年度养护工程比例达到5%以上；</w:t>
      </w: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级路长制建立及责任落实率达到100%；桥梁定期检查率达到100%；公路公益性岗位的覆盖率不低于50%,爱路护路乡规民约、村规民约制定率达到100%。</w:t>
      </w:r>
    </w:p>
    <w:p>
      <w:pPr>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高效优质的运输服务体系。</w:t>
      </w:r>
    </w:p>
    <w:p>
      <w:pPr>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物流网络节点建设覆盖率不小于100%,</w:t>
      </w:r>
      <w:r>
        <w:rPr>
          <w:rFonts w:hint="eastAsia" w:ascii="仿宋_GB2312" w:hAnsi="仿宋_GB2312" w:eastAsia="仿宋_GB2312" w:cs="仿宋_GB2312"/>
          <w:sz w:val="32"/>
          <w:szCs w:val="32"/>
          <w:lang w:eastAsia="zh-CN"/>
        </w:rPr>
        <w:t>具备</w:t>
      </w:r>
      <w:r>
        <w:rPr>
          <w:rFonts w:hint="eastAsia" w:ascii="仿宋_GB2312" w:hAnsi="仿宋_GB2312" w:eastAsia="仿宋_GB2312" w:cs="仿宋_GB2312"/>
          <w:sz w:val="32"/>
          <w:szCs w:val="32"/>
        </w:rPr>
        <w:t>条件的建制村物流网络节点建设覆盖率不小于100%。</w:t>
      </w:r>
    </w:p>
    <w:p>
      <w:pPr>
        <w:autoSpaceDE w:val="0"/>
        <w:autoSpaceDN w:val="0"/>
        <w:adjustRightInd w:val="0"/>
        <w:spacing w:line="360" w:lineRule="auto"/>
        <w:jc w:val="center"/>
        <w:rPr>
          <w:rFonts w:ascii="宋体" w:hAnsi="宋体"/>
          <w:b/>
          <w:sz w:val="28"/>
          <w:szCs w:val="28"/>
        </w:rPr>
      </w:pPr>
      <w:r>
        <w:rPr>
          <w:rFonts w:hint="eastAsia" w:ascii="宋体" w:hAnsi="宋体"/>
          <w:b/>
          <w:sz w:val="28"/>
          <w:szCs w:val="28"/>
          <w:highlight w:val="none"/>
        </w:rPr>
        <w:t xml:space="preserve"> 表</w:t>
      </w:r>
      <w:r>
        <w:rPr>
          <w:rFonts w:hint="eastAsia" w:ascii="宋体" w:hAnsi="宋体"/>
          <w:b/>
          <w:sz w:val="28"/>
          <w:szCs w:val="28"/>
          <w:highlight w:val="none"/>
          <w:lang w:val="en-US" w:eastAsia="zh-CN"/>
        </w:rPr>
        <w:t>1</w:t>
      </w:r>
      <w:r>
        <w:rPr>
          <w:rFonts w:hint="eastAsia" w:ascii="宋体" w:hAnsi="宋体"/>
          <w:b/>
          <w:sz w:val="28"/>
          <w:szCs w:val="28"/>
          <w:highlight w:val="none"/>
        </w:rPr>
        <w:t>滨海新区</w:t>
      </w:r>
      <w:r>
        <w:rPr>
          <w:rFonts w:hint="eastAsia" w:ascii="宋体" w:hAnsi="宋体"/>
          <w:b/>
          <w:sz w:val="28"/>
          <w:szCs w:val="28"/>
          <w:highlight w:val="none"/>
          <w:lang w:eastAsia="zh-CN"/>
        </w:rPr>
        <w:t>街镇</w:t>
      </w:r>
      <w:r>
        <w:rPr>
          <w:rFonts w:hint="eastAsia" w:ascii="宋体" w:hAnsi="宋体"/>
          <w:b/>
          <w:sz w:val="28"/>
          <w:szCs w:val="28"/>
          <w:highlight w:val="none"/>
        </w:rPr>
        <w:t>农村公路“十四五”主要发展指标体系</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1134"/>
        <w:gridCol w:w="2835"/>
        <w:gridCol w:w="1054"/>
        <w:gridCol w:w="851"/>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noWrap w:val="0"/>
            <w:vAlign w:val="center"/>
          </w:tcPr>
          <w:p>
            <w:pPr>
              <w:autoSpaceDE w:val="0"/>
              <w:autoSpaceDN w:val="0"/>
              <w:adjustRightInd w:val="0"/>
              <w:jc w:val="center"/>
              <w:rPr>
                <w:rFonts w:ascii="宋体" w:hAnsi="宋体"/>
                <w:sz w:val="22"/>
              </w:rPr>
            </w:pPr>
            <w:r>
              <w:rPr>
                <w:rFonts w:hint="eastAsia" w:ascii="宋体" w:hAnsi="宋体"/>
                <w:sz w:val="22"/>
              </w:rPr>
              <w:t>序号</w:t>
            </w:r>
          </w:p>
        </w:tc>
        <w:tc>
          <w:tcPr>
            <w:tcW w:w="1134" w:type="dxa"/>
            <w:noWrap w:val="0"/>
            <w:vAlign w:val="center"/>
          </w:tcPr>
          <w:p>
            <w:pPr>
              <w:autoSpaceDE w:val="0"/>
              <w:autoSpaceDN w:val="0"/>
              <w:adjustRightInd w:val="0"/>
              <w:jc w:val="center"/>
              <w:rPr>
                <w:rFonts w:ascii="宋体" w:hAnsi="宋体"/>
                <w:sz w:val="22"/>
              </w:rPr>
            </w:pPr>
            <w:r>
              <w:rPr>
                <w:rFonts w:hint="eastAsia" w:ascii="宋体" w:hAnsi="宋体"/>
                <w:sz w:val="22"/>
              </w:rPr>
              <w:t>指标类别</w:t>
            </w:r>
          </w:p>
        </w:tc>
        <w:tc>
          <w:tcPr>
            <w:tcW w:w="3889" w:type="dxa"/>
            <w:gridSpan w:val="2"/>
            <w:noWrap w:val="0"/>
            <w:vAlign w:val="center"/>
          </w:tcPr>
          <w:p>
            <w:pPr>
              <w:autoSpaceDE w:val="0"/>
              <w:autoSpaceDN w:val="0"/>
              <w:adjustRightInd w:val="0"/>
              <w:jc w:val="center"/>
              <w:rPr>
                <w:rFonts w:ascii="宋体" w:hAnsi="宋体"/>
                <w:sz w:val="22"/>
              </w:rPr>
            </w:pPr>
            <w:r>
              <w:rPr>
                <w:rFonts w:hint="eastAsia" w:ascii="宋体" w:hAnsi="宋体"/>
                <w:sz w:val="22"/>
              </w:rPr>
              <w:t>指标名称</w:t>
            </w:r>
          </w:p>
        </w:tc>
        <w:tc>
          <w:tcPr>
            <w:tcW w:w="851" w:type="dxa"/>
            <w:noWrap w:val="0"/>
            <w:vAlign w:val="center"/>
          </w:tcPr>
          <w:p>
            <w:pPr>
              <w:autoSpaceDE w:val="0"/>
              <w:autoSpaceDN w:val="0"/>
              <w:adjustRightInd w:val="0"/>
              <w:jc w:val="center"/>
              <w:rPr>
                <w:rFonts w:ascii="宋体" w:hAnsi="宋体"/>
                <w:sz w:val="22"/>
              </w:rPr>
            </w:pPr>
            <w:r>
              <w:rPr>
                <w:rFonts w:hint="eastAsia" w:ascii="宋体" w:hAnsi="宋体"/>
                <w:sz w:val="22"/>
              </w:rPr>
              <w:t>目标值</w:t>
            </w:r>
          </w:p>
        </w:tc>
        <w:tc>
          <w:tcPr>
            <w:tcW w:w="1384" w:type="dxa"/>
            <w:noWrap w:val="0"/>
            <w:vAlign w:val="center"/>
          </w:tcPr>
          <w:p>
            <w:pPr>
              <w:autoSpaceDE w:val="0"/>
              <w:autoSpaceDN w:val="0"/>
              <w:adjustRightInd w:val="0"/>
              <w:jc w:val="center"/>
              <w:rPr>
                <w:rFonts w:ascii="宋体" w:hAnsi="宋体"/>
                <w:sz w:val="22"/>
              </w:rPr>
            </w:pPr>
            <w:r>
              <w:rPr>
                <w:rFonts w:hint="eastAsia" w:ascii="宋体" w:hAnsi="宋体"/>
                <w:sz w:val="22"/>
              </w:rPr>
              <w:t>指标分类（约束性、预期性）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noWrap w:val="0"/>
            <w:vAlign w:val="center"/>
          </w:tcPr>
          <w:p>
            <w:pPr>
              <w:autoSpaceDE w:val="0"/>
              <w:autoSpaceDN w:val="0"/>
              <w:adjustRightInd w:val="0"/>
              <w:jc w:val="center"/>
              <w:rPr>
                <w:rFonts w:ascii="宋体" w:hAnsi="宋体"/>
                <w:sz w:val="22"/>
              </w:rPr>
            </w:pPr>
            <w:r>
              <w:rPr>
                <w:rFonts w:hint="eastAsia" w:ascii="宋体" w:hAnsi="宋体"/>
                <w:sz w:val="22"/>
              </w:rPr>
              <w:t>1</w:t>
            </w:r>
          </w:p>
        </w:tc>
        <w:tc>
          <w:tcPr>
            <w:tcW w:w="1134" w:type="dxa"/>
            <w:vMerge w:val="restart"/>
            <w:noWrap w:val="0"/>
            <w:vAlign w:val="center"/>
          </w:tcPr>
          <w:p>
            <w:pPr>
              <w:autoSpaceDE w:val="0"/>
              <w:autoSpaceDN w:val="0"/>
              <w:adjustRightInd w:val="0"/>
              <w:jc w:val="center"/>
              <w:rPr>
                <w:rFonts w:hint="eastAsia" w:ascii="宋体" w:hAnsi="宋体"/>
                <w:sz w:val="22"/>
              </w:rPr>
            </w:pPr>
            <w:r>
              <w:rPr>
                <w:rFonts w:hint="eastAsia" w:ascii="宋体" w:hAnsi="宋体"/>
                <w:sz w:val="22"/>
              </w:rPr>
              <w:t>安全便捷的路网体系</w:t>
            </w:r>
          </w:p>
        </w:tc>
        <w:tc>
          <w:tcPr>
            <w:tcW w:w="3889" w:type="dxa"/>
            <w:gridSpan w:val="2"/>
            <w:noWrap w:val="0"/>
            <w:vAlign w:val="center"/>
          </w:tcPr>
          <w:p>
            <w:pPr>
              <w:autoSpaceDE w:val="0"/>
              <w:autoSpaceDN w:val="0"/>
              <w:adjustRightInd w:val="0"/>
              <w:jc w:val="left"/>
              <w:rPr>
                <w:rFonts w:ascii="宋体" w:hAnsi="宋体"/>
                <w:sz w:val="22"/>
              </w:rPr>
            </w:pPr>
            <w:r>
              <w:rPr>
                <w:rFonts w:hint="eastAsia" w:ascii="宋体" w:hAnsi="宋体"/>
                <w:sz w:val="22"/>
              </w:rPr>
              <w:t>双车道公路占比（%）</w:t>
            </w:r>
          </w:p>
        </w:tc>
        <w:tc>
          <w:tcPr>
            <w:tcW w:w="851" w:type="dxa"/>
            <w:noWrap w:val="0"/>
            <w:vAlign w:val="center"/>
          </w:tcPr>
          <w:p>
            <w:pPr>
              <w:autoSpaceDE w:val="0"/>
              <w:autoSpaceDN w:val="0"/>
              <w:adjustRightInd w:val="0"/>
              <w:jc w:val="center"/>
              <w:rPr>
                <w:rFonts w:hint="default" w:ascii="宋体" w:hAnsi="宋体" w:eastAsia="宋体"/>
                <w:sz w:val="22"/>
                <w:lang w:val="en-US" w:eastAsia="zh-CN"/>
              </w:rPr>
            </w:pPr>
            <w:r>
              <w:rPr>
                <w:rFonts w:hint="eastAsia" w:ascii="宋体" w:hAnsi="宋体"/>
                <w:sz w:val="22"/>
                <w:lang w:val="en-US" w:eastAsia="zh-CN"/>
              </w:rPr>
              <w:t>36</w:t>
            </w:r>
          </w:p>
        </w:tc>
        <w:tc>
          <w:tcPr>
            <w:tcW w:w="1384" w:type="dxa"/>
            <w:noWrap w:val="0"/>
            <w:vAlign w:val="center"/>
          </w:tcPr>
          <w:p>
            <w:pPr>
              <w:autoSpaceDE w:val="0"/>
              <w:autoSpaceDN w:val="0"/>
              <w:adjustRightInd w:val="0"/>
              <w:jc w:val="center"/>
              <w:rPr>
                <w:rFonts w:ascii="宋体" w:hAnsi="宋体"/>
                <w:sz w:val="22"/>
              </w:rPr>
            </w:pPr>
            <w:r>
              <w:rPr>
                <w:rFonts w:hint="eastAsia" w:ascii="宋体" w:hAnsi="宋体"/>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noWrap w:val="0"/>
            <w:vAlign w:val="center"/>
          </w:tcPr>
          <w:p>
            <w:pPr>
              <w:autoSpaceDE w:val="0"/>
              <w:autoSpaceDN w:val="0"/>
              <w:adjustRightInd w:val="0"/>
              <w:jc w:val="center"/>
              <w:rPr>
                <w:rFonts w:ascii="宋体" w:hAnsi="宋体"/>
                <w:sz w:val="22"/>
              </w:rPr>
            </w:pPr>
            <w:r>
              <w:rPr>
                <w:rFonts w:hint="eastAsia" w:ascii="宋体" w:hAnsi="宋体"/>
                <w:sz w:val="22"/>
              </w:rPr>
              <w:t>2</w:t>
            </w:r>
          </w:p>
        </w:tc>
        <w:tc>
          <w:tcPr>
            <w:tcW w:w="1134" w:type="dxa"/>
            <w:vMerge w:val="continue"/>
            <w:noWrap w:val="0"/>
            <w:vAlign w:val="center"/>
          </w:tcPr>
          <w:p>
            <w:pPr>
              <w:autoSpaceDE w:val="0"/>
              <w:autoSpaceDN w:val="0"/>
              <w:adjustRightInd w:val="0"/>
              <w:jc w:val="center"/>
              <w:rPr>
                <w:rFonts w:ascii="宋体" w:hAnsi="宋体"/>
                <w:sz w:val="22"/>
              </w:rPr>
            </w:pPr>
          </w:p>
        </w:tc>
        <w:tc>
          <w:tcPr>
            <w:tcW w:w="3889" w:type="dxa"/>
            <w:gridSpan w:val="2"/>
            <w:noWrap w:val="0"/>
            <w:vAlign w:val="center"/>
          </w:tcPr>
          <w:p>
            <w:pPr>
              <w:autoSpaceDE w:val="0"/>
              <w:autoSpaceDN w:val="0"/>
              <w:adjustRightInd w:val="0"/>
              <w:jc w:val="left"/>
              <w:rPr>
                <w:rFonts w:ascii="宋体" w:hAnsi="宋体"/>
                <w:sz w:val="22"/>
              </w:rPr>
            </w:pPr>
            <w:r>
              <w:rPr>
                <w:rFonts w:hint="eastAsia" w:ascii="宋体" w:hAnsi="宋体"/>
                <w:sz w:val="22"/>
              </w:rPr>
              <w:t>建制村通双车道比例（%）</w:t>
            </w:r>
          </w:p>
        </w:tc>
        <w:tc>
          <w:tcPr>
            <w:tcW w:w="851" w:type="dxa"/>
            <w:noWrap w:val="0"/>
            <w:vAlign w:val="center"/>
          </w:tcPr>
          <w:p>
            <w:pPr>
              <w:autoSpaceDE w:val="0"/>
              <w:autoSpaceDN w:val="0"/>
              <w:adjustRightInd w:val="0"/>
              <w:jc w:val="center"/>
              <w:rPr>
                <w:rFonts w:hint="default" w:ascii="宋体" w:hAnsi="宋体" w:eastAsia="宋体"/>
                <w:sz w:val="22"/>
                <w:lang w:val="en-US" w:eastAsia="zh-CN"/>
              </w:rPr>
            </w:pPr>
            <w:r>
              <w:rPr>
                <w:rFonts w:hint="eastAsia" w:ascii="宋体" w:hAnsi="宋体"/>
                <w:sz w:val="22"/>
                <w:lang w:val="en-US" w:eastAsia="zh-CN"/>
              </w:rPr>
              <w:t>80</w:t>
            </w:r>
          </w:p>
        </w:tc>
        <w:tc>
          <w:tcPr>
            <w:tcW w:w="1384" w:type="dxa"/>
            <w:noWrap w:val="0"/>
            <w:vAlign w:val="center"/>
          </w:tcPr>
          <w:p>
            <w:pPr>
              <w:autoSpaceDE w:val="0"/>
              <w:autoSpaceDN w:val="0"/>
              <w:adjustRightInd w:val="0"/>
              <w:jc w:val="center"/>
              <w:rPr>
                <w:rFonts w:ascii="宋体" w:hAnsi="宋体"/>
                <w:sz w:val="22"/>
              </w:rPr>
            </w:pPr>
            <w:r>
              <w:rPr>
                <w:rFonts w:hint="eastAsia" w:ascii="宋体" w:hAnsi="宋体"/>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4" w:type="dxa"/>
            <w:noWrap w:val="0"/>
            <w:vAlign w:val="center"/>
          </w:tcPr>
          <w:p>
            <w:pPr>
              <w:autoSpaceDE w:val="0"/>
              <w:autoSpaceDN w:val="0"/>
              <w:adjustRightInd w:val="0"/>
              <w:jc w:val="center"/>
              <w:rPr>
                <w:rFonts w:ascii="宋体" w:hAnsi="宋体"/>
                <w:sz w:val="22"/>
              </w:rPr>
            </w:pPr>
            <w:r>
              <w:rPr>
                <w:rFonts w:hint="eastAsia" w:ascii="宋体" w:hAnsi="宋体"/>
                <w:sz w:val="22"/>
              </w:rPr>
              <w:t>3</w:t>
            </w:r>
          </w:p>
        </w:tc>
        <w:tc>
          <w:tcPr>
            <w:tcW w:w="1134" w:type="dxa"/>
            <w:vMerge w:val="continue"/>
            <w:noWrap w:val="0"/>
            <w:vAlign w:val="center"/>
          </w:tcPr>
          <w:p>
            <w:pPr>
              <w:autoSpaceDE w:val="0"/>
              <w:autoSpaceDN w:val="0"/>
              <w:adjustRightInd w:val="0"/>
              <w:jc w:val="center"/>
              <w:rPr>
                <w:rFonts w:ascii="宋体" w:hAnsi="宋体"/>
                <w:sz w:val="22"/>
              </w:rPr>
            </w:pPr>
          </w:p>
        </w:tc>
        <w:tc>
          <w:tcPr>
            <w:tcW w:w="3889" w:type="dxa"/>
            <w:gridSpan w:val="2"/>
            <w:noWrap w:val="0"/>
            <w:vAlign w:val="center"/>
          </w:tcPr>
          <w:p>
            <w:pPr>
              <w:autoSpaceDE w:val="0"/>
              <w:autoSpaceDN w:val="0"/>
              <w:adjustRightInd w:val="0"/>
              <w:jc w:val="left"/>
              <w:rPr>
                <w:rFonts w:ascii="宋体" w:hAnsi="宋体"/>
                <w:sz w:val="22"/>
              </w:rPr>
            </w:pPr>
            <w:r>
              <w:rPr>
                <w:rFonts w:hint="eastAsia" w:ascii="宋体" w:hAnsi="宋体"/>
                <w:sz w:val="22"/>
              </w:rPr>
              <w:t>资源路、产业路、旅游路街镇覆盖率（%）</w:t>
            </w:r>
          </w:p>
        </w:tc>
        <w:tc>
          <w:tcPr>
            <w:tcW w:w="851" w:type="dxa"/>
            <w:noWrap w:val="0"/>
            <w:vAlign w:val="center"/>
          </w:tcPr>
          <w:p>
            <w:pPr>
              <w:autoSpaceDE w:val="0"/>
              <w:autoSpaceDN w:val="0"/>
              <w:adjustRightInd w:val="0"/>
              <w:jc w:val="center"/>
              <w:rPr>
                <w:rFonts w:ascii="宋体" w:hAnsi="宋体"/>
                <w:sz w:val="22"/>
              </w:rPr>
            </w:pPr>
            <w:r>
              <w:rPr>
                <w:rFonts w:hint="eastAsia" w:ascii="宋体" w:hAnsi="宋体"/>
                <w:sz w:val="22"/>
              </w:rPr>
              <w:t>100</w:t>
            </w:r>
          </w:p>
        </w:tc>
        <w:tc>
          <w:tcPr>
            <w:tcW w:w="1384" w:type="dxa"/>
            <w:noWrap w:val="0"/>
            <w:vAlign w:val="center"/>
          </w:tcPr>
          <w:p>
            <w:pPr>
              <w:autoSpaceDE w:val="0"/>
              <w:autoSpaceDN w:val="0"/>
              <w:adjustRightInd w:val="0"/>
              <w:jc w:val="center"/>
              <w:rPr>
                <w:rFonts w:ascii="宋体" w:hAnsi="宋体"/>
                <w:sz w:val="22"/>
              </w:rPr>
            </w:pPr>
            <w:r>
              <w:rPr>
                <w:rFonts w:hint="eastAsia" w:ascii="宋体" w:hAnsi="宋体"/>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noWrap w:val="0"/>
            <w:vAlign w:val="center"/>
          </w:tcPr>
          <w:p>
            <w:pPr>
              <w:autoSpaceDE w:val="0"/>
              <w:autoSpaceDN w:val="0"/>
              <w:adjustRightInd w:val="0"/>
              <w:jc w:val="center"/>
              <w:rPr>
                <w:rFonts w:ascii="宋体" w:hAnsi="宋体"/>
                <w:sz w:val="22"/>
              </w:rPr>
            </w:pPr>
            <w:r>
              <w:rPr>
                <w:rFonts w:hint="eastAsia" w:ascii="宋体" w:hAnsi="宋体"/>
                <w:sz w:val="22"/>
              </w:rPr>
              <w:t>4</w:t>
            </w:r>
          </w:p>
        </w:tc>
        <w:tc>
          <w:tcPr>
            <w:tcW w:w="1134" w:type="dxa"/>
            <w:vMerge w:val="continue"/>
            <w:noWrap w:val="0"/>
            <w:vAlign w:val="center"/>
          </w:tcPr>
          <w:p>
            <w:pPr>
              <w:autoSpaceDE w:val="0"/>
              <w:autoSpaceDN w:val="0"/>
              <w:adjustRightInd w:val="0"/>
              <w:jc w:val="center"/>
              <w:rPr>
                <w:rFonts w:ascii="宋体" w:hAnsi="宋体"/>
                <w:sz w:val="22"/>
              </w:rPr>
            </w:pPr>
          </w:p>
        </w:tc>
        <w:tc>
          <w:tcPr>
            <w:tcW w:w="3889" w:type="dxa"/>
            <w:gridSpan w:val="2"/>
            <w:noWrap w:val="0"/>
            <w:vAlign w:val="center"/>
          </w:tcPr>
          <w:p>
            <w:pPr>
              <w:autoSpaceDE w:val="0"/>
              <w:autoSpaceDN w:val="0"/>
              <w:adjustRightInd w:val="0"/>
              <w:jc w:val="left"/>
              <w:rPr>
                <w:rFonts w:ascii="宋体" w:hAnsi="宋体"/>
                <w:sz w:val="22"/>
              </w:rPr>
            </w:pPr>
            <w:r>
              <w:rPr>
                <w:rFonts w:hint="eastAsia" w:ascii="宋体" w:hAnsi="宋体"/>
                <w:sz w:val="22"/>
              </w:rPr>
              <w:t>街镇通三级及以上等级公路比例（%）</w:t>
            </w:r>
          </w:p>
        </w:tc>
        <w:tc>
          <w:tcPr>
            <w:tcW w:w="851" w:type="dxa"/>
            <w:noWrap w:val="0"/>
            <w:vAlign w:val="center"/>
          </w:tcPr>
          <w:p>
            <w:pPr>
              <w:autoSpaceDE w:val="0"/>
              <w:autoSpaceDN w:val="0"/>
              <w:adjustRightInd w:val="0"/>
              <w:jc w:val="center"/>
              <w:rPr>
                <w:rFonts w:ascii="宋体" w:hAnsi="宋体"/>
                <w:sz w:val="22"/>
              </w:rPr>
            </w:pPr>
            <w:r>
              <w:rPr>
                <w:rFonts w:hint="eastAsia" w:ascii="宋体" w:hAnsi="宋体"/>
                <w:sz w:val="22"/>
              </w:rPr>
              <w:t>100</w:t>
            </w:r>
          </w:p>
        </w:tc>
        <w:tc>
          <w:tcPr>
            <w:tcW w:w="1384" w:type="dxa"/>
            <w:noWrap w:val="0"/>
            <w:vAlign w:val="center"/>
          </w:tcPr>
          <w:p>
            <w:pPr>
              <w:autoSpaceDE w:val="0"/>
              <w:autoSpaceDN w:val="0"/>
              <w:adjustRightInd w:val="0"/>
              <w:jc w:val="center"/>
              <w:rPr>
                <w:rFonts w:ascii="宋体" w:hAnsi="宋体"/>
                <w:sz w:val="22"/>
              </w:rPr>
            </w:pPr>
            <w:r>
              <w:rPr>
                <w:rFonts w:hint="eastAsia" w:ascii="宋体" w:hAnsi="宋体"/>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noWrap w:val="0"/>
            <w:vAlign w:val="center"/>
          </w:tcPr>
          <w:p>
            <w:pPr>
              <w:autoSpaceDE w:val="0"/>
              <w:autoSpaceDN w:val="0"/>
              <w:adjustRightInd w:val="0"/>
              <w:jc w:val="center"/>
              <w:rPr>
                <w:rFonts w:hint="eastAsia" w:ascii="宋体" w:hAnsi="宋体"/>
                <w:sz w:val="22"/>
              </w:rPr>
            </w:pPr>
            <w:r>
              <w:rPr>
                <w:rFonts w:hint="eastAsia" w:ascii="宋体" w:hAnsi="宋体"/>
                <w:sz w:val="22"/>
              </w:rPr>
              <w:t>5</w:t>
            </w:r>
          </w:p>
        </w:tc>
        <w:tc>
          <w:tcPr>
            <w:tcW w:w="1134" w:type="dxa"/>
            <w:vMerge w:val="continue"/>
            <w:noWrap w:val="0"/>
            <w:vAlign w:val="center"/>
          </w:tcPr>
          <w:p>
            <w:pPr>
              <w:autoSpaceDE w:val="0"/>
              <w:autoSpaceDN w:val="0"/>
              <w:adjustRightInd w:val="0"/>
              <w:jc w:val="center"/>
              <w:rPr>
                <w:rFonts w:ascii="宋体" w:hAnsi="宋体"/>
                <w:sz w:val="22"/>
              </w:rPr>
            </w:pPr>
          </w:p>
        </w:tc>
        <w:tc>
          <w:tcPr>
            <w:tcW w:w="3889" w:type="dxa"/>
            <w:gridSpan w:val="2"/>
            <w:noWrap w:val="0"/>
            <w:vAlign w:val="center"/>
          </w:tcPr>
          <w:p>
            <w:pPr>
              <w:autoSpaceDE w:val="0"/>
              <w:autoSpaceDN w:val="0"/>
              <w:adjustRightInd w:val="0"/>
              <w:jc w:val="left"/>
              <w:rPr>
                <w:rFonts w:ascii="宋体" w:hAnsi="宋体"/>
                <w:sz w:val="22"/>
              </w:rPr>
            </w:pPr>
            <w:r>
              <w:rPr>
                <w:rFonts w:hint="eastAsia" w:ascii="宋体" w:hAnsi="宋体"/>
                <w:sz w:val="22"/>
              </w:rPr>
              <w:t>自然村（组）通硬化路比例（%）</w:t>
            </w:r>
          </w:p>
        </w:tc>
        <w:tc>
          <w:tcPr>
            <w:tcW w:w="851" w:type="dxa"/>
            <w:noWrap w:val="0"/>
            <w:vAlign w:val="center"/>
          </w:tcPr>
          <w:p>
            <w:pPr>
              <w:autoSpaceDE w:val="0"/>
              <w:autoSpaceDN w:val="0"/>
              <w:adjustRightInd w:val="0"/>
              <w:jc w:val="center"/>
              <w:rPr>
                <w:rFonts w:ascii="宋体" w:hAnsi="宋体"/>
                <w:sz w:val="22"/>
              </w:rPr>
            </w:pPr>
            <w:r>
              <w:rPr>
                <w:rFonts w:hint="eastAsia" w:ascii="宋体" w:hAnsi="宋体"/>
                <w:sz w:val="22"/>
              </w:rPr>
              <w:t>100</w:t>
            </w:r>
          </w:p>
        </w:tc>
        <w:tc>
          <w:tcPr>
            <w:tcW w:w="1384" w:type="dxa"/>
            <w:noWrap w:val="0"/>
            <w:vAlign w:val="center"/>
          </w:tcPr>
          <w:p>
            <w:pPr>
              <w:autoSpaceDE w:val="0"/>
              <w:autoSpaceDN w:val="0"/>
              <w:adjustRightInd w:val="0"/>
              <w:jc w:val="center"/>
              <w:rPr>
                <w:rFonts w:ascii="宋体" w:hAnsi="宋体"/>
                <w:sz w:val="22"/>
              </w:rPr>
            </w:pPr>
            <w:r>
              <w:rPr>
                <w:rFonts w:hint="eastAsia" w:ascii="宋体" w:hAnsi="宋体"/>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noWrap w:val="0"/>
            <w:vAlign w:val="center"/>
          </w:tcPr>
          <w:p>
            <w:pPr>
              <w:autoSpaceDE w:val="0"/>
              <w:autoSpaceDN w:val="0"/>
              <w:adjustRightInd w:val="0"/>
              <w:jc w:val="center"/>
              <w:rPr>
                <w:rFonts w:hint="eastAsia" w:ascii="宋体" w:hAnsi="宋体"/>
                <w:sz w:val="22"/>
              </w:rPr>
            </w:pPr>
            <w:r>
              <w:rPr>
                <w:rFonts w:hint="eastAsia" w:ascii="宋体" w:hAnsi="宋体"/>
                <w:sz w:val="22"/>
              </w:rPr>
              <w:t>6</w:t>
            </w:r>
          </w:p>
        </w:tc>
        <w:tc>
          <w:tcPr>
            <w:tcW w:w="1134" w:type="dxa"/>
            <w:vMerge w:val="restart"/>
            <w:noWrap w:val="0"/>
            <w:vAlign w:val="center"/>
          </w:tcPr>
          <w:p>
            <w:pPr>
              <w:autoSpaceDE w:val="0"/>
              <w:autoSpaceDN w:val="0"/>
              <w:adjustRightInd w:val="0"/>
              <w:jc w:val="center"/>
              <w:rPr>
                <w:rFonts w:ascii="宋体" w:hAnsi="宋体"/>
                <w:sz w:val="22"/>
              </w:rPr>
            </w:pPr>
            <w:r>
              <w:rPr>
                <w:rFonts w:hint="eastAsia" w:ascii="宋体" w:hAnsi="宋体"/>
                <w:sz w:val="22"/>
              </w:rPr>
              <w:t>长效稳定的管养保障体系</w:t>
            </w:r>
          </w:p>
        </w:tc>
        <w:tc>
          <w:tcPr>
            <w:tcW w:w="3889" w:type="dxa"/>
            <w:gridSpan w:val="2"/>
            <w:noWrap w:val="0"/>
            <w:vAlign w:val="center"/>
          </w:tcPr>
          <w:p>
            <w:pPr>
              <w:autoSpaceDE w:val="0"/>
              <w:autoSpaceDN w:val="0"/>
              <w:adjustRightInd w:val="0"/>
              <w:jc w:val="left"/>
              <w:rPr>
                <w:rFonts w:ascii="宋体" w:hAnsi="宋体"/>
                <w:sz w:val="22"/>
              </w:rPr>
            </w:pPr>
            <w:r>
              <w:rPr>
                <w:rFonts w:hint="eastAsia" w:ascii="宋体" w:hAnsi="宋体"/>
                <w:sz w:val="22"/>
              </w:rPr>
              <w:t>年均养护工程比例（%）</w:t>
            </w:r>
          </w:p>
        </w:tc>
        <w:tc>
          <w:tcPr>
            <w:tcW w:w="851" w:type="dxa"/>
            <w:noWrap w:val="0"/>
            <w:vAlign w:val="center"/>
          </w:tcPr>
          <w:p>
            <w:pPr>
              <w:autoSpaceDE w:val="0"/>
              <w:autoSpaceDN w:val="0"/>
              <w:adjustRightInd w:val="0"/>
              <w:jc w:val="center"/>
              <w:rPr>
                <w:rFonts w:ascii="宋体" w:hAnsi="宋体"/>
                <w:sz w:val="22"/>
              </w:rPr>
            </w:pPr>
            <w:r>
              <w:rPr>
                <w:rFonts w:hint="eastAsia" w:ascii="宋体" w:hAnsi="宋体"/>
                <w:sz w:val="22"/>
              </w:rPr>
              <w:t>≥5</w:t>
            </w:r>
          </w:p>
        </w:tc>
        <w:tc>
          <w:tcPr>
            <w:tcW w:w="1384" w:type="dxa"/>
            <w:noWrap w:val="0"/>
            <w:vAlign w:val="center"/>
          </w:tcPr>
          <w:p>
            <w:pPr>
              <w:autoSpaceDE w:val="0"/>
              <w:autoSpaceDN w:val="0"/>
              <w:adjustRightInd w:val="0"/>
              <w:jc w:val="center"/>
              <w:rPr>
                <w:rFonts w:ascii="宋体" w:hAnsi="宋体"/>
                <w:sz w:val="22"/>
              </w:rPr>
            </w:pPr>
            <w:r>
              <w:rPr>
                <w:rFonts w:hint="eastAsia" w:ascii="宋体" w:hAnsi="宋体"/>
                <w:sz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4" w:type="dxa"/>
            <w:noWrap w:val="0"/>
            <w:vAlign w:val="center"/>
          </w:tcPr>
          <w:p>
            <w:pPr>
              <w:autoSpaceDE w:val="0"/>
              <w:autoSpaceDN w:val="0"/>
              <w:adjustRightInd w:val="0"/>
              <w:jc w:val="center"/>
              <w:rPr>
                <w:rFonts w:hint="eastAsia" w:ascii="宋体" w:hAnsi="宋体"/>
                <w:sz w:val="22"/>
              </w:rPr>
            </w:pPr>
            <w:r>
              <w:rPr>
                <w:rFonts w:hint="eastAsia" w:ascii="宋体" w:hAnsi="宋体"/>
                <w:sz w:val="22"/>
              </w:rPr>
              <w:t>7</w:t>
            </w:r>
          </w:p>
        </w:tc>
        <w:tc>
          <w:tcPr>
            <w:tcW w:w="1134" w:type="dxa"/>
            <w:vMerge w:val="continue"/>
            <w:noWrap w:val="0"/>
            <w:vAlign w:val="center"/>
          </w:tcPr>
          <w:p>
            <w:pPr>
              <w:autoSpaceDE w:val="0"/>
              <w:autoSpaceDN w:val="0"/>
              <w:adjustRightInd w:val="0"/>
              <w:jc w:val="center"/>
              <w:rPr>
                <w:rFonts w:ascii="宋体" w:hAnsi="宋体"/>
                <w:sz w:val="22"/>
              </w:rPr>
            </w:pPr>
          </w:p>
        </w:tc>
        <w:tc>
          <w:tcPr>
            <w:tcW w:w="2835" w:type="dxa"/>
            <w:vMerge w:val="restart"/>
            <w:noWrap w:val="0"/>
            <w:vAlign w:val="center"/>
          </w:tcPr>
          <w:p>
            <w:pPr>
              <w:autoSpaceDE w:val="0"/>
              <w:autoSpaceDN w:val="0"/>
              <w:adjustRightInd w:val="0"/>
              <w:jc w:val="left"/>
              <w:rPr>
                <w:rFonts w:hint="eastAsia" w:ascii="宋体" w:hAnsi="宋体"/>
                <w:sz w:val="22"/>
              </w:rPr>
            </w:pPr>
            <w:r>
              <w:rPr>
                <w:rFonts w:hint="eastAsia" w:ascii="宋体" w:hAnsi="宋体"/>
                <w:sz w:val="22"/>
              </w:rPr>
              <w:t>农村公路优良中等路率（%）</w:t>
            </w:r>
          </w:p>
        </w:tc>
        <w:tc>
          <w:tcPr>
            <w:tcW w:w="1054" w:type="dxa"/>
            <w:noWrap w:val="0"/>
            <w:vAlign w:val="center"/>
          </w:tcPr>
          <w:p>
            <w:pPr>
              <w:autoSpaceDE w:val="0"/>
              <w:autoSpaceDN w:val="0"/>
              <w:adjustRightInd w:val="0"/>
              <w:jc w:val="left"/>
              <w:rPr>
                <w:rFonts w:hint="eastAsia" w:ascii="宋体" w:hAnsi="宋体"/>
                <w:sz w:val="22"/>
              </w:rPr>
            </w:pPr>
            <w:r>
              <w:rPr>
                <w:rFonts w:hint="eastAsia" w:ascii="宋体" w:hAnsi="宋体"/>
                <w:sz w:val="22"/>
              </w:rPr>
              <w:t>M</w:t>
            </w:r>
            <w:r>
              <w:rPr>
                <w:rFonts w:ascii="宋体" w:hAnsi="宋体"/>
                <w:sz w:val="22"/>
              </w:rPr>
              <w:t>QI</w:t>
            </w:r>
          </w:p>
        </w:tc>
        <w:tc>
          <w:tcPr>
            <w:tcW w:w="851" w:type="dxa"/>
            <w:noWrap w:val="0"/>
            <w:vAlign w:val="center"/>
          </w:tcPr>
          <w:p>
            <w:pPr>
              <w:autoSpaceDE w:val="0"/>
              <w:autoSpaceDN w:val="0"/>
              <w:adjustRightInd w:val="0"/>
              <w:jc w:val="center"/>
              <w:rPr>
                <w:rFonts w:ascii="宋体" w:hAnsi="宋体"/>
                <w:sz w:val="22"/>
              </w:rPr>
            </w:pPr>
            <w:r>
              <w:rPr>
                <w:rFonts w:hint="eastAsia" w:ascii="宋体" w:hAnsi="宋体"/>
                <w:sz w:val="22"/>
              </w:rPr>
              <w:t>≥85</w:t>
            </w:r>
          </w:p>
        </w:tc>
        <w:tc>
          <w:tcPr>
            <w:tcW w:w="1384" w:type="dxa"/>
            <w:noWrap w:val="0"/>
            <w:vAlign w:val="center"/>
          </w:tcPr>
          <w:p>
            <w:pPr>
              <w:autoSpaceDE w:val="0"/>
              <w:autoSpaceDN w:val="0"/>
              <w:adjustRightInd w:val="0"/>
              <w:jc w:val="center"/>
              <w:rPr>
                <w:rFonts w:ascii="宋体" w:hAnsi="宋体"/>
                <w:sz w:val="22"/>
              </w:rPr>
            </w:pPr>
            <w:r>
              <w:rPr>
                <w:rFonts w:hint="eastAsia" w:ascii="宋体" w:hAnsi="宋体"/>
                <w:sz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noWrap w:val="0"/>
            <w:vAlign w:val="center"/>
          </w:tcPr>
          <w:p>
            <w:pPr>
              <w:autoSpaceDE w:val="0"/>
              <w:autoSpaceDN w:val="0"/>
              <w:adjustRightInd w:val="0"/>
              <w:jc w:val="center"/>
              <w:rPr>
                <w:rFonts w:hint="eastAsia" w:ascii="宋体" w:hAnsi="宋体"/>
                <w:sz w:val="22"/>
              </w:rPr>
            </w:pPr>
            <w:r>
              <w:rPr>
                <w:rFonts w:hint="eastAsia" w:ascii="宋体" w:hAnsi="宋体"/>
                <w:sz w:val="22"/>
              </w:rPr>
              <w:t>8</w:t>
            </w:r>
          </w:p>
        </w:tc>
        <w:tc>
          <w:tcPr>
            <w:tcW w:w="1134" w:type="dxa"/>
            <w:vMerge w:val="continue"/>
            <w:noWrap w:val="0"/>
            <w:vAlign w:val="center"/>
          </w:tcPr>
          <w:p>
            <w:pPr>
              <w:autoSpaceDE w:val="0"/>
              <w:autoSpaceDN w:val="0"/>
              <w:adjustRightInd w:val="0"/>
              <w:jc w:val="center"/>
              <w:rPr>
                <w:rFonts w:ascii="宋体" w:hAnsi="宋体"/>
                <w:sz w:val="22"/>
              </w:rPr>
            </w:pPr>
          </w:p>
        </w:tc>
        <w:tc>
          <w:tcPr>
            <w:tcW w:w="2835" w:type="dxa"/>
            <w:vMerge w:val="continue"/>
            <w:noWrap w:val="0"/>
            <w:vAlign w:val="center"/>
          </w:tcPr>
          <w:p>
            <w:pPr>
              <w:autoSpaceDE w:val="0"/>
              <w:autoSpaceDN w:val="0"/>
              <w:adjustRightInd w:val="0"/>
              <w:jc w:val="left"/>
              <w:rPr>
                <w:rFonts w:ascii="宋体" w:hAnsi="宋体"/>
                <w:sz w:val="22"/>
              </w:rPr>
            </w:pPr>
          </w:p>
        </w:tc>
        <w:tc>
          <w:tcPr>
            <w:tcW w:w="1054" w:type="dxa"/>
            <w:noWrap w:val="0"/>
            <w:vAlign w:val="center"/>
          </w:tcPr>
          <w:p>
            <w:pPr>
              <w:autoSpaceDE w:val="0"/>
              <w:autoSpaceDN w:val="0"/>
              <w:adjustRightInd w:val="0"/>
              <w:jc w:val="left"/>
              <w:rPr>
                <w:rFonts w:ascii="宋体" w:hAnsi="宋体"/>
                <w:sz w:val="22"/>
              </w:rPr>
            </w:pPr>
            <w:r>
              <w:rPr>
                <w:rFonts w:hint="eastAsia" w:ascii="宋体" w:hAnsi="宋体"/>
                <w:sz w:val="22"/>
              </w:rPr>
              <w:t>P</w:t>
            </w:r>
            <w:r>
              <w:rPr>
                <w:rFonts w:ascii="宋体" w:hAnsi="宋体"/>
                <w:sz w:val="22"/>
              </w:rPr>
              <w:t>QI</w:t>
            </w:r>
          </w:p>
        </w:tc>
        <w:tc>
          <w:tcPr>
            <w:tcW w:w="851" w:type="dxa"/>
            <w:noWrap w:val="0"/>
            <w:vAlign w:val="center"/>
          </w:tcPr>
          <w:p>
            <w:pPr>
              <w:autoSpaceDE w:val="0"/>
              <w:autoSpaceDN w:val="0"/>
              <w:adjustRightInd w:val="0"/>
              <w:jc w:val="center"/>
              <w:rPr>
                <w:rFonts w:ascii="宋体" w:hAnsi="宋体"/>
                <w:sz w:val="22"/>
              </w:rPr>
            </w:pPr>
            <w:r>
              <w:rPr>
                <w:rFonts w:hint="eastAsia" w:ascii="宋体" w:hAnsi="宋体"/>
                <w:sz w:val="22"/>
              </w:rPr>
              <w:t>≥80</w:t>
            </w:r>
          </w:p>
        </w:tc>
        <w:tc>
          <w:tcPr>
            <w:tcW w:w="1384" w:type="dxa"/>
            <w:noWrap w:val="0"/>
            <w:vAlign w:val="center"/>
          </w:tcPr>
          <w:p>
            <w:pPr>
              <w:autoSpaceDE w:val="0"/>
              <w:autoSpaceDN w:val="0"/>
              <w:adjustRightInd w:val="0"/>
              <w:jc w:val="center"/>
              <w:rPr>
                <w:rFonts w:ascii="宋体" w:hAnsi="宋体"/>
                <w:sz w:val="22"/>
              </w:rPr>
            </w:pPr>
            <w:r>
              <w:rPr>
                <w:rFonts w:hint="eastAsia" w:ascii="宋体" w:hAnsi="宋体"/>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noWrap w:val="0"/>
            <w:vAlign w:val="center"/>
          </w:tcPr>
          <w:p>
            <w:pPr>
              <w:autoSpaceDE w:val="0"/>
              <w:autoSpaceDN w:val="0"/>
              <w:adjustRightInd w:val="0"/>
              <w:jc w:val="center"/>
              <w:rPr>
                <w:rFonts w:hint="eastAsia" w:ascii="宋体" w:hAnsi="宋体"/>
                <w:sz w:val="22"/>
              </w:rPr>
            </w:pPr>
            <w:r>
              <w:rPr>
                <w:rFonts w:hint="eastAsia" w:ascii="宋体" w:hAnsi="宋体"/>
                <w:sz w:val="22"/>
              </w:rPr>
              <w:t>9</w:t>
            </w:r>
          </w:p>
        </w:tc>
        <w:tc>
          <w:tcPr>
            <w:tcW w:w="1134" w:type="dxa"/>
            <w:vMerge w:val="continue"/>
            <w:noWrap w:val="0"/>
            <w:vAlign w:val="center"/>
          </w:tcPr>
          <w:p>
            <w:pPr>
              <w:autoSpaceDE w:val="0"/>
              <w:autoSpaceDN w:val="0"/>
              <w:adjustRightInd w:val="0"/>
              <w:jc w:val="center"/>
              <w:rPr>
                <w:rFonts w:ascii="宋体" w:hAnsi="宋体"/>
                <w:sz w:val="22"/>
              </w:rPr>
            </w:pPr>
          </w:p>
        </w:tc>
        <w:tc>
          <w:tcPr>
            <w:tcW w:w="3889" w:type="dxa"/>
            <w:gridSpan w:val="2"/>
            <w:noWrap w:val="0"/>
            <w:vAlign w:val="center"/>
          </w:tcPr>
          <w:p>
            <w:pPr>
              <w:autoSpaceDE w:val="0"/>
              <w:autoSpaceDN w:val="0"/>
              <w:adjustRightInd w:val="0"/>
              <w:jc w:val="left"/>
              <w:rPr>
                <w:rFonts w:hint="eastAsia" w:ascii="宋体" w:hAnsi="宋体"/>
                <w:sz w:val="22"/>
              </w:rPr>
            </w:pPr>
            <w:r>
              <w:rPr>
                <w:rFonts w:hint="eastAsia" w:ascii="宋体" w:hAnsi="宋体"/>
                <w:sz w:val="22"/>
              </w:rPr>
              <w:t>具备检测条件的农村公路路面自动化检测率（%）</w:t>
            </w:r>
          </w:p>
        </w:tc>
        <w:tc>
          <w:tcPr>
            <w:tcW w:w="851" w:type="dxa"/>
            <w:noWrap w:val="0"/>
            <w:vAlign w:val="center"/>
          </w:tcPr>
          <w:p>
            <w:pPr>
              <w:autoSpaceDE w:val="0"/>
              <w:autoSpaceDN w:val="0"/>
              <w:adjustRightInd w:val="0"/>
              <w:jc w:val="center"/>
              <w:rPr>
                <w:rFonts w:ascii="宋体" w:hAnsi="宋体"/>
                <w:sz w:val="22"/>
              </w:rPr>
            </w:pPr>
            <w:r>
              <w:rPr>
                <w:rFonts w:hint="eastAsia" w:ascii="宋体" w:hAnsi="宋体"/>
                <w:sz w:val="22"/>
              </w:rPr>
              <w:t>100</w:t>
            </w:r>
          </w:p>
        </w:tc>
        <w:tc>
          <w:tcPr>
            <w:tcW w:w="1384" w:type="dxa"/>
            <w:noWrap w:val="0"/>
            <w:vAlign w:val="center"/>
          </w:tcPr>
          <w:p>
            <w:pPr>
              <w:autoSpaceDE w:val="0"/>
              <w:autoSpaceDN w:val="0"/>
              <w:adjustRightInd w:val="0"/>
              <w:jc w:val="center"/>
              <w:rPr>
                <w:rFonts w:ascii="宋体" w:hAnsi="宋体"/>
                <w:sz w:val="22"/>
              </w:rPr>
            </w:pPr>
            <w:r>
              <w:rPr>
                <w:rFonts w:hint="eastAsia" w:ascii="宋体" w:hAnsi="宋体"/>
                <w:sz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noWrap w:val="0"/>
            <w:vAlign w:val="center"/>
          </w:tcPr>
          <w:p>
            <w:pPr>
              <w:autoSpaceDE w:val="0"/>
              <w:autoSpaceDN w:val="0"/>
              <w:adjustRightInd w:val="0"/>
              <w:jc w:val="center"/>
              <w:rPr>
                <w:rFonts w:hint="eastAsia" w:ascii="宋体" w:hAnsi="宋体"/>
                <w:sz w:val="22"/>
              </w:rPr>
            </w:pPr>
            <w:r>
              <w:rPr>
                <w:rFonts w:hint="eastAsia" w:ascii="宋体" w:hAnsi="宋体"/>
                <w:sz w:val="22"/>
              </w:rPr>
              <w:t>10</w:t>
            </w:r>
          </w:p>
        </w:tc>
        <w:tc>
          <w:tcPr>
            <w:tcW w:w="1134" w:type="dxa"/>
            <w:vMerge w:val="continue"/>
            <w:noWrap w:val="0"/>
            <w:vAlign w:val="center"/>
          </w:tcPr>
          <w:p>
            <w:pPr>
              <w:autoSpaceDE w:val="0"/>
              <w:autoSpaceDN w:val="0"/>
              <w:adjustRightInd w:val="0"/>
              <w:jc w:val="center"/>
              <w:rPr>
                <w:rFonts w:ascii="宋体" w:hAnsi="宋体"/>
                <w:sz w:val="22"/>
              </w:rPr>
            </w:pPr>
          </w:p>
        </w:tc>
        <w:tc>
          <w:tcPr>
            <w:tcW w:w="3889" w:type="dxa"/>
            <w:gridSpan w:val="2"/>
            <w:noWrap w:val="0"/>
            <w:vAlign w:val="center"/>
          </w:tcPr>
          <w:p>
            <w:pPr>
              <w:autoSpaceDE w:val="0"/>
              <w:autoSpaceDN w:val="0"/>
              <w:adjustRightInd w:val="0"/>
              <w:jc w:val="left"/>
              <w:rPr>
                <w:rFonts w:ascii="宋体" w:hAnsi="宋体"/>
                <w:sz w:val="22"/>
              </w:rPr>
            </w:pPr>
            <w:r>
              <w:rPr>
                <w:rFonts w:hint="eastAsia" w:ascii="宋体" w:hAnsi="宋体"/>
                <w:sz w:val="22"/>
              </w:rPr>
              <w:t>道路安全隐患和危桥及时处置率（%）</w:t>
            </w:r>
          </w:p>
        </w:tc>
        <w:tc>
          <w:tcPr>
            <w:tcW w:w="851" w:type="dxa"/>
            <w:noWrap w:val="0"/>
            <w:vAlign w:val="center"/>
          </w:tcPr>
          <w:p>
            <w:pPr>
              <w:autoSpaceDE w:val="0"/>
              <w:autoSpaceDN w:val="0"/>
              <w:adjustRightInd w:val="0"/>
              <w:jc w:val="center"/>
              <w:rPr>
                <w:rFonts w:ascii="宋体" w:hAnsi="宋体"/>
                <w:sz w:val="22"/>
              </w:rPr>
            </w:pPr>
            <w:r>
              <w:rPr>
                <w:rFonts w:hint="eastAsia" w:ascii="宋体" w:hAnsi="宋体"/>
                <w:sz w:val="22"/>
              </w:rPr>
              <w:t>100</w:t>
            </w:r>
          </w:p>
        </w:tc>
        <w:tc>
          <w:tcPr>
            <w:tcW w:w="1384" w:type="dxa"/>
            <w:noWrap w:val="0"/>
            <w:vAlign w:val="center"/>
          </w:tcPr>
          <w:p>
            <w:pPr>
              <w:autoSpaceDE w:val="0"/>
              <w:autoSpaceDN w:val="0"/>
              <w:adjustRightInd w:val="0"/>
              <w:jc w:val="center"/>
              <w:rPr>
                <w:rFonts w:ascii="宋体" w:hAnsi="宋体"/>
                <w:sz w:val="22"/>
              </w:rPr>
            </w:pPr>
            <w:r>
              <w:rPr>
                <w:rFonts w:hint="eastAsia" w:ascii="宋体" w:hAnsi="宋体"/>
                <w:sz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4" w:type="dxa"/>
            <w:noWrap w:val="0"/>
            <w:vAlign w:val="center"/>
          </w:tcPr>
          <w:p>
            <w:pPr>
              <w:autoSpaceDE w:val="0"/>
              <w:autoSpaceDN w:val="0"/>
              <w:adjustRightInd w:val="0"/>
              <w:jc w:val="center"/>
              <w:rPr>
                <w:rFonts w:hint="eastAsia" w:ascii="宋体" w:hAnsi="宋体"/>
                <w:sz w:val="22"/>
              </w:rPr>
            </w:pPr>
            <w:r>
              <w:rPr>
                <w:rFonts w:hint="eastAsia" w:ascii="宋体" w:hAnsi="宋体"/>
                <w:sz w:val="22"/>
              </w:rPr>
              <w:t>11</w:t>
            </w:r>
          </w:p>
        </w:tc>
        <w:tc>
          <w:tcPr>
            <w:tcW w:w="1134" w:type="dxa"/>
            <w:vMerge w:val="continue"/>
            <w:noWrap w:val="0"/>
            <w:vAlign w:val="center"/>
          </w:tcPr>
          <w:p>
            <w:pPr>
              <w:autoSpaceDE w:val="0"/>
              <w:autoSpaceDN w:val="0"/>
              <w:adjustRightInd w:val="0"/>
              <w:jc w:val="center"/>
              <w:rPr>
                <w:rFonts w:ascii="宋体" w:hAnsi="宋体"/>
                <w:sz w:val="22"/>
              </w:rPr>
            </w:pPr>
          </w:p>
        </w:tc>
        <w:tc>
          <w:tcPr>
            <w:tcW w:w="3889" w:type="dxa"/>
            <w:gridSpan w:val="2"/>
            <w:noWrap w:val="0"/>
            <w:vAlign w:val="center"/>
          </w:tcPr>
          <w:p>
            <w:pPr>
              <w:autoSpaceDE w:val="0"/>
              <w:autoSpaceDN w:val="0"/>
              <w:adjustRightInd w:val="0"/>
              <w:jc w:val="left"/>
              <w:rPr>
                <w:rFonts w:ascii="宋体" w:hAnsi="宋体"/>
                <w:sz w:val="22"/>
                <w:highlight w:val="none"/>
              </w:rPr>
            </w:pPr>
            <w:r>
              <w:rPr>
                <w:rFonts w:hint="eastAsia" w:ascii="宋体" w:hAnsi="宋体"/>
                <w:sz w:val="22"/>
                <w:highlight w:val="none"/>
                <w:lang w:eastAsia="zh-CN"/>
              </w:rPr>
              <w:t>区</w:t>
            </w:r>
            <w:r>
              <w:rPr>
                <w:rFonts w:hint="eastAsia" w:ascii="宋体" w:hAnsi="宋体"/>
                <w:sz w:val="22"/>
                <w:highlight w:val="none"/>
              </w:rPr>
              <w:t>镇村</w:t>
            </w:r>
            <w:r>
              <w:rPr>
                <w:rFonts w:hint="eastAsia" w:ascii="宋体" w:hAnsi="宋体"/>
                <w:sz w:val="22"/>
                <w:highlight w:val="none"/>
                <w:lang w:eastAsia="zh-CN"/>
              </w:rPr>
              <w:t>三</w:t>
            </w:r>
            <w:r>
              <w:rPr>
                <w:rFonts w:hint="eastAsia" w:ascii="宋体" w:hAnsi="宋体"/>
                <w:sz w:val="22"/>
                <w:highlight w:val="none"/>
              </w:rPr>
              <w:t>级路长制建立及责任落实率（%）</w:t>
            </w:r>
          </w:p>
        </w:tc>
        <w:tc>
          <w:tcPr>
            <w:tcW w:w="851" w:type="dxa"/>
            <w:noWrap w:val="0"/>
            <w:vAlign w:val="center"/>
          </w:tcPr>
          <w:p>
            <w:pPr>
              <w:autoSpaceDE w:val="0"/>
              <w:autoSpaceDN w:val="0"/>
              <w:adjustRightInd w:val="0"/>
              <w:jc w:val="center"/>
              <w:rPr>
                <w:rFonts w:ascii="宋体" w:hAnsi="宋体"/>
                <w:sz w:val="22"/>
                <w:highlight w:val="none"/>
              </w:rPr>
            </w:pPr>
            <w:r>
              <w:rPr>
                <w:rFonts w:hint="eastAsia" w:ascii="宋体" w:hAnsi="宋体"/>
                <w:sz w:val="22"/>
                <w:highlight w:val="none"/>
              </w:rPr>
              <w:t>100</w:t>
            </w:r>
          </w:p>
        </w:tc>
        <w:tc>
          <w:tcPr>
            <w:tcW w:w="1384" w:type="dxa"/>
            <w:noWrap w:val="0"/>
            <w:vAlign w:val="center"/>
          </w:tcPr>
          <w:p>
            <w:pPr>
              <w:autoSpaceDE w:val="0"/>
              <w:autoSpaceDN w:val="0"/>
              <w:adjustRightInd w:val="0"/>
              <w:jc w:val="center"/>
              <w:rPr>
                <w:rFonts w:ascii="宋体" w:hAnsi="宋体"/>
                <w:sz w:val="22"/>
                <w:highlight w:val="none"/>
              </w:rPr>
            </w:pPr>
            <w:r>
              <w:rPr>
                <w:rFonts w:hint="eastAsia" w:ascii="宋体" w:hAnsi="宋体"/>
                <w:sz w:val="22"/>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noWrap w:val="0"/>
            <w:vAlign w:val="center"/>
          </w:tcPr>
          <w:p>
            <w:pPr>
              <w:autoSpaceDE w:val="0"/>
              <w:autoSpaceDN w:val="0"/>
              <w:adjustRightInd w:val="0"/>
              <w:jc w:val="center"/>
              <w:rPr>
                <w:rFonts w:hint="eastAsia" w:ascii="宋体" w:hAnsi="宋体"/>
                <w:sz w:val="22"/>
              </w:rPr>
            </w:pPr>
            <w:r>
              <w:rPr>
                <w:rFonts w:hint="eastAsia" w:ascii="宋体" w:hAnsi="宋体"/>
                <w:sz w:val="22"/>
              </w:rPr>
              <w:t>12</w:t>
            </w:r>
          </w:p>
        </w:tc>
        <w:tc>
          <w:tcPr>
            <w:tcW w:w="1134" w:type="dxa"/>
            <w:vMerge w:val="continue"/>
            <w:noWrap w:val="0"/>
            <w:vAlign w:val="center"/>
          </w:tcPr>
          <w:p>
            <w:pPr>
              <w:autoSpaceDE w:val="0"/>
              <w:autoSpaceDN w:val="0"/>
              <w:adjustRightInd w:val="0"/>
              <w:jc w:val="center"/>
              <w:rPr>
                <w:rFonts w:ascii="宋体" w:hAnsi="宋体"/>
                <w:sz w:val="22"/>
              </w:rPr>
            </w:pPr>
          </w:p>
        </w:tc>
        <w:tc>
          <w:tcPr>
            <w:tcW w:w="3889" w:type="dxa"/>
            <w:gridSpan w:val="2"/>
            <w:noWrap w:val="0"/>
            <w:vAlign w:val="center"/>
          </w:tcPr>
          <w:p>
            <w:pPr>
              <w:autoSpaceDE w:val="0"/>
              <w:autoSpaceDN w:val="0"/>
              <w:adjustRightInd w:val="0"/>
              <w:jc w:val="left"/>
              <w:rPr>
                <w:rFonts w:ascii="宋体" w:hAnsi="宋体"/>
                <w:sz w:val="22"/>
              </w:rPr>
            </w:pPr>
            <w:r>
              <w:rPr>
                <w:rFonts w:hint="eastAsia" w:ascii="宋体" w:hAnsi="宋体"/>
                <w:sz w:val="22"/>
              </w:rPr>
              <w:t>农村公路公益性岗位的乡镇（街道）覆盖率（%）</w:t>
            </w:r>
          </w:p>
        </w:tc>
        <w:tc>
          <w:tcPr>
            <w:tcW w:w="851" w:type="dxa"/>
            <w:noWrap w:val="0"/>
            <w:vAlign w:val="center"/>
          </w:tcPr>
          <w:p>
            <w:pPr>
              <w:autoSpaceDE w:val="0"/>
              <w:autoSpaceDN w:val="0"/>
              <w:adjustRightInd w:val="0"/>
              <w:jc w:val="center"/>
              <w:rPr>
                <w:rFonts w:ascii="宋体" w:hAnsi="宋体"/>
                <w:sz w:val="22"/>
              </w:rPr>
            </w:pPr>
            <w:r>
              <w:rPr>
                <w:rFonts w:hint="eastAsia" w:ascii="宋体" w:hAnsi="宋体"/>
                <w:sz w:val="22"/>
              </w:rPr>
              <w:t>≥50</w:t>
            </w:r>
          </w:p>
        </w:tc>
        <w:tc>
          <w:tcPr>
            <w:tcW w:w="1384" w:type="dxa"/>
            <w:noWrap w:val="0"/>
            <w:vAlign w:val="center"/>
          </w:tcPr>
          <w:p>
            <w:pPr>
              <w:autoSpaceDE w:val="0"/>
              <w:autoSpaceDN w:val="0"/>
              <w:adjustRightInd w:val="0"/>
              <w:jc w:val="center"/>
              <w:rPr>
                <w:rFonts w:ascii="宋体" w:hAnsi="宋体"/>
                <w:sz w:val="22"/>
              </w:rPr>
            </w:pPr>
            <w:r>
              <w:rPr>
                <w:rFonts w:hint="eastAsia" w:ascii="宋体" w:hAnsi="宋体"/>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noWrap w:val="0"/>
            <w:vAlign w:val="center"/>
          </w:tcPr>
          <w:p>
            <w:pPr>
              <w:autoSpaceDE w:val="0"/>
              <w:autoSpaceDN w:val="0"/>
              <w:adjustRightInd w:val="0"/>
              <w:jc w:val="center"/>
              <w:rPr>
                <w:rFonts w:hint="eastAsia" w:ascii="宋体" w:hAnsi="宋体" w:eastAsia="宋体"/>
                <w:sz w:val="22"/>
                <w:lang w:eastAsia="zh-CN"/>
              </w:rPr>
            </w:pPr>
            <w:r>
              <w:rPr>
                <w:rFonts w:hint="eastAsia" w:ascii="宋体" w:hAnsi="宋体"/>
                <w:sz w:val="22"/>
              </w:rPr>
              <w:t>1</w:t>
            </w:r>
            <w:r>
              <w:rPr>
                <w:rFonts w:hint="eastAsia" w:ascii="宋体" w:hAnsi="宋体"/>
                <w:sz w:val="22"/>
                <w:lang w:val="en-US" w:eastAsia="zh-CN"/>
              </w:rPr>
              <w:t>3</w:t>
            </w:r>
          </w:p>
        </w:tc>
        <w:tc>
          <w:tcPr>
            <w:tcW w:w="1134" w:type="dxa"/>
            <w:vMerge w:val="continue"/>
            <w:noWrap w:val="0"/>
            <w:vAlign w:val="center"/>
          </w:tcPr>
          <w:p>
            <w:pPr>
              <w:autoSpaceDE w:val="0"/>
              <w:autoSpaceDN w:val="0"/>
              <w:adjustRightInd w:val="0"/>
              <w:jc w:val="center"/>
              <w:rPr>
                <w:rFonts w:ascii="宋体" w:hAnsi="宋体"/>
                <w:sz w:val="22"/>
              </w:rPr>
            </w:pPr>
          </w:p>
        </w:tc>
        <w:tc>
          <w:tcPr>
            <w:tcW w:w="3889" w:type="dxa"/>
            <w:gridSpan w:val="2"/>
            <w:noWrap w:val="0"/>
            <w:vAlign w:val="center"/>
          </w:tcPr>
          <w:p>
            <w:pPr>
              <w:autoSpaceDE w:val="0"/>
              <w:autoSpaceDN w:val="0"/>
              <w:adjustRightInd w:val="0"/>
              <w:jc w:val="left"/>
              <w:rPr>
                <w:rFonts w:ascii="宋体" w:hAnsi="宋体"/>
                <w:sz w:val="22"/>
              </w:rPr>
            </w:pPr>
            <w:r>
              <w:rPr>
                <w:rFonts w:hint="eastAsia" w:ascii="宋体" w:hAnsi="宋体"/>
                <w:sz w:val="22"/>
              </w:rPr>
              <w:t>“七公开”落实率（%）</w:t>
            </w:r>
          </w:p>
        </w:tc>
        <w:tc>
          <w:tcPr>
            <w:tcW w:w="851" w:type="dxa"/>
            <w:noWrap w:val="0"/>
            <w:vAlign w:val="center"/>
          </w:tcPr>
          <w:p>
            <w:pPr>
              <w:autoSpaceDE w:val="0"/>
              <w:autoSpaceDN w:val="0"/>
              <w:adjustRightInd w:val="0"/>
              <w:jc w:val="center"/>
              <w:rPr>
                <w:rFonts w:ascii="宋体" w:hAnsi="宋体"/>
                <w:sz w:val="22"/>
              </w:rPr>
            </w:pPr>
            <w:r>
              <w:rPr>
                <w:rFonts w:hint="eastAsia" w:ascii="宋体" w:hAnsi="宋体"/>
                <w:sz w:val="22"/>
              </w:rPr>
              <w:t>100</w:t>
            </w:r>
          </w:p>
        </w:tc>
        <w:tc>
          <w:tcPr>
            <w:tcW w:w="1384" w:type="dxa"/>
            <w:noWrap w:val="0"/>
            <w:vAlign w:val="center"/>
          </w:tcPr>
          <w:p>
            <w:pPr>
              <w:autoSpaceDE w:val="0"/>
              <w:autoSpaceDN w:val="0"/>
              <w:adjustRightInd w:val="0"/>
              <w:jc w:val="center"/>
              <w:rPr>
                <w:rFonts w:ascii="宋体" w:hAnsi="宋体"/>
                <w:sz w:val="22"/>
              </w:rPr>
            </w:pPr>
            <w:r>
              <w:rPr>
                <w:rFonts w:hint="eastAsia" w:ascii="宋体" w:hAnsi="宋体"/>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noWrap w:val="0"/>
            <w:vAlign w:val="center"/>
          </w:tcPr>
          <w:p>
            <w:pPr>
              <w:autoSpaceDE w:val="0"/>
              <w:autoSpaceDN w:val="0"/>
              <w:adjustRightInd w:val="0"/>
              <w:jc w:val="center"/>
              <w:rPr>
                <w:rFonts w:hint="default" w:ascii="宋体" w:hAnsi="宋体" w:eastAsia="宋体"/>
                <w:sz w:val="22"/>
                <w:lang w:val="en-US" w:eastAsia="zh-CN"/>
              </w:rPr>
            </w:pPr>
            <w:r>
              <w:rPr>
                <w:rFonts w:hint="eastAsia" w:ascii="宋体" w:hAnsi="宋体"/>
                <w:sz w:val="22"/>
                <w:lang w:val="en-US" w:eastAsia="zh-CN"/>
              </w:rPr>
              <w:t>14</w:t>
            </w:r>
          </w:p>
        </w:tc>
        <w:tc>
          <w:tcPr>
            <w:tcW w:w="1134" w:type="dxa"/>
            <w:vMerge w:val="continue"/>
            <w:noWrap w:val="0"/>
            <w:vAlign w:val="center"/>
          </w:tcPr>
          <w:p>
            <w:pPr>
              <w:autoSpaceDE w:val="0"/>
              <w:autoSpaceDN w:val="0"/>
              <w:adjustRightInd w:val="0"/>
              <w:jc w:val="center"/>
              <w:rPr>
                <w:rFonts w:ascii="宋体" w:hAnsi="宋体"/>
                <w:sz w:val="22"/>
              </w:rPr>
            </w:pPr>
          </w:p>
        </w:tc>
        <w:tc>
          <w:tcPr>
            <w:tcW w:w="3889" w:type="dxa"/>
            <w:gridSpan w:val="2"/>
            <w:noWrap w:val="0"/>
            <w:vAlign w:val="center"/>
          </w:tcPr>
          <w:p>
            <w:pPr>
              <w:autoSpaceDE w:val="0"/>
              <w:autoSpaceDN w:val="0"/>
              <w:adjustRightInd w:val="0"/>
              <w:jc w:val="left"/>
              <w:rPr>
                <w:rFonts w:hint="eastAsia" w:ascii="宋体" w:hAnsi="宋体" w:eastAsia="宋体"/>
                <w:sz w:val="22"/>
                <w:lang w:eastAsia="zh-CN"/>
              </w:rPr>
            </w:pPr>
            <w:r>
              <w:rPr>
                <w:rFonts w:hint="eastAsia" w:ascii="宋体" w:hAnsi="宋体"/>
                <w:sz w:val="22"/>
                <w:lang w:eastAsia="zh-CN"/>
              </w:rPr>
              <w:t>机构运行经费及人员支出纳入街镇财政预算比例（</w:t>
            </w:r>
            <w:r>
              <w:rPr>
                <w:rFonts w:hint="eastAsia" w:ascii="宋体" w:hAnsi="宋体"/>
                <w:sz w:val="22"/>
              </w:rPr>
              <w:t>%</w:t>
            </w:r>
            <w:r>
              <w:rPr>
                <w:rFonts w:hint="eastAsia" w:ascii="宋体" w:hAnsi="宋体"/>
                <w:sz w:val="22"/>
                <w:lang w:eastAsia="zh-CN"/>
              </w:rPr>
              <w:t>）</w:t>
            </w:r>
          </w:p>
        </w:tc>
        <w:tc>
          <w:tcPr>
            <w:tcW w:w="851" w:type="dxa"/>
            <w:noWrap w:val="0"/>
            <w:vAlign w:val="center"/>
          </w:tcPr>
          <w:p>
            <w:pPr>
              <w:autoSpaceDE w:val="0"/>
              <w:autoSpaceDN w:val="0"/>
              <w:adjustRightInd w:val="0"/>
              <w:jc w:val="center"/>
              <w:rPr>
                <w:rFonts w:hint="default" w:ascii="宋体" w:hAnsi="宋体" w:eastAsia="宋体"/>
                <w:sz w:val="22"/>
                <w:lang w:val="en-US" w:eastAsia="zh-CN"/>
              </w:rPr>
            </w:pPr>
            <w:r>
              <w:rPr>
                <w:rFonts w:hint="eastAsia" w:ascii="宋体" w:hAnsi="宋体"/>
                <w:sz w:val="22"/>
                <w:lang w:val="en-US" w:eastAsia="zh-CN"/>
              </w:rPr>
              <w:t>100</w:t>
            </w:r>
          </w:p>
        </w:tc>
        <w:tc>
          <w:tcPr>
            <w:tcW w:w="1384" w:type="dxa"/>
            <w:noWrap w:val="0"/>
            <w:vAlign w:val="center"/>
          </w:tcPr>
          <w:p>
            <w:pPr>
              <w:autoSpaceDE w:val="0"/>
              <w:autoSpaceDN w:val="0"/>
              <w:adjustRightInd w:val="0"/>
              <w:jc w:val="center"/>
              <w:rPr>
                <w:rFonts w:hint="eastAsia" w:ascii="宋体" w:hAnsi="宋体" w:eastAsia="宋体"/>
                <w:sz w:val="22"/>
                <w:lang w:eastAsia="zh-CN"/>
              </w:rPr>
            </w:pPr>
            <w:r>
              <w:rPr>
                <w:rFonts w:hint="eastAsia" w:ascii="宋体" w:hAnsi="宋体"/>
                <w:sz w:val="22"/>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4" w:type="dxa"/>
            <w:noWrap w:val="0"/>
            <w:vAlign w:val="center"/>
          </w:tcPr>
          <w:p>
            <w:pPr>
              <w:autoSpaceDE w:val="0"/>
              <w:autoSpaceDN w:val="0"/>
              <w:adjustRightInd w:val="0"/>
              <w:jc w:val="center"/>
              <w:rPr>
                <w:rFonts w:hint="default" w:ascii="宋体" w:hAnsi="宋体" w:eastAsia="宋体"/>
                <w:sz w:val="22"/>
                <w:lang w:val="en-US" w:eastAsia="zh-CN"/>
              </w:rPr>
            </w:pPr>
            <w:r>
              <w:rPr>
                <w:rFonts w:hint="eastAsia" w:ascii="宋体" w:hAnsi="宋体"/>
                <w:sz w:val="22"/>
                <w:lang w:val="en-US" w:eastAsia="zh-CN"/>
              </w:rPr>
              <w:t>15</w:t>
            </w:r>
          </w:p>
        </w:tc>
        <w:tc>
          <w:tcPr>
            <w:tcW w:w="1134" w:type="dxa"/>
            <w:vMerge w:val="restart"/>
            <w:noWrap w:val="0"/>
            <w:vAlign w:val="center"/>
          </w:tcPr>
          <w:p>
            <w:pPr>
              <w:autoSpaceDE w:val="0"/>
              <w:autoSpaceDN w:val="0"/>
              <w:adjustRightInd w:val="0"/>
              <w:jc w:val="both"/>
              <w:rPr>
                <w:rFonts w:hint="eastAsia" w:ascii="宋体" w:hAnsi="宋体" w:eastAsia="宋体"/>
                <w:sz w:val="22"/>
                <w:lang w:eastAsia="zh-CN"/>
              </w:rPr>
            </w:pPr>
            <w:r>
              <w:rPr>
                <w:rFonts w:hint="eastAsia" w:ascii="宋体" w:hAnsi="宋体"/>
                <w:sz w:val="22"/>
                <w:lang w:eastAsia="zh-CN"/>
              </w:rPr>
              <w:t>高效优质的运输服务体系</w:t>
            </w:r>
          </w:p>
        </w:tc>
        <w:tc>
          <w:tcPr>
            <w:tcW w:w="3889" w:type="dxa"/>
            <w:gridSpan w:val="2"/>
            <w:noWrap w:val="0"/>
            <w:vAlign w:val="center"/>
          </w:tcPr>
          <w:p>
            <w:pPr>
              <w:autoSpaceDE w:val="0"/>
              <w:autoSpaceDN w:val="0"/>
              <w:adjustRightInd w:val="0"/>
              <w:jc w:val="left"/>
              <w:rPr>
                <w:rFonts w:hint="eastAsia" w:ascii="宋体" w:hAnsi="宋体" w:eastAsia="宋体"/>
                <w:sz w:val="22"/>
                <w:lang w:eastAsia="zh-CN"/>
              </w:rPr>
            </w:pPr>
            <w:r>
              <w:rPr>
                <w:rFonts w:hint="eastAsia" w:ascii="宋体" w:hAnsi="宋体"/>
                <w:sz w:val="22"/>
                <w:lang w:eastAsia="zh-CN"/>
              </w:rPr>
              <w:t>建制村通客车</w:t>
            </w:r>
          </w:p>
        </w:tc>
        <w:tc>
          <w:tcPr>
            <w:tcW w:w="851" w:type="dxa"/>
            <w:noWrap w:val="0"/>
            <w:vAlign w:val="center"/>
          </w:tcPr>
          <w:p>
            <w:pPr>
              <w:autoSpaceDE w:val="0"/>
              <w:autoSpaceDN w:val="0"/>
              <w:adjustRightInd w:val="0"/>
              <w:jc w:val="center"/>
              <w:rPr>
                <w:rFonts w:hint="eastAsia" w:ascii="宋体" w:hAnsi="宋体" w:eastAsia="宋体"/>
                <w:sz w:val="22"/>
                <w:lang w:eastAsia="zh-CN"/>
              </w:rPr>
            </w:pPr>
            <w:r>
              <w:rPr>
                <w:rFonts w:hint="eastAsia" w:ascii="宋体" w:hAnsi="宋体"/>
                <w:sz w:val="22"/>
                <w:lang w:eastAsia="zh-CN"/>
              </w:rPr>
              <w:t>是</w:t>
            </w:r>
          </w:p>
        </w:tc>
        <w:tc>
          <w:tcPr>
            <w:tcW w:w="1384" w:type="dxa"/>
            <w:noWrap w:val="0"/>
            <w:vAlign w:val="center"/>
          </w:tcPr>
          <w:p>
            <w:pPr>
              <w:autoSpaceDE w:val="0"/>
              <w:autoSpaceDN w:val="0"/>
              <w:adjustRightInd w:val="0"/>
              <w:jc w:val="center"/>
              <w:rPr>
                <w:rFonts w:hint="eastAsia" w:ascii="宋体" w:hAnsi="宋体" w:eastAsia="宋体"/>
                <w:sz w:val="22"/>
                <w:lang w:eastAsia="zh-CN"/>
              </w:rPr>
            </w:pPr>
            <w:r>
              <w:rPr>
                <w:rFonts w:hint="eastAsia" w:ascii="宋体" w:hAnsi="宋体"/>
                <w:sz w:val="22"/>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noWrap w:val="0"/>
            <w:vAlign w:val="center"/>
          </w:tcPr>
          <w:p>
            <w:pPr>
              <w:autoSpaceDE w:val="0"/>
              <w:autoSpaceDN w:val="0"/>
              <w:adjustRightInd w:val="0"/>
              <w:jc w:val="center"/>
              <w:rPr>
                <w:rFonts w:hint="default" w:ascii="宋体" w:hAnsi="宋体" w:eastAsia="宋体"/>
                <w:sz w:val="22"/>
                <w:lang w:val="en-US" w:eastAsia="zh-CN"/>
              </w:rPr>
            </w:pPr>
            <w:r>
              <w:rPr>
                <w:rFonts w:hint="eastAsia" w:ascii="宋体" w:hAnsi="宋体"/>
                <w:sz w:val="22"/>
                <w:lang w:val="en-US" w:eastAsia="zh-CN"/>
              </w:rPr>
              <w:t>16</w:t>
            </w:r>
          </w:p>
        </w:tc>
        <w:tc>
          <w:tcPr>
            <w:tcW w:w="1134" w:type="dxa"/>
            <w:vMerge w:val="continue"/>
            <w:noWrap w:val="0"/>
            <w:vAlign w:val="center"/>
          </w:tcPr>
          <w:p>
            <w:pPr>
              <w:autoSpaceDE w:val="0"/>
              <w:autoSpaceDN w:val="0"/>
              <w:adjustRightInd w:val="0"/>
              <w:jc w:val="both"/>
              <w:rPr>
                <w:rFonts w:hint="eastAsia" w:ascii="宋体" w:hAnsi="宋体"/>
                <w:sz w:val="22"/>
                <w:lang w:eastAsia="zh-CN"/>
              </w:rPr>
            </w:pPr>
          </w:p>
        </w:tc>
        <w:tc>
          <w:tcPr>
            <w:tcW w:w="3889" w:type="dxa"/>
            <w:gridSpan w:val="2"/>
            <w:noWrap w:val="0"/>
            <w:vAlign w:val="center"/>
          </w:tcPr>
          <w:p>
            <w:pPr>
              <w:autoSpaceDE w:val="0"/>
              <w:autoSpaceDN w:val="0"/>
              <w:adjustRightInd w:val="0"/>
              <w:jc w:val="left"/>
              <w:rPr>
                <w:rFonts w:hint="eastAsia" w:ascii="宋体" w:hAnsi="宋体" w:eastAsia="宋体"/>
                <w:sz w:val="22"/>
                <w:lang w:eastAsia="zh-CN"/>
              </w:rPr>
            </w:pPr>
            <w:r>
              <w:rPr>
                <w:rFonts w:hint="eastAsia" w:ascii="宋体" w:hAnsi="宋体"/>
                <w:sz w:val="22"/>
                <w:lang w:eastAsia="zh-CN"/>
              </w:rPr>
              <w:t>具备条件的建制村物流网络节点建设覆盖率（</w:t>
            </w:r>
            <w:r>
              <w:rPr>
                <w:rFonts w:hint="eastAsia" w:ascii="宋体" w:hAnsi="宋体"/>
                <w:sz w:val="22"/>
              </w:rPr>
              <w:t>%</w:t>
            </w:r>
            <w:r>
              <w:rPr>
                <w:rFonts w:hint="eastAsia" w:ascii="宋体" w:hAnsi="宋体"/>
                <w:sz w:val="22"/>
                <w:lang w:eastAsia="zh-CN"/>
              </w:rPr>
              <w:t>）</w:t>
            </w:r>
          </w:p>
        </w:tc>
        <w:tc>
          <w:tcPr>
            <w:tcW w:w="851" w:type="dxa"/>
            <w:noWrap w:val="0"/>
            <w:vAlign w:val="center"/>
          </w:tcPr>
          <w:p>
            <w:pPr>
              <w:autoSpaceDE w:val="0"/>
              <w:autoSpaceDN w:val="0"/>
              <w:adjustRightInd w:val="0"/>
              <w:jc w:val="center"/>
              <w:rPr>
                <w:rFonts w:hint="default" w:ascii="宋体" w:hAnsi="宋体" w:eastAsia="宋体"/>
                <w:sz w:val="22"/>
                <w:lang w:val="en-US" w:eastAsia="zh-CN"/>
              </w:rPr>
            </w:pPr>
            <w:r>
              <w:rPr>
                <w:rFonts w:hint="eastAsia" w:ascii="宋体" w:hAnsi="宋体"/>
                <w:sz w:val="22"/>
                <w:lang w:val="en-US" w:eastAsia="zh-CN"/>
              </w:rPr>
              <w:t>100</w:t>
            </w:r>
          </w:p>
        </w:tc>
        <w:tc>
          <w:tcPr>
            <w:tcW w:w="1384" w:type="dxa"/>
            <w:noWrap w:val="0"/>
            <w:vAlign w:val="center"/>
          </w:tcPr>
          <w:p>
            <w:pPr>
              <w:autoSpaceDE w:val="0"/>
              <w:autoSpaceDN w:val="0"/>
              <w:adjustRightInd w:val="0"/>
              <w:jc w:val="center"/>
              <w:rPr>
                <w:rFonts w:hint="eastAsia" w:ascii="宋体" w:hAnsi="宋体" w:eastAsia="宋体"/>
                <w:sz w:val="22"/>
                <w:lang w:eastAsia="zh-CN"/>
              </w:rPr>
            </w:pPr>
            <w:r>
              <w:rPr>
                <w:rFonts w:hint="eastAsia" w:ascii="宋体" w:hAnsi="宋体"/>
                <w:sz w:val="22"/>
                <w:lang w:eastAsia="zh-CN"/>
              </w:rPr>
              <w:t>预期性</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w:t>
      </w:r>
      <w:r>
        <w:rPr>
          <w:rFonts w:hint="eastAsia" w:ascii="黑体" w:hAnsi="黑体" w:eastAsia="黑体" w:cs="黑体"/>
          <w:b w:val="0"/>
          <w:bCs w:val="0"/>
          <w:sz w:val="32"/>
          <w:szCs w:val="32"/>
          <w:lang w:eastAsia="zh-CN"/>
        </w:rPr>
        <w:t>、</w:t>
      </w:r>
      <w:r>
        <w:rPr>
          <w:rFonts w:hint="eastAsia" w:ascii="黑体" w:hAnsi="黑体" w:eastAsia="黑体" w:cs="黑体"/>
          <w:b w:val="0"/>
          <w:bCs w:val="0"/>
          <w:kern w:val="2"/>
          <w:sz w:val="32"/>
          <w:szCs w:val="32"/>
          <w:lang w:val="en-US" w:eastAsia="zh-CN" w:bidi="ar-SA"/>
        </w:rPr>
        <w:t>胡家园街农村公路发展现状总结</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eastAsia"/>
          <w:lang w:val="en-US" w:eastAsia="zh-CN"/>
        </w:rPr>
      </w:pPr>
      <w:r>
        <w:rPr>
          <w:rFonts w:hint="eastAsia" w:eastAsia="仿宋_GB2312"/>
          <w:sz w:val="32"/>
          <w:szCs w:val="32"/>
          <w:lang w:eastAsia="zh-CN"/>
        </w:rPr>
        <w:t>胡家园街</w:t>
      </w:r>
      <w:r>
        <w:rPr>
          <w:rFonts w:hint="eastAsia" w:ascii="Times New Roman" w:hAnsi="Times New Roman" w:eastAsia="仿宋_GB2312"/>
          <w:sz w:val="32"/>
          <w:szCs w:val="32"/>
          <w:lang w:eastAsia="zh-CN"/>
        </w:rPr>
        <w:t>坚定落实农村公路主体责任、健全管理体制机制，全面建立和实行农村公路“路长制”。通过明确工作目标、建立组织体系及工作机制、落实管理责任、确定工作任务、严格管理考核，切实把农村公路建好、管好、护好、运营好，实现农村公路“建、管、养、运”协调可持续发展，为乡村振兴战略深入实施提供坚实的交通保障</w:t>
      </w:r>
      <w:r>
        <w:rPr>
          <w:rFonts w:ascii="Times New Roman" w:hAnsi="Times New Roman" w:eastAsia="仿宋_GB2312"/>
          <w:sz w:val="32"/>
          <w:szCs w:val="32"/>
        </w:rPr>
        <w:t>。</w:t>
      </w:r>
      <w:r>
        <w:rPr>
          <w:rFonts w:hint="eastAsia" w:ascii="Times New Roman" w:hAnsi="Times New Roman" w:eastAsia="仿宋_GB2312"/>
          <w:sz w:val="32"/>
          <w:szCs w:val="32"/>
          <w:lang w:eastAsia="zh-CN"/>
        </w:rPr>
        <w:t>同时通过</w:t>
      </w:r>
      <w:r>
        <w:rPr>
          <w:rFonts w:hint="eastAsia" w:ascii="仿宋_GB2312" w:hAnsi="Calibri" w:eastAsia="仿宋_GB2312" w:cs="Times New Roman"/>
          <w:sz w:val="32"/>
          <w:szCs w:val="32"/>
          <w:lang w:val="en-US" w:eastAsia="zh-CN"/>
        </w:rPr>
        <w:t>健全农村公路管养保障体系，全面落实各级路长的主体责任，落实日常养护经费和人员。建立专业化养护和群众养护相结合的养护方式，路以村或路线划分养护责任段，切实增强养护人员责任，提高养护成效。加强日常巡查管护，注重预防性养护，延长公路使用寿命；规范养护管理，加强养护考评，提升养护质量。建立应急长效机制，为营造畅安舒美的通行环境提供坚实保障。</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80" w:firstLineChars="200"/>
        <w:textAlignment w:val="auto"/>
        <w:outlineLvl w:val="9"/>
        <w:rPr>
          <w:rFonts w:hint="eastAsia"/>
          <w:color w:val="auto"/>
          <w:highlight w:val="yellow"/>
          <w:shd w:val="clear" w:color="auto" w:fill="auto"/>
        </w:rPr>
      </w:pPr>
      <w:r>
        <w:rPr>
          <w:rFonts w:hint="eastAsia" w:ascii="仿宋_GB2312" w:hAnsi="仿宋_GB2312" w:eastAsia="仿宋_GB2312" w:cs="仿宋_GB2312"/>
          <w:sz w:val="34"/>
          <w:szCs w:val="34"/>
          <w:lang w:eastAsia="zh-CN"/>
        </w:rPr>
        <w:t>胡家园街</w:t>
      </w:r>
      <w:r>
        <w:rPr>
          <w:rFonts w:hint="eastAsia" w:ascii="仿宋_GB2312" w:hAnsi="仿宋_GB2312" w:eastAsia="仿宋_GB2312" w:cs="仿宋_GB2312"/>
          <w:sz w:val="34"/>
          <w:szCs w:val="34"/>
        </w:rPr>
        <w:t>所辖</w:t>
      </w:r>
      <w:r>
        <w:rPr>
          <w:rFonts w:hint="eastAsia" w:ascii="仿宋_GB2312" w:hAnsi="仿宋_GB2312" w:eastAsia="仿宋_GB2312" w:cs="仿宋_GB2312"/>
          <w:sz w:val="32"/>
          <w:szCs w:val="32"/>
          <w:lang w:val="en" w:eastAsia="zh-CN"/>
        </w:rPr>
        <w:t>19个行政村</w:t>
      </w:r>
      <w:r>
        <w:rPr>
          <w:rFonts w:hint="eastAsia" w:ascii="仿宋_GB2312" w:hAnsi="仿宋_GB2312" w:eastAsia="仿宋_GB2312" w:cs="仿宋_GB2312"/>
          <w:sz w:val="34"/>
          <w:szCs w:val="34"/>
        </w:rPr>
        <w:t>，共有乡路</w:t>
      </w:r>
      <w:r>
        <w:rPr>
          <w:rFonts w:hint="eastAsia" w:ascii="仿宋_GB2312" w:hAnsi="仿宋_GB2312" w:eastAsia="仿宋_GB2312" w:cs="仿宋_GB2312"/>
          <w:sz w:val="34"/>
          <w:szCs w:val="34"/>
          <w:lang w:val="en-US" w:eastAsia="zh-CN"/>
        </w:rPr>
        <w:t>2</w:t>
      </w:r>
      <w:r>
        <w:rPr>
          <w:rFonts w:hint="eastAsia" w:ascii="仿宋_GB2312" w:hAnsi="仿宋_GB2312" w:eastAsia="仿宋_GB2312" w:cs="仿宋_GB2312"/>
          <w:sz w:val="34"/>
          <w:szCs w:val="34"/>
        </w:rPr>
        <w:t>条，村道</w:t>
      </w:r>
      <w:r>
        <w:rPr>
          <w:rFonts w:hint="eastAsia" w:ascii="仿宋_GB2312" w:hAnsi="仿宋_GB2312" w:eastAsia="仿宋_GB2312" w:cs="仿宋_GB2312"/>
          <w:sz w:val="34"/>
          <w:szCs w:val="34"/>
          <w:lang w:val="en-US" w:eastAsia="zh-CN"/>
        </w:rPr>
        <w:t>6</w:t>
      </w:r>
      <w:r>
        <w:rPr>
          <w:rFonts w:hint="eastAsia" w:ascii="仿宋_GB2312" w:hAnsi="仿宋_GB2312" w:eastAsia="仿宋_GB2312" w:cs="仿宋_GB2312"/>
          <w:sz w:val="34"/>
          <w:szCs w:val="34"/>
        </w:rPr>
        <w:t>条，</w:t>
      </w:r>
      <w:r>
        <w:rPr>
          <w:rFonts w:hint="eastAsia" w:ascii="仿宋_GB2312" w:hAnsi="仿宋_GB2312" w:eastAsia="仿宋_GB2312" w:cs="仿宋_GB2312"/>
          <w:sz w:val="34"/>
          <w:szCs w:val="34"/>
          <w:lang w:eastAsia="zh-CN"/>
        </w:rPr>
        <w:t>共计</w:t>
      </w:r>
      <w:r>
        <w:rPr>
          <w:rFonts w:hint="eastAsia" w:ascii="仿宋_GB2312" w:hAnsi="仿宋_GB2312" w:eastAsia="仿宋_GB2312" w:cs="仿宋_GB2312"/>
          <w:sz w:val="34"/>
          <w:szCs w:val="34"/>
          <w:lang w:val="en-US" w:eastAsia="zh-CN"/>
        </w:rPr>
        <w:t>8条，</w:t>
      </w:r>
      <w:r>
        <w:rPr>
          <w:rFonts w:hint="eastAsia" w:ascii="仿宋_GB2312" w:hAnsi="仿宋_GB2312" w:eastAsia="仿宋_GB2312" w:cs="仿宋_GB2312"/>
          <w:sz w:val="34"/>
          <w:szCs w:val="34"/>
        </w:rPr>
        <w:t>总里程</w:t>
      </w:r>
      <w:r>
        <w:rPr>
          <w:rFonts w:hint="eastAsia" w:ascii="仿宋_GB2312" w:hAnsi="仿宋_GB2312" w:eastAsia="仿宋_GB2312" w:cs="仿宋_GB2312"/>
          <w:sz w:val="34"/>
          <w:szCs w:val="34"/>
          <w:lang w:val="en-US" w:eastAsia="zh-CN"/>
        </w:rPr>
        <w:t>13.4</w:t>
      </w:r>
      <w:r>
        <w:rPr>
          <w:rFonts w:hint="eastAsia" w:ascii="仿宋_GB2312" w:hAnsi="仿宋_GB2312" w:eastAsia="仿宋_GB2312" w:cs="仿宋_GB2312"/>
          <w:sz w:val="34"/>
          <w:szCs w:val="34"/>
        </w:rPr>
        <w:t>公里</w:t>
      </w:r>
      <w:r>
        <w:rPr>
          <w:rFonts w:hint="eastAsia" w:ascii="仿宋_GB2312" w:hAnsi="仿宋_GB2312" w:eastAsia="仿宋_GB2312" w:cs="仿宋_GB2312"/>
          <w:sz w:val="34"/>
          <w:szCs w:val="34"/>
          <w:lang w:eastAsia="zh-CN"/>
        </w:rPr>
        <w:t>。</w:t>
      </w:r>
      <w:r>
        <w:rPr>
          <w:rFonts w:hint="eastAsia" w:ascii="仿宋_GB2312" w:eastAsia="仿宋_GB2312"/>
          <w:sz w:val="32"/>
          <w:szCs w:val="32"/>
          <w:lang w:eastAsia="zh-CN"/>
        </w:rPr>
        <w:t>胡家园街公共管理办全年</w:t>
      </w:r>
      <w:r>
        <w:rPr>
          <w:rFonts w:hint="eastAsia" w:ascii="仿宋_GB2312" w:hAnsi="Calibri" w:eastAsia="仿宋_GB2312" w:cs="Times New Roman"/>
          <w:sz w:val="32"/>
          <w:szCs w:val="32"/>
          <w:lang w:val="en-US" w:eastAsia="zh-CN"/>
        </w:rPr>
        <w:t>深入开展农村公路桥梁环境综合整治，严厉打击占道经营、私设平交道口、违章建筑、乱堆乱放、倾倒垃圾等行为，营造畅安舒美的通行环境。健全农村公路管养保障体系，全面落实各级路长的主体责任，落实日常养护经费和人员。建立专业化养护和群众养护相结合的养护方式，路以村或路线划分养护责任段，切实增强养护人员责任，提高养护成效。加强日常巡查管护，注重预防性养护，延长公路使用寿命；规范养护管理，加强养护考评，提升养护质量，对我</w:t>
      </w:r>
      <w:r>
        <w:rPr>
          <w:rFonts w:hint="eastAsia" w:ascii="仿宋_GB2312" w:eastAsia="仿宋_GB2312" w:cs="Times New Roman"/>
          <w:sz w:val="32"/>
          <w:szCs w:val="32"/>
          <w:lang w:val="en-US" w:eastAsia="zh-CN"/>
        </w:rPr>
        <w:t>街镇</w:t>
      </w:r>
      <w:r>
        <w:rPr>
          <w:rFonts w:hint="eastAsia" w:ascii="仿宋_GB2312" w:hAnsi="Calibri" w:eastAsia="仿宋_GB2312" w:cs="Times New Roman"/>
          <w:sz w:val="32"/>
          <w:szCs w:val="32"/>
          <w:lang w:val="en-US" w:eastAsia="zh-CN"/>
        </w:rPr>
        <w:t>乡村公路维修进行招标。</w:t>
      </w:r>
      <w:r>
        <w:rPr>
          <w:rFonts w:hint="eastAsia" w:ascii="仿宋_GB2312" w:hAnsi="Calibri" w:eastAsia="仿宋_GB2312" w:cs="Times New Roman"/>
          <w:color w:val="auto"/>
          <w:sz w:val="32"/>
          <w:szCs w:val="32"/>
          <w:highlight w:val="none"/>
          <w:shd w:val="clear" w:color="auto" w:fill="auto"/>
          <w:lang w:val="en-US" w:eastAsia="zh-CN"/>
        </w:rPr>
        <w:t>扫保一年</w:t>
      </w:r>
      <w:r>
        <w:rPr>
          <w:rFonts w:hint="eastAsia" w:ascii="仿宋_GB2312" w:eastAsia="仿宋_GB2312" w:cs="Times New Roman"/>
          <w:color w:val="auto"/>
          <w:sz w:val="32"/>
          <w:szCs w:val="32"/>
          <w:highlight w:val="none"/>
          <w:shd w:val="clear" w:color="auto" w:fill="auto"/>
          <w:lang w:val="en-US" w:eastAsia="zh-CN"/>
        </w:rPr>
        <w:t>10.5</w:t>
      </w:r>
      <w:r>
        <w:rPr>
          <w:rFonts w:hint="eastAsia" w:ascii="仿宋_GB2312" w:hAnsi="Calibri" w:eastAsia="仿宋_GB2312" w:cs="Times New Roman"/>
          <w:color w:val="auto"/>
          <w:sz w:val="32"/>
          <w:szCs w:val="32"/>
          <w:highlight w:val="none"/>
          <w:shd w:val="clear" w:color="auto" w:fill="auto"/>
          <w:lang w:val="en-US" w:eastAsia="zh-CN"/>
        </w:rPr>
        <w:t>万。</w:t>
      </w:r>
    </w:p>
    <w:p>
      <w:pPr>
        <w:pStyle w:val="3"/>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“十四五”重点任务</w:t>
      </w:r>
      <w:r>
        <w:rPr>
          <w:rFonts w:hint="eastAsia" w:ascii="黑体" w:hAnsi="黑体" w:eastAsia="黑体" w:cs="黑体"/>
          <w:b w:val="0"/>
          <w:bCs w:val="0"/>
          <w:sz w:val="32"/>
          <w:szCs w:val="32"/>
          <w:lang w:eastAsia="zh-CN"/>
        </w:rPr>
        <w:t>要求</w:t>
      </w:r>
    </w:p>
    <w:p>
      <w:pPr>
        <w:pStyle w:val="4"/>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（一）构建安全便捷的农村路网体系</w:t>
      </w:r>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1.构建便捷高效的外联骨架路网</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以服务京津冀一体化、乡村振兴等重大战略为出发点，构建与农村产业深度融合的对外骨架路网。按照三级及以上公路标准，推进以乡镇及主要经济节点为网点，服务乡村地区对外沟通交流及产业经济发展的对外骨架路网建设;推进与国省干线公路、城市道路与其他运输方式衔接的骨架路网建设;推进串联乡村主要产业节点和资源节点、主要旅游景区景点、中小城镇和特色村庄的区域联网骨架路网建设，实现资源路、产业路、旅游路街镇覆盖率100%。</w:t>
      </w:r>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2.构建普惠公平的内通基础路网</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提升服务能力、覆盖范围和通达深度为出发点，构建高能力、广覆盖和深通达的普惠公平的内通基础网络。结合村庄、经济、产业、人口分布等，强化通村公路与村内道路就近就便衔接，统筹规划穿村路段，灵活选用技术标准，兼顾村内主干道功能，优化农村公路网络;推进农村公路向村委会、学校、派出所、卫生院和敬老院等群众活动密集点延伸;推进具备条件的建制村通双车道、路肩硬化或错车道建设，提升路网双车道比例;提升农村公路建设质量，新建农村公路项目一次交工验收合格率达到100%。</w:t>
      </w:r>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3.提升安全保障能力</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动农村公路交通安全设施从“有没有”向“好不好”转变，大力提升农村公路隐患治理水平和安全防护能力。按轻重缓急制定村公路路产路权保护队伍，规范执法行为。加大农村公路治理超限超载力度，按需依法依规设置乡道、村道限高、限宽设施及警示标志。</w:t>
      </w:r>
    </w:p>
    <w:p>
      <w:pPr>
        <w:pStyle w:val="4"/>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（二）构建长效稳定的管养保障体系</w:t>
      </w:r>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4.推进“路长制”全面措施</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在涉农区全面推行实施农村公路“路长制”，建立覆盖区、乡镇(街)、村(社区)三级“路长制”组织管理体系，2022年底建成责任明确、协调有序、监管有力的路长管理模式。完善路长制公示机制，因地制宜设置路长制公示牌，到2023年底，县道路长制公示牌设置率达到100%，到2025年底，乡道、村道公示牌设置率达到100%。全面落实农村公路区各级政府主体责任，形成权责清晰、齐抓共管、高效运转的农村公路管理机制和财政资金主导、社会力量支持的资金保障机制，“四好农村路”建设取得实实在在的成效，农村公路治理能力和服务能力显著提高，人民群众满意度明显提升。</w:t>
      </w:r>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5.健全路产路权保护队伍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强化农村公路路政管理和执法能力建设,提高农村公路治理水平。完善加快建立“县有路政员、乡有监管员、村有护路员”的农村公路路产路权保护队伍,规范执法行为。加大农村公路治理超限超载力度,按需依法依规设置乡道、村道限高、限宽设施及警示标志。加强农村公路法律、法规宣传教育,推动沿线镇村开展爱路护路乡规民约、村规民约制定,提升沿线农民群众参与路产路权保护积极性。持续推进路域环境整治行动,实现具备条件路段“路田分家”“路宅分家”,集中推进清理公路沿线和两侧可视范围内的垃圾和堆物,打造“畅、安、舒、美”出行环境。</w:t>
      </w:r>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6.强化应急保障能力建设</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建立健全应急管理队伍及预案,构建反应灵敏、上下联动的应急保障体系。按照“县道县管、乡村道乡镇管”原则,分级落实农村公路应急管理责任,健全应急管理机制。完善农村公路突发事件应急预案,规范应急处置流程,建立应急演练评估机制,强化应急安全宣传教育培训。</w:t>
      </w:r>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7.健全财政资金保障机制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落实街镇级财政投入机制。在市区两级补助标准基础上，完善农村公路街镇财政资金投入机制，持续保障农村公路高质量发展。拓展多元化资金筹措渠道,将农村公路发展纳入街镇财政重点支持范围。</w:t>
      </w:r>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8.提升养护决策科学化水平</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树立全寿命周期理念,健全养护科学决策机制。科学制定农村公路技术状况检测评定标准,每年组织开展农村公路路面技术状况评定工作,到2022年实现农村公路自动化检测达40%,到2023年实现具备检测条件的县道自动化检测100%。加强检测数据应用,科学指导建立养护工程项目库及农村公路养护工程实施,提升养护决策水平。“十四五”期间,农村公路列养率保持100%。到2025年,年均养护工程比例不小于5%;农村公路(MQI)优良中路率不小于85%;路面技术状况优良中路率(PQI)不小于80%;桥梁定期检查率达到100%。</w:t>
      </w:r>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9.创新多元化养护模式</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建立政府与市场合理分工的养护组织生产模式,创新多元化养护模式。推进农村公路养护工程市场化、专业化发展,日常清扫、绿化等工程与农村人居环境整治统一组织实施。鼓励将农村公路建设和一定时期的养护进行捆绑招标,探索将农村公路与产业、园区、乡村旅游等经营性项目一体化开发,运营收益用于养护工程;鼓励将普通国省道与农村公路日常养护捆绑,合理划分实施养护区域;提升农村公路养护机械化水平,推进通用性、小型化农村公路养护机械设备研发应用,提高农村公路养护作业效率和品质。 </w:t>
      </w:r>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10.引导群众广泛参与</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以提高农民群众收入水平为出发点,构建多元丰富的群众参与模式。推动农村公路建设项目“七公开”全覆盖,引导农民群众参与农村公路工程监督和项目验收;鼓励采取一事一议、以工代赈等方式组织村道管养工作;通过设置多种形式公益性岗位吸纳农民群众参与农村公路管理;推广将村道日常养护交由农民群众承包,鼓励农民群众参与配套设施的经营维护,制作养护“口袋书”,加强养护知识培训。将农民群众满意度纳入农村公路绩效考核体系,增强农民群众参与度和话语权。到2025年,农村公路公益性岗位的街镇覆盖率不低于50%,“七公开”制度落实率达到100%,爱路护路乡规民约、村规民约制定率达到100%。</w:t>
      </w:r>
    </w:p>
    <w:p>
      <w:pPr>
        <w:pStyle w:val="4"/>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（三）构建高效优质的运输服务体系</w:t>
      </w:r>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11.加快农村客运模式升级</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以客运基础设施建设及便利出行为出发点,构建安全、便捷、舒适的客运体系。新建、改扩建公路合理设置农村客运停靠站点,在具备条件的地区建设港湾式停靠站,鼓励依托村级综合服务设施建设完善村级客运站亭(牌),改善农村客运候车环境,优化运营线路和组织模式,巩固建制村通客车成果,推动构建农村客运长效</w:t>
      </w:r>
      <w:r>
        <w:rPr>
          <w:rFonts w:hint="eastAsia" w:ascii="仿宋_GB2312" w:hAnsi="仿宋_GB2312" w:eastAsia="仿宋_GB2312" w:cs="仿宋_GB2312"/>
          <w:sz w:val="32"/>
          <w:szCs w:val="32"/>
        </w:rPr>
        <w:t>稳定发展机制。构建日常出行有效覆盖、重点时段专项保障的农村客运出行服务系统,保障农村群众务工、赶集、假日探亲等重点时段群体性、潮汐式出行需求。到2025年,城乡交通一体化发展水平达到4A级。</w:t>
      </w:r>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12.构建现代农村物流体系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以完善物流节点及服务模式为出发点,构建可持续发展的现代物流体系。建立完善的</w:t>
      </w:r>
      <w:r>
        <w:rPr>
          <w:rFonts w:hint="eastAsia" w:ascii="仿宋_GB2312" w:hAnsi="仿宋_GB2312" w:eastAsia="仿宋_GB2312" w:cs="仿宋_GB2312"/>
          <w:sz w:val="32"/>
          <w:szCs w:val="32"/>
          <w:highlight w:val="none"/>
        </w:rPr>
        <w:t>街镇、村级物流网络节点体系,</w:t>
      </w:r>
      <w:r>
        <w:rPr>
          <w:rFonts w:hint="eastAsia" w:ascii="仿宋_GB2312" w:hAnsi="仿宋_GB2312" w:eastAsia="仿宋_GB2312" w:cs="仿宋_GB2312"/>
          <w:sz w:val="32"/>
          <w:szCs w:val="32"/>
        </w:rPr>
        <w:t>完善农村配送网络,促进城乡双向流通。鼓励利用既有设施,打造具</w:t>
      </w:r>
      <w:r>
        <w:rPr>
          <w:rFonts w:hint="eastAsia" w:ascii="仿宋_GB2312" w:hAnsi="仿宋_GB2312" w:eastAsia="仿宋_GB2312" w:cs="仿宋_GB2312"/>
          <w:sz w:val="32"/>
          <w:szCs w:val="32"/>
          <w:lang w:eastAsia="zh-CN"/>
        </w:rPr>
        <w:t>备</w:t>
      </w:r>
      <w:r>
        <w:rPr>
          <w:rFonts w:hint="eastAsia" w:ascii="仿宋_GB2312" w:hAnsi="仿宋_GB2312" w:eastAsia="仿宋_GB2312" w:cs="仿宋_GB2312"/>
          <w:sz w:val="32"/>
          <w:szCs w:val="32"/>
        </w:rPr>
        <w:t>客运、货运物流、邮政快递、养护管理等综合服务功能的节点设施。创新农村物流服务模式,打造产运销一体化农村物流服务体系,鼓励交通运输企业、邮政快递企业与生产、商超、电商、供销等开展跨行业联营合作。到2025年,街镇物流网络节点建设覆盖率达到100%,建制村物流网络节点建设覆盖率达到100%。</w:t>
      </w:r>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13.提升运输安全水平</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完善运输安全监管机制,多措并举提升农村道路运输安全水平。加强事前事中事后监管,督促运输企业落实安全生产主体责任,强化安全风险摸排辨识和隐患排查治理,落实好农村客运联合审批机制。加强延伸到农村的城市公交车辆安全监管,加强客货运营车辆技术维护,鼓励有条件的地区在车辆上应用驾驶辅助系统(ADAS)和智能视频监控报警装置,加强农村客运从业人员安全培训,提高驾驶技能、职业素质和应急处置能力。</w:t>
      </w:r>
    </w:p>
    <w:p>
      <w:pPr>
        <w:pStyle w:val="4"/>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（四）构建科学有效的制度保障体系</w:t>
      </w:r>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14.完善政策保障体系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建立健全动态调整的农村公路政策保障机制及工作机制。落实《关于推动“四好农村路”高质量发展的指导意见》,推动完善党委领导、政府主导、行业指导、部门联动的工作机制,构建以质量为核心的信用评价机制。全面深化管养体制改革,推动滨海新区“四好农村路”建设中长期发展规划实施。进一步完善农村公路建设、养护、管理有关政策文件,健全制度政策保障,提高管理能力和水平。</w:t>
      </w:r>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15.健全农村公路质量保障体系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highlight w:val="none"/>
          <w:lang w:val="zh-CN"/>
        </w:rPr>
        <w:t>建立健全的路长制组织形式、职责制度，做好建档立卡、督察考核工作；加强预防养护的排查工作；依据科学化、规范化和制度化的检测评定工作，进行科学合理的维修养护工作。</w:t>
      </w:r>
    </w:p>
    <w:p>
      <w:pPr>
        <w:pStyle w:val="4"/>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（五）构建创新多元的融合发展体系</w:t>
      </w:r>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16.推进数字绿色发展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建成农村公路建设、管理、养护、运行一体化综合性管理服务平台,实现基础设施、技术状况、养护信息数字化管理。推广应用绿色低碳养护技术、材料,提高废旧材料再生和资源循环利用,加强基础设施绿色改造,探索打造绿色低碳养护工程示范,建设与生态环境相适宜的绿色农村公路。有条件地区推广新能源、清洁能源等环保车辆,促进公路运输低碳化发展。</w:t>
      </w:r>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17.强化产业融合发展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大力拓展“农村公路+发展模式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,强化农村公路与地方产业融合发展。加强农村公路与物流、旅游、乡村振兴等产业融合,提升通往乡村旅游、产业园区、农业基地等经济节点的农村公路建设水平,促进农业、产业、旅游、文化等深度融合。</w:t>
      </w:r>
    </w:p>
    <w:p>
      <w:pPr>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18.示范街示范路实施统计方案</w:t>
      </w:r>
    </w:p>
    <w:p>
      <w:pPr>
        <w:pStyle w:val="2"/>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vertAlign w:val="baseline"/>
          <w:lang w:val="en-US" w:eastAsia="zh-CN"/>
        </w:rPr>
      </w:pPr>
      <w:r>
        <w:rPr>
          <w:rFonts w:hint="eastAsia" w:ascii="仿宋_GB2312" w:hAnsi="仿宋_GB2312" w:eastAsia="仿宋_GB2312" w:cs="仿宋_GB2312"/>
          <w:sz w:val="32"/>
          <w:szCs w:val="32"/>
          <w:lang w:val="zh-CN" w:eastAsia="zh-CN"/>
        </w:rPr>
        <w:t>为进一步打造安全通畅、基础完善、整洁规范、文明有序的示范街（路），胡家园街就“四好农村”路高质量发展十四五规划期间作出以下方案：</w:t>
      </w:r>
      <w:r>
        <w:rPr>
          <w:rFonts w:hint="eastAsia"/>
          <w:sz w:val="28"/>
          <w:szCs w:val="28"/>
          <w:lang w:val="en-US" w:eastAsia="zh-CN"/>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pStyle w:val="2"/>
              <w:jc w:val="center"/>
              <w:rPr>
                <w:rFonts w:hint="default"/>
                <w:vertAlign w:val="baseline"/>
                <w:lang w:val="en-US" w:eastAsia="zh-CN"/>
              </w:rPr>
            </w:pPr>
            <w:r>
              <w:rPr>
                <w:rFonts w:hint="eastAsia"/>
                <w:vertAlign w:val="baseline"/>
                <w:lang w:val="en-US" w:eastAsia="zh-CN"/>
              </w:rPr>
              <w:t>创建项目</w:t>
            </w:r>
          </w:p>
        </w:tc>
        <w:tc>
          <w:tcPr>
            <w:tcW w:w="2130" w:type="dxa"/>
            <w:noWrap w:val="0"/>
            <w:vAlign w:val="center"/>
          </w:tcPr>
          <w:p>
            <w:pPr>
              <w:pStyle w:val="2"/>
              <w:jc w:val="center"/>
              <w:rPr>
                <w:rFonts w:hint="default"/>
                <w:vertAlign w:val="baseline"/>
                <w:lang w:val="en-US" w:eastAsia="zh-CN"/>
              </w:rPr>
            </w:pPr>
            <w:r>
              <w:rPr>
                <w:rFonts w:hint="eastAsia"/>
                <w:vertAlign w:val="baseline"/>
                <w:lang w:val="en-US" w:eastAsia="zh-CN"/>
              </w:rPr>
              <w:t>名称</w:t>
            </w:r>
          </w:p>
        </w:tc>
        <w:tc>
          <w:tcPr>
            <w:tcW w:w="2131" w:type="dxa"/>
            <w:noWrap w:val="0"/>
            <w:vAlign w:val="center"/>
          </w:tcPr>
          <w:p>
            <w:pPr>
              <w:pStyle w:val="2"/>
              <w:jc w:val="center"/>
              <w:rPr>
                <w:rFonts w:hint="default"/>
                <w:vertAlign w:val="baseline"/>
                <w:lang w:val="en-US" w:eastAsia="zh-CN"/>
              </w:rPr>
            </w:pPr>
            <w:r>
              <w:rPr>
                <w:rFonts w:hint="eastAsia"/>
                <w:vertAlign w:val="baseline"/>
                <w:lang w:val="en-US" w:eastAsia="zh-CN"/>
              </w:rPr>
              <w:t>简介</w:t>
            </w:r>
          </w:p>
        </w:tc>
        <w:tc>
          <w:tcPr>
            <w:tcW w:w="2131" w:type="dxa"/>
            <w:noWrap w:val="0"/>
            <w:vAlign w:val="center"/>
          </w:tcPr>
          <w:p>
            <w:pPr>
              <w:pStyle w:val="2"/>
              <w:jc w:val="center"/>
              <w:rPr>
                <w:rFonts w:hint="default"/>
                <w:vertAlign w:val="baseline"/>
                <w:lang w:val="en-US" w:eastAsia="zh-CN"/>
              </w:rPr>
            </w:pPr>
            <w:r>
              <w:rPr>
                <w:rFonts w:hint="eastAsia"/>
                <w:vertAlign w:val="baseline"/>
                <w:lang w:val="en-US" w:eastAsia="zh-CN"/>
              </w:rPr>
              <w:t>项目方案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1" w:hRule="atLeast"/>
        </w:trPr>
        <w:tc>
          <w:tcPr>
            <w:tcW w:w="2130" w:type="dxa"/>
            <w:noWrap w:val="0"/>
            <w:vAlign w:val="center"/>
          </w:tcPr>
          <w:p>
            <w:pPr>
              <w:pStyle w:val="2"/>
              <w:spacing w:line="720" w:lineRule="auto"/>
              <w:jc w:val="center"/>
              <w:rPr>
                <w:rFonts w:hint="default"/>
                <w:vertAlign w:val="baseline"/>
                <w:lang w:val="en-US" w:eastAsia="zh-CN"/>
              </w:rPr>
            </w:pPr>
            <w:r>
              <w:rPr>
                <w:rFonts w:hint="eastAsia"/>
                <w:sz w:val="18"/>
                <w:szCs w:val="21"/>
                <w:vertAlign w:val="baseline"/>
                <w:lang w:val="en-US" w:eastAsia="zh-CN"/>
              </w:rPr>
              <w:t>“四好农村路”示范街镇</w:t>
            </w:r>
          </w:p>
        </w:tc>
        <w:tc>
          <w:tcPr>
            <w:tcW w:w="2130" w:type="dxa"/>
            <w:noWrap w:val="0"/>
            <w:vAlign w:val="center"/>
          </w:tcPr>
          <w:p>
            <w:pPr>
              <w:pStyle w:val="2"/>
              <w:spacing w:line="720" w:lineRule="auto"/>
              <w:jc w:val="center"/>
              <w:rPr>
                <w:rFonts w:hint="default"/>
                <w:vertAlign w:val="baseline"/>
                <w:lang w:val="en-US" w:eastAsia="zh-CN"/>
              </w:rPr>
            </w:pPr>
            <w:r>
              <w:rPr>
                <w:rFonts w:hint="eastAsia"/>
                <w:sz w:val="28"/>
                <w:szCs w:val="36"/>
                <w:lang w:val="en-US" w:eastAsia="zh-CN"/>
              </w:rPr>
              <w:t>胡家园街</w:t>
            </w:r>
          </w:p>
        </w:tc>
        <w:tc>
          <w:tcPr>
            <w:tcW w:w="2131" w:type="dxa"/>
            <w:noWrap w:val="0"/>
            <w:vAlign w:val="center"/>
          </w:tcPr>
          <w:p>
            <w:pPr>
              <w:pStyle w:val="2"/>
              <w:spacing w:line="240" w:lineRule="auto"/>
              <w:jc w:val="both"/>
              <w:rPr>
                <w:rFonts w:hint="default"/>
                <w:vertAlign w:val="baseline"/>
                <w:lang w:val="en-US" w:eastAsia="zh-CN"/>
              </w:rPr>
            </w:pPr>
            <w:r>
              <w:rPr>
                <w:rFonts w:hint="eastAsia"/>
                <w:sz w:val="21"/>
                <w:szCs w:val="24"/>
                <w:lang w:eastAsia="zh-CN"/>
              </w:rPr>
              <w:t>胡家园街</w:t>
            </w:r>
            <w:r>
              <w:rPr>
                <w:rFonts w:hint="eastAsia"/>
                <w:sz w:val="21"/>
                <w:szCs w:val="24"/>
              </w:rPr>
              <w:t>总面积75.2平方公里</w:t>
            </w:r>
            <w:r>
              <w:rPr>
                <w:rFonts w:hint="eastAsia"/>
                <w:sz w:val="21"/>
                <w:szCs w:val="24"/>
                <w:lang w:eastAsia="zh-CN"/>
              </w:rPr>
              <w:t>，</w:t>
            </w:r>
            <w:r>
              <w:rPr>
                <w:rFonts w:hint="eastAsia"/>
                <w:sz w:val="21"/>
                <w:szCs w:val="24"/>
              </w:rPr>
              <w:t>所辖</w:t>
            </w:r>
            <w:r>
              <w:rPr>
                <w:rFonts w:hint="eastAsia"/>
                <w:sz w:val="21"/>
                <w:szCs w:val="24"/>
                <w:lang w:val="en-US" w:eastAsia="zh-CN"/>
              </w:rPr>
              <w:t>19</w:t>
            </w:r>
            <w:r>
              <w:rPr>
                <w:rFonts w:hint="eastAsia"/>
                <w:sz w:val="21"/>
                <w:szCs w:val="24"/>
              </w:rPr>
              <w:t>个行政村，</w:t>
            </w:r>
            <w:r>
              <w:rPr>
                <w:rFonts w:hint="eastAsia"/>
                <w:sz w:val="21"/>
                <w:szCs w:val="24"/>
                <w:lang w:eastAsia="zh-CN"/>
              </w:rPr>
              <w:t>辖区总人口</w:t>
            </w:r>
            <w:r>
              <w:rPr>
                <w:rFonts w:hint="eastAsia"/>
                <w:sz w:val="21"/>
                <w:szCs w:val="24"/>
                <w:lang w:val="en-US" w:eastAsia="zh-CN"/>
              </w:rPr>
              <w:t>13.6万人，其中外来人口6.7万人，</w:t>
            </w:r>
            <w:r>
              <w:rPr>
                <w:rFonts w:hint="eastAsia"/>
                <w:sz w:val="21"/>
                <w:szCs w:val="24"/>
              </w:rPr>
              <w:t>乡路</w:t>
            </w:r>
            <w:r>
              <w:rPr>
                <w:rFonts w:hint="eastAsia"/>
                <w:sz w:val="21"/>
                <w:szCs w:val="24"/>
                <w:lang w:val="en-US" w:eastAsia="zh-CN"/>
              </w:rPr>
              <w:t>2</w:t>
            </w:r>
            <w:r>
              <w:rPr>
                <w:rFonts w:hint="eastAsia"/>
                <w:sz w:val="21"/>
                <w:szCs w:val="24"/>
              </w:rPr>
              <w:t>条，村道</w:t>
            </w:r>
            <w:r>
              <w:rPr>
                <w:rFonts w:hint="eastAsia"/>
                <w:sz w:val="21"/>
                <w:szCs w:val="24"/>
                <w:lang w:val="en-US" w:eastAsia="zh-CN"/>
              </w:rPr>
              <w:t>6</w:t>
            </w:r>
            <w:r>
              <w:rPr>
                <w:rFonts w:hint="eastAsia"/>
                <w:sz w:val="21"/>
                <w:szCs w:val="24"/>
              </w:rPr>
              <w:t>条，总里程</w:t>
            </w:r>
            <w:r>
              <w:rPr>
                <w:rFonts w:hint="eastAsia"/>
                <w:sz w:val="21"/>
                <w:szCs w:val="24"/>
                <w:lang w:val="en-US" w:eastAsia="zh-CN"/>
              </w:rPr>
              <w:t>13.4</w:t>
            </w:r>
            <w:r>
              <w:rPr>
                <w:rFonts w:hint="eastAsia"/>
                <w:sz w:val="21"/>
                <w:szCs w:val="24"/>
              </w:rPr>
              <w:t>公里</w:t>
            </w:r>
          </w:p>
        </w:tc>
        <w:tc>
          <w:tcPr>
            <w:tcW w:w="2131" w:type="dxa"/>
            <w:noWrap w:val="0"/>
            <w:vAlign w:val="center"/>
          </w:tcPr>
          <w:p>
            <w:pPr>
              <w:spacing w:line="240" w:lineRule="auto"/>
              <w:jc w:val="center"/>
              <w:rPr>
                <w:rFonts w:hint="default"/>
                <w:sz w:val="13"/>
                <w:szCs w:val="16"/>
                <w:vertAlign w:val="baseline"/>
                <w:lang w:val="en-US" w:eastAsia="zh-CN"/>
              </w:rPr>
            </w:pPr>
            <w:r>
              <w:rPr>
                <w:rFonts w:hint="eastAsia"/>
                <w:sz w:val="21"/>
                <w:szCs w:val="24"/>
                <w:lang w:eastAsia="zh-CN"/>
              </w:rPr>
              <w:t>胡家园街</w:t>
            </w:r>
            <w:r>
              <w:rPr>
                <w:rFonts w:hint="eastAsia"/>
                <w:sz w:val="21"/>
                <w:szCs w:val="24"/>
              </w:rPr>
              <w:t>计划在农村公路建设好方面严格落实“三同时”、“七公开”制度:在管理好方面实行路长制，将“四好农村路”建设纳入街镇人民政府年度绩效目标考核:在养护好方面按照乡村道乡村养的要求，明确乡、村两级农村公路养护职责</w:t>
            </w:r>
            <w:r>
              <w:rPr>
                <w:rFonts w:hint="eastAsia"/>
                <w:sz w:val="21"/>
                <w:szCs w:val="24"/>
                <w:lang w:eastAsia="zh-CN"/>
              </w:rPr>
              <w:t>；</w:t>
            </w:r>
            <w:r>
              <w:rPr>
                <w:rFonts w:hint="eastAsia"/>
                <w:sz w:val="21"/>
                <w:szCs w:val="24"/>
              </w:rPr>
              <w:t>在运营好方面街镇、建制村通客车率达到</w:t>
            </w:r>
            <w:r>
              <w:rPr>
                <w:rFonts w:hint="default" w:ascii="Times New Roman" w:hAnsi="Times New Roman" w:cs="Times New Roman"/>
                <w:sz w:val="21"/>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9" w:hRule="atLeast"/>
        </w:trPr>
        <w:tc>
          <w:tcPr>
            <w:tcW w:w="2130" w:type="dxa"/>
            <w:noWrap w:val="0"/>
            <w:vAlign w:val="center"/>
          </w:tcPr>
          <w:p>
            <w:pPr>
              <w:pStyle w:val="2"/>
              <w:jc w:val="center"/>
              <w:rPr>
                <w:rFonts w:hint="default"/>
                <w:vertAlign w:val="baseline"/>
                <w:lang w:val="en-US" w:eastAsia="zh-CN"/>
              </w:rPr>
            </w:pPr>
            <w:r>
              <w:rPr>
                <w:rFonts w:hint="eastAsia"/>
                <w:vertAlign w:val="baseline"/>
                <w:lang w:val="en-US" w:eastAsia="zh-CN"/>
              </w:rPr>
              <w:t>美丽乡村示范路</w:t>
            </w:r>
          </w:p>
        </w:tc>
        <w:tc>
          <w:tcPr>
            <w:tcW w:w="2130" w:type="dxa"/>
            <w:noWrap w:val="0"/>
            <w:vAlign w:val="center"/>
          </w:tcPr>
          <w:p>
            <w:pPr>
              <w:pStyle w:val="2"/>
              <w:jc w:val="center"/>
              <w:rPr>
                <w:rFonts w:hint="default"/>
                <w:vertAlign w:val="baseline"/>
                <w:lang w:val="en-US" w:eastAsia="zh-CN"/>
              </w:rPr>
            </w:pPr>
            <w:r>
              <w:rPr>
                <w:rFonts w:hint="eastAsia"/>
                <w:sz w:val="28"/>
                <w:szCs w:val="36"/>
                <w:vertAlign w:val="baseline"/>
                <w:lang w:val="en-US" w:eastAsia="zh-CN"/>
              </w:rPr>
              <w:t>中心桥巡堤路</w:t>
            </w:r>
          </w:p>
        </w:tc>
        <w:tc>
          <w:tcPr>
            <w:tcW w:w="2131" w:type="dxa"/>
            <w:noWrap w:val="0"/>
            <w:vAlign w:val="center"/>
          </w:tcPr>
          <w:p>
            <w:pPr>
              <w:jc w:val="center"/>
              <w:rPr>
                <w:rFonts w:hint="default"/>
                <w:vertAlign w:val="baseline"/>
                <w:lang w:val="en-US" w:eastAsia="zh-CN"/>
              </w:rPr>
            </w:pPr>
            <w:r>
              <w:rPr>
                <w:rFonts w:hint="default" w:ascii="Times New Roman" w:hAnsi="Times New Roman" w:cs="Times New Roman"/>
              </w:rPr>
              <w:t>创建主题:乡村公路。所属</w:t>
            </w:r>
            <w:r>
              <w:rPr>
                <w:rFonts w:hint="default" w:ascii="Times New Roman" w:hAnsi="Times New Roman" w:cs="Times New Roman"/>
                <w:lang w:eastAsia="zh-CN"/>
              </w:rPr>
              <w:t>胡家园街</w:t>
            </w:r>
            <w:r>
              <w:rPr>
                <w:rFonts w:hint="default" w:ascii="Times New Roman" w:hAnsi="Times New Roman" w:cs="Times New Roman"/>
              </w:rPr>
              <w:t>。</w:t>
            </w:r>
            <w:r>
              <w:rPr>
                <w:rFonts w:hint="default" w:ascii="Times New Roman" w:hAnsi="Times New Roman" w:cs="Times New Roman"/>
                <w:lang w:eastAsia="zh-CN"/>
              </w:rPr>
              <w:t>中心桥巡堤</w:t>
            </w:r>
            <w:r>
              <w:rPr>
                <w:rFonts w:hint="default" w:ascii="Times New Roman" w:hAnsi="Times New Roman" w:cs="Times New Roman"/>
              </w:rPr>
              <w:t>路长度1</w:t>
            </w:r>
            <w:r>
              <w:rPr>
                <w:rFonts w:hint="default" w:ascii="Times New Roman" w:hAnsi="Times New Roman" w:cs="Times New Roman"/>
                <w:lang w:val="en-US" w:eastAsia="zh-CN"/>
              </w:rPr>
              <w:t>.42</w:t>
            </w:r>
            <w:r>
              <w:rPr>
                <w:rFonts w:hint="default" w:ascii="Times New Roman" w:hAnsi="Times New Roman" w:cs="Times New Roman"/>
              </w:rPr>
              <w:t>公里，路面宽度6m,起点位于黑猪河联络线，终点位于造林带，于2021年8月交付使用</w:t>
            </w:r>
            <w:r>
              <w:rPr>
                <w:rFonts w:hint="default" w:ascii="Times New Roman" w:hAnsi="Times New Roman" w:cs="Times New Roman"/>
                <w:lang w:eastAsia="zh-CN"/>
              </w:rPr>
              <w:t>。</w:t>
            </w:r>
          </w:p>
        </w:tc>
        <w:tc>
          <w:tcPr>
            <w:tcW w:w="2131" w:type="dxa"/>
            <w:noWrap w:val="0"/>
            <w:vAlign w:val="center"/>
          </w:tcPr>
          <w:p>
            <w:pPr>
              <w:jc w:val="center"/>
              <w:rPr>
                <w:rFonts w:hint="default"/>
                <w:sz w:val="20"/>
                <w:szCs w:val="22"/>
                <w:vertAlign w:val="baseline"/>
                <w:lang w:val="en-US" w:eastAsia="zh-CN"/>
              </w:rPr>
            </w:pPr>
            <w:r>
              <w:rPr>
                <w:rFonts w:hint="eastAsia"/>
                <w:sz w:val="20"/>
                <w:szCs w:val="22"/>
              </w:rPr>
              <w:t>此条道路沿线环境优美，作为连接双城绿廊项目的必经之路，为广大居民旅游观光提供了便利的出行条件。</w:t>
            </w:r>
          </w:p>
        </w:tc>
      </w:tr>
    </w:tbl>
    <w:p>
      <w:pPr>
        <w:pStyle w:val="2"/>
        <w:rPr>
          <w:rFonts w:hint="default"/>
          <w:lang w:val="en-US" w:eastAsia="zh-CN"/>
        </w:rPr>
      </w:pPr>
    </w:p>
    <w:p>
      <w:pPr>
        <w:pStyle w:val="2"/>
        <w:pageBreakBefore w:val="0"/>
        <w:widowControl w:val="0"/>
        <w:kinsoku/>
        <w:wordWrap/>
        <w:overflowPunct/>
        <w:topLinePunct w:val="0"/>
        <w:autoSpaceDE/>
        <w:autoSpaceDN/>
        <w:bidi w:val="0"/>
        <w:adjustRightInd/>
        <w:snapToGrid/>
        <w:spacing w:after="0" w:line="580" w:lineRule="exact"/>
        <w:textAlignment w:val="auto"/>
        <w:rPr>
          <w:rFonts w:hint="eastAsia" w:ascii="黑体" w:hAnsi="黑体" w:eastAsia="黑体" w:cs="黑体"/>
          <w:b w:val="0"/>
          <w:bCs w:val="0"/>
          <w:sz w:val="32"/>
          <w:szCs w:val="32"/>
        </w:rPr>
      </w:pPr>
      <w:r>
        <w:rPr>
          <w:rFonts w:hint="eastAsia"/>
          <w:sz w:val="28"/>
          <w:szCs w:val="28"/>
          <w:lang w:val="en-US" w:eastAsia="zh-CN"/>
        </w:rPr>
        <w:t xml:space="preserve">      </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建立</w:t>
      </w:r>
      <w:r>
        <w:rPr>
          <w:rFonts w:hint="eastAsia" w:ascii="黑体" w:hAnsi="黑体" w:eastAsia="黑体" w:cs="黑体"/>
          <w:b w:val="0"/>
          <w:bCs w:val="0"/>
          <w:sz w:val="32"/>
          <w:szCs w:val="32"/>
        </w:rPr>
        <w:t>保障机制</w:t>
      </w:r>
    </w:p>
    <w:p>
      <w:pPr>
        <w:pStyle w:val="4"/>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（一）强化组织实施</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切实提高政治站位,将“四好农村路”高质量发展作为落实习总书记对农村公路重要指示的具体措施来抓,切实落实农村公路主体责任,建立工作推动机制,实施项目清单化管理。建立重点任务项目库,科学制定阶段目标,有计划分步骤组织实施,合理配置公共资源,确保各项措施落到实处,保证目标任务完成。</w:t>
      </w:r>
    </w:p>
    <w:p>
      <w:pPr>
        <w:pStyle w:val="4"/>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（二）强化要素保障</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智慧赋能,夯实农村公路数据基础和监管内容,推动农村公路规划、设计、建设、养护、运行等全要素、全周期数字化,推进实现“一张图”管理。强化科技支撑,建立以技术状况为中心的养护科学决策体系,加强旧路材料和“四新”技术应用。合理安排用地,年度土地利用计划应适当向“四好农村路”倾斜,切实保障农村公路改扩建等建设用地。</w:t>
      </w:r>
    </w:p>
    <w:p>
      <w:pPr>
        <w:pStyle w:val="4"/>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（三）强化监督考核</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highlight w:val="none"/>
        </w:rPr>
        <w:t>全面落实将“四好农村路”建设工作纳入到</w:t>
      </w:r>
      <w:r>
        <w:rPr>
          <w:rFonts w:hint="eastAsia" w:ascii="仿宋_GB2312" w:hAnsi="仿宋_GB2312" w:eastAsia="仿宋_GB2312" w:cs="仿宋_GB2312"/>
          <w:sz w:val="32"/>
          <w:szCs w:val="32"/>
          <w:highlight w:val="none"/>
          <w:lang w:eastAsia="zh-CN"/>
        </w:rPr>
        <w:t>镇</w:t>
      </w:r>
      <w:r>
        <w:rPr>
          <w:rFonts w:hint="eastAsia" w:ascii="仿宋_GB2312" w:hAnsi="仿宋_GB2312" w:eastAsia="仿宋_GB2312" w:cs="仿宋_GB2312"/>
          <w:sz w:val="32"/>
          <w:szCs w:val="32"/>
          <w:highlight w:val="none"/>
        </w:rPr>
        <w:t>人民政府乡村振兴考核体系中,完善考核要点和指标,建立健全激励约束机制。建立动态监测机制。</w:t>
      </w:r>
      <w:r>
        <w:rPr>
          <w:rFonts w:hint="eastAsia" w:ascii="仿宋_GB2312" w:hAnsi="仿宋_GB2312" w:eastAsia="仿宋_GB2312" w:cs="仿宋_GB2312"/>
          <w:sz w:val="32"/>
          <w:szCs w:val="32"/>
        </w:rPr>
        <w:t>采用年度评估、中期评估和总结评估等方式对责任单位</w:t>
      </w:r>
      <w:r>
        <w:rPr>
          <w:rFonts w:hint="eastAsia" w:ascii="仿宋_GB2312" w:hAnsi="仿宋_GB2312" w:eastAsia="仿宋_GB2312" w:cs="仿宋_GB2312"/>
          <w:sz w:val="32"/>
          <w:szCs w:val="32"/>
          <w:lang w:eastAsia="zh-CN"/>
        </w:rPr>
        <w:t>工作落实</w:t>
      </w:r>
      <w:r>
        <w:rPr>
          <w:rFonts w:hint="eastAsia" w:ascii="仿宋_GB2312" w:hAnsi="仿宋_GB2312" w:eastAsia="仿宋_GB2312" w:cs="仿宋_GB2312"/>
          <w:sz w:val="32"/>
          <w:szCs w:val="32"/>
        </w:rPr>
        <w:t>情况评估</w:t>
      </w:r>
      <w:r>
        <w:rPr>
          <w:rFonts w:hint="eastAsia" w:ascii="仿宋_GB2312" w:hAnsi="仿宋_GB2312" w:eastAsia="仿宋_GB2312" w:cs="仿宋_GB2312"/>
          <w:sz w:val="32"/>
          <w:szCs w:val="32"/>
          <w:lang w:eastAsia="zh-CN"/>
        </w:rPr>
        <w:t>、考核</w:t>
      </w:r>
      <w:r>
        <w:rPr>
          <w:rFonts w:hint="eastAsia" w:ascii="仿宋_GB2312" w:hAnsi="仿宋_GB2312" w:eastAsia="仿宋_GB2312" w:cs="仿宋_GB2312"/>
          <w:sz w:val="32"/>
          <w:szCs w:val="32"/>
        </w:rPr>
        <w:t>。</w:t>
      </w:r>
    </w:p>
    <w:p>
      <w:pPr>
        <w:pStyle w:val="2"/>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w:t>
      </w:r>
      <w:r>
        <w:rPr>
          <w:rFonts w:hint="eastAsia" w:ascii="黑体" w:hAnsi="黑体" w:eastAsia="黑体" w:cs="黑体"/>
          <w:color w:val="000000"/>
          <w:sz w:val="32"/>
          <w:szCs w:val="32"/>
          <w:shd w:val="clear" w:color="auto" w:fill="auto"/>
          <w:lang w:val="en-US" w:eastAsia="zh-CN"/>
        </w:rPr>
        <w:t>项目计划</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2136"/>
        <w:gridCol w:w="2241"/>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noWrap w:val="0"/>
            <w:vAlign w:val="center"/>
          </w:tcPr>
          <w:p>
            <w:pPr>
              <w:rPr>
                <w:rFonts w:hint="eastAsia" w:ascii="仿宋_GB2312" w:hAnsi="仿宋_GB2312" w:eastAsia="仿宋_GB2312" w:cs="仿宋_GB2312"/>
                <w:sz w:val="32"/>
                <w:szCs w:val="32"/>
                <w:vertAlign w:val="baseline"/>
                <w:lang w:eastAsia="zh-CN"/>
              </w:rPr>
            </w:pPr>
            <w:r>
              <w:rPr>
                <w:rFonts w:hint="eastAsia" w:ascii="仿宋_GB2312" w:eastAsia="仿宋_GB2312" w:cs="Times New Roman"/>
                <w:sz w:val="32"/>
                <w:szCs w:val="32"/>
                <w:lang w:val="en-US" w:eastAsia="zh-CN"/>
              </w:rPr>
              <w:t xml:space="preserve">    </w:t>
            </w:r>
            <w:r>
              <w:rPr>
                <w:rFonts w:hint="eastAsia" w:ascii="仿宋_GB2312" w:hAnsi="仿宋_GB2312" w:eastAsia="仿宋_GB2312" w:cs="仿宋_GB2312"/>
                <w:sz w:val="32"/>
                <w:szCs w:val="32"/>
                <w:vertAlign w:val="baseline"/>
                <w:lang w:eastAsia="zh-CN"/>
              </w:rPr>
              <w:t>年份</w:t>
            </w:r>
          </w:p>
        </w:tc>
        <w:tc>
          <w:tcPr>
            <w:tcW w:w="2136" w:type="dxa"/>
            <w:noWrap w:val="0"/>
            <w:vAlign w:val="center"/>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项目计划</w:t>
            </w:r>
          </w:p>
        </w:tc>
        <w:tc>
          <w:tcPr>
            <w:tcW w:w="2241" w:type="dxa"/>
            <w:noWrap w:val="0"/>
            <w:vAlign w:val="center"/>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维修里程（</w:t>
            </w:r>
            <w:r>
              <w:rPr>
                <w:rFonts w:hint="eastAsia" w:ascii="仿宋_GB2312" w:hAnsi="仿宋_GB2312" w:eastAsia="仿宋_GB2312" w:cs="仿宋_GB2312"/>
                <w:sz w:val="32"/>
                <w:szCs w:val="32"/>
                <w:vertAlign w:val="baseline"/>
                <w:lang w:val="en-US" w:eastAsia="zh-CN"/>
              </w:rPr>
              <w:t>m</w:t>
            </w:r>
            <w:r>
              <w:rPr>
                <w:rFonts w:hint="eastAsia" w:ascii="仿宋_GB2312" w:hAnsi="仿宋_GB2312" w:eastAsia="仿宋_GB2312" w:cs="仿宋_GB2312"/>
                <w:sz w:val="32"/>
                <w:szCs w:val="32"/>
                <w:vertAlign w:val="baseline"/>
                <w:lang w:eastAsia="zh-CN"/>
              </w:rPr>
              <w:t>）</w:t>
            </w:r>
          </w:p>
        </w:tc>
        <w:tc>
          <w:tcPr>
            <w:tcW w:w="2490" w:type="dxa"/>
            <w:noWrap w:val="0"/>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预计资金（万元）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noWrap w:val="0"/>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2024</w:t>
            </w:r>
          </w:p>
        </w:tc>
        <w:tc>
          <w:tcPr>
            <w:tcW w:w="2136" w:type="dxa"/>
            <w:noWrap w:val="0"/>
            <w:vAlign w:val="center"/>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乡村道路养护</w:t>
            </w:r>
          </w:p>
        </w:tc>
        <w:tc>
          <w:tcPr>
            <w:tcW w:w="2241" w:type="dxa"/>
            <w:noWrap w:val="0"/>
            <w:vAlign w:val="center"/>
          </w:tcPr>
          <w:p>
            <w:pPr>
              <w:jc w:val="center"/>
              <w:rPr>
                <w:rFonts w:hint="eastAsia" w:ascii="仿宋_GB2312" w:hAnsi="仿宋_GB2312" w:eastAsia="仿宋_GB2312" w:cs="仿宋_GB2312"/>
                <w:sz w:val="32"/>
                <w:szCs w:val="32"/>
                <w:vertAlign w:val="baseline"/>
              </w:rPr>
            </w:pPr>
          </w:p>
        </w:tc>
        <w:tc>
          <w:tcPr>
            <w:tcW w:w="2490" w:type="dxa"/>
            <w:noWrap w:val="0"/>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noWrap w:val="0"/>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2024</w:t>
            </w:r>
          </w:p>
        </w:tc>
        <w:tc>
          <w:tcPr>
            <w:tcW w:w="2136" w:type="dxa"/>
            <w:noWrap w:val="0"/>
            <w:vAlign w:val="center"/>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南窑路维修</w:t>
            </w:r>
          </w:p>
        </w:tc>
        <w:tc>
          <w:tcPr>
            <w:tcW w:w="2241" w:type="dxa"/>
            <w:noWrap w:val="0"/>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100</w:t>
            </w:r>
          </w:p>
        </w:tc>
        <w:tc>
          <w:tcPr>
            <w:tcW w:w="2490" w:type="dxa"/>
            <w:noWrap w:val="0"/>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5" w:type="dxa"/>
            <w:noWrap w:val="0"/>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2025</w:t>
            </w:r>
          </w:p>
        </w:tc>
        <w:tc>
          <w:tcPr>
            <w:tcW w:w="2136" w:type="dxa"/>
            <w:noWrap w:val="0"/>
            <w:vAlign w:val="center"/>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乡村道路养护</w:t>
            </w:r>
          </w:p>
        </w:tc>
        <w:tc>
          <w:tcPr>
            <w:tcW w:w="2241" w:type="dxa"/>
            <w:noWrap w:val="0"/>
            <w:vAlign w:val="center"/>
          </w:tcPr>
          <w:p>
            <w:pPr>
              <w:jc w:val="center"/>
              <w:rPr>
                <w:rFonts w:hint="eastAsia" w:ascii="仿宋_GB2312" w:hAnsi="仿宋_GB2312" w:eastAsia="仿宋_GB2312" w:cs="仿宋_GB2312"/>
                <w:sz w:val="32"/>
                <w:szCs w:val="32"/>
                <w:vertAlign w:val="baseline"/>
              </w:rPr>
            </w:pPr>
          </w:p>
        </w:tc>
        <w:tc>
          <w:tcPr>
            <w:tcW w:w="2490" w:type="dxa"/>
            <w:noWrap w:val="0"/>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15</w:t>
            </w:r>
          </w:p>
        </w:tc>
      </w:tr>
    </w:tbl>
    <w:p>
      <w:pPr>
        <w:pStyle w:val="2"/>
        <w:rPr>
          <w:rFonts w:hint="eastAsia"/>
        </w:rPr>
      </w:pPr>
    </w:p>
    <w:p>
      <w:pPr>
        <w:rPr>
          <w:rFonts w:hint="eastAsia"/>
        </w:rPr>
      </w:pPr>
    </w:p>
    <w:p>
      <w:pPr>
        <w:pStyle w:val="2"/>
        <w:rPr>
          <w:rFonts w:hint="eastAsia"/>
        </w:rPr>
      </w:pPr>
    </w:p>
    <w:p>
      <w:pPr>
        <w:rPr>
          <w:rFonts w:hint="eastAsia" w:eastAsia="宋体"/>
          <w:lang w:eastAsia="zh-CN"/>
        </w:rPr>
      </w:pPr>
      <w:r>
        <w:rPr>
          <w:rFonts w:hint="eastAsia"/>
          <w:lang w:eastAsia="zh-CN"/>
        </w:rPr>
        <w:t>、</w:t>
      </w:r>
      <w:bookmarkStart w:id="0" w:name="_GoBack"/>
      <w:bookmarkEnd w:id="0"/>
    </w:p>
    <w:sectPr>
      <w:footerReference r:id="rId3" w:type="default"/>
      <w:footerReference r:id="rId4" w:type="even"/>
      <w:pgSz w:w="11906" w:h="16838"/>
      <w:pgMar w:top="2098" w:right="1474" w:bottom="1985" w:left="1588" w:header="851" w:footer="1418" w:gutter="0"/>
      <w:pgNumType w:fmt="numberInDash"/>
      <w:cols w:space="720" w:num="1"/>
      <w:titlePg/>
      <w:docGrid w:type="line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09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00"/>
    <w:family w:val="auto"/>
    <w:pitch w:val="default"/>
    <w:sig w:usb0="00000287" w:usb1="080F0000" w:usb2="00000000" w:usb3="00000000" w:csb0="0004009F" w:csb1="DFD70000"/>
  </w:font>
  <w:font w:name="楷体_GB2312">
    <w:altName w:val="楷体"/>
    <w:panose1 w:val="02010609030101010101"/>
    <w:charset w:val="00"/>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sz w:val="28"/>
        <w:szCs w:val="28"/>
      </w:rPr>
    </w:pP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- 2 -</w:t>
    </w:r>
    <w:r>
      <w:rPr>
        <w:sz w:val="28"/>
        <w:szCs w:val="28"/>
      </w:rPr>
      <w:fldChar w:fldCharType="end"/>
    </w:r>
  </w:p>
  <w:p>
    <w:pPr>
      <w:pStyle w:val="5"/>
      <w:wordWrap w:val="0"/>
      <w:ind w:right="360" w:firstLine="360"/>
      <w:jc w:val="right"/>
      <w:rPr>
        <w:rFonts w:hint="eastAsia"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sz w:val="28"/>
        <w:szCs w:val="28"/>
      </w:rPr>
    </w:pP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- 2 -</w:t>
    </w:r>
    <w:r>
      <w:rPr>
        <w:sz w:val="28"/>
        <w:szCs w:val="28"/>
      </w:rPr>
      <w:fldChar w:fldCharType="end"/>
    </w:r>
  </w:p>
  <w:p>
    <w:pPr>
      <w:pStyle w:val="5"/>
      <w:ind w:right="360" w:firstLine="140" w:firstLineChars="50"/>
      <w:rPr>
        <w:rFonts w:hint="eastAsia"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774F22F3"/>
    <w:rsid w:val="FBF7BC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120" w:after="120" w:line="415" w:lineRule="auto"/>
      <w:jc w:val="left"/>
      <w:outlineLvl w:val="1"/>
    </w:pPr>
    <w:rPr>
      <w:rFonts w:ascii="Cambria" w:hAnsi="Cambria" w:eastAsia="宋体" w:cs="Times New Roman"/>
      <w:bCs/>
      <w:sz w:val="28"/>
      <w:szCs w:val="32"/>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table" w:styleId="7">
    <w:name w:val="Table Grid"/>
    <w:basedOn w:val="6"/>
    <w:qFormat/>
    <w:uiPriority w:val="59"/>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kylin</cp:lastModifiedBy>
  <dcterms:modified xsi:type="dcterms:W3CDTF">2023-12-05T16:33:09Z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