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rFonts w:hint="eastAsia" w:ascii="仿宋_GB2312" w:hAnsi="仿宋_GB2312" w:eastAsia="仿宋_GB2312" w:cs="仿宋_GB2312"/>
          <w:sz w:val="36"/>
          <w:szCs w:val="36"/>
          <w:lang w:val="e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德阳里小区位于滨海新区寨上街。用地四至范围于天润路以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西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、建设路以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东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，人民街以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南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，太平街以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北。改造面积约10万平方米。此次改造工程重点对小区内住宅楼24栋，及小区内道路环境、绿化景观、室外排水清掏、市政电等配套设施进行提升改造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。</w:t>
      </w:r>
    </w:p>
    <w:p>
      <w:pPr>
        <w:ind w:firstLine="720"/>
        <w:rPr>
          <w:rFonts w:hint="eastAsia" w:ascii="仿宋_GB2312" w:hAnsi="仿宋_GB2312" w:eastAsia="仿宋_GB2312" w:cs="仿宋_GB2312"/>
          <w:sz w:val="36"/>
          <w:szCs w:val="36"/>
          <w:lang w:val="e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华阳里小区位于滨海新区寨上街。用地四至范围于建设路以西、东风路以东、人民街以北、友谊街以南。改造面积约4万平方米。此次改造工程重点小区内住宅楼17栋，及小区内道路环境、绿化景观、室外排水清掏、市政电等配套设施进行提升改造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。</w:t>
      </w:r>
    </w:p>
    <w:p>
      <w:pPr>
        <w:ind w:firstLine="720"/>
        <w:rPr>
          <w:rFonts w:hint="eastAsia" w:ascii="仿宋_GB2312" w:hAnsi="仿宋_GB2312" w:eastAsia="仿宋_GB2312" w:cs="仿宋_GB2312"/>
          <w:sz w:val="36"/>
          <w:szCs w:val="36"/>
          <w:lang w:val="e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庆阳里小区位于滨海新区寨上街。用地四至范围于建设路以西、东风路以东、人民街以南、太平街以北。改造面积约3.5万平方米。此次改造工程重点小区内住宅楼2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栋，及小区内道路环境、绿化景观、室外排水清掏、市政电等配套设施进行提升改造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。</w:t>
      </w:r>
    </w:p>
    <w:p>
      <w:pPr>
        <w:ind w:firstLine="720"/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东风南里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小区位于滨海新区寨上街。用地四至范围于东风路以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西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牌坊街铁路以东、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人民街以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南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牌坊街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以北。改造面积约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4.7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万平方米。此次改造工程重点小区内住宅楼2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栋，及小区内道路环境、绿化景观、室外排水清掏、市政电等配套设施进行提升改造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。</w:t>
      </w:r>
    </w:p>
    <w:p>
      <w:pPr>
        <w:ind w:firstLine="720"/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东风北里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小区位于滨海新区寨上街。用地四至范围于东风路以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西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牌坊街铁路以东、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人民街以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北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友谊街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。改造面积约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10.4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万平方米。此次改造工程重点小区内住宅楼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34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栋，及小区内道路环境、绿化景观、室外排水清掏、市政电等配套设施进行提升改造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。</w:t>
      </w:r>
    </w:p>
    <w:p>
      <w:pPr>
        <w:ind w:firstLine="720"/>
        <w:rPr>
          <w:rFonts w:hint="default" w:ascii="仿宋_GB2312" w:hAnsi="仿宋_GB2312" w:eastAsia="仿宋_GB2312" w:cs="仿宋_GB2312"/>
          <w:sz w:val="36"/>
          <w:szCs w:val="36"/>
          <w:lang w:val="e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EFE6BC"/>
    <w:rsid w:val="AD77A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2022-09-20T16:21:33Z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