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color w:val="000000"/>
          <w:kern w:val="0"/>
          <w:sz w:val="32"/>
          <w:szCs w:val="32"/>
          <w:lang w:bidi="ar"/>
        </w:rPr>
        <w:t>天津</w:t>
      </w:r>
      <w:r>
        <w:rPr>
          <w:rFonts w:hint="eastAsia" w:ascii="宋体" w:hAnsi="宋体" w:eastAsia="宋体" w:cs="宋体"/>
          <w:color w:val="000000"/>
          <w:kern w:val="0"/>
          <w:sz w:val="32"/>
          <w:szCs w:val="32"/>
          <w:lang w:val="en-US" w:eastAsia="zh-CN" w:bidi="ar"/>
        </w:rPr>
        <w:t>鹏翎集团</w:t>
      </w:r>
      <w:r>
        <w:rPr>
          <w:rFonts w:hint="eastAsia" w:ascii="宋体" w:hAnsi="宋体" w:eastAsia="宋体" w:cs="宋体"/>
          <w:color w:val="000000"/>
          <w:kern w:val="0"/>
          <w:sz w:val="32"/>
          <w:szCs w:val="32"/>
          <w:lang w:bidi="ar"/>
        </w:rPr>
        <w:t>股份有限公司</w:t>
      </w:r>
      <w:r>
        <w:rPr>
          <w:rFonts w:hint="eastAsia" w:ascii="宋体" w:hAnsi="宋体" w:eastAsia="宋体" w:cs="宋体"/>
          <w:color w:val="000000"/>
          <w:kern w:val="0"/>
          <w:sz w:val="32"/>
          <w:szCs w:val="32"/>
          <w:lang w:val="en-US" w:eastAsia="zh-CN" w:bidi="ar"/>
        </w:rPr>
        <w:t>增产1900万米汽车胶管项目</w:t>
      </w:r>
      <w:r>
        <w:rPr>
          <w:rFonts w:hint="eastAsia" w:ascii="宋体" w:hAnsi="宋体" w:eastAsia="宋体" w:cs="宋体"/>
          <w:sz w:val="32"/>
          <w:szCs w:val="32"/>
        </w:rPr>
        <w:t>环境影响报告表</w:t>
      </w:r>
      <w:r>
        <w:rPr>
          <w:rFonts w:hint="eastAsia" w:ascii="宋体" w:hAnsi="宋体" w:eastAsia="宋体" w:cs="宋体"/>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p>
    <w:tbl>
      <w:tblPr>
        <w:tblStyle w:val="5"/>
        <w:tblW w:w="9670" w:type="dxa"/>
        <w:tblInd w:w="-415" w:type="dxa"/>
        <w:tblLayout w:type="fixed"/>
        <w:tblCellMar>
          <w:top w:w="0" w:type="dxa"/>
          <w:left w:w="105" w:type="dxa"/>
          <w:bottom w:w="0" w:type="dxa"/>
          <w:right w:w="105" w:type="dxa"/>
        </w:tblCellMar>
      </w:tblPr>
      <w:tblGrid>
        <w:gridCol w:w="1105"/>
        <w:gridCol w:w="755"/>
        <w:gridCol w:w="530"/>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建设项目名称</w:t>
            </w:r>
          </w:p>
        </w:tc>
        <w:tc>
          <w:tcPr>
            <w:tcW w:w="755"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建设单位名称</w:t>
            </w:r>
          </w:p>
        </w:tc>
        <w:tc>
          <w:tcPr>
            <w:tcW w:w="5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color w:val="000000"/>
                <w:kern w:val="0"/>
                <w:sz w:val="28"/>
                <w:szCs w:val="28"/>
                <w:lang w:val="en-US" w:eastAsia="zh-CN" w:bidi="ar"/>
              </w:rPr>
              <w:t>天津鹏翎集团股份有限公司增产1900万米汽车胶管项目</w:t>
            </w:r>
          </w:p>
        </w:tc>
        <w:tc>
          <w:tcPr>
            <w:tcW w:w="755"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_GB2312" w:hAnsi="宋体" w:eastAsia="仿宋_GB2312" w:cs="宋体"/>
                <w:color w:val="000000"/>
                <w:kern w:val="0"/>
                <w:sz w:val="28"/>
                <w:szCs w:val="28"/>
                <w:lang w:bidi="ar"/>
              </w:rPr>
              <w:t>天津</w:t>
            </w:r>
            <w:r>
              <w:rPr>
                <w:rFonts w:hint="eastAsia" w:ascii="仿宋_GB2312" w:hAnsi="宋体" w:eastAsia="仿宋_GB2312" w:cs="宋体"/>
                <w:color w:val="000000"/>
                <w:kern w:val="0"/>
                <w:sz w:val="28"/>
                <w:szCs w:val="28"/>
                <w:lang w:val="en-US" w:eastAsia="zh-CN" w:bidi="ar"/>
              </w:rPr>
              <w:t>鹏翎集团</w:t>
            </w:r>
            <w:r>
              <w:rPr>
                <w:rFonts w:hint="eastAsia" w:ascii="仿宋_GB2312" w:hAnsi="宋体" w:eastAsia="仿宋_GB2312" w:cs="宋体"/>
                <w:color w:val="000000"/>
                <w:kern w:val="0"/>
                <w:sz w:val="28"/>
                <w:szCs w:val="28"/>
                <w:lang w:bidi="ar"/>
              </w:rPr>
              <w:t>股份有限公司</w:t>
            </w:r>
          </w:p>
        </w:tc>
        <w:tc>
          <w:tcPr>
            <w:tcW w:w="5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天津中塘工业区葛万公路1703号</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pPr>
              <w:widowControl/>
              <w:spacing w:before="100" w:beforeAutospacing="1" w:after="100" w:afterAutospacing="1"/>
              <w:jc w:val="center"/>
              <w:rPr>
                <w:rFonts w:hint="eastAsia" w:ascii="仿宋" w:hAnsi="仿宋" w:eastAsia="仿宋" w:cs="仿宋"/>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both"/>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天津绿城环保科技有限公司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ind w:firstLine="640" w:firstLineChars="200"/>
              <w:jc w:val="left"/>
              <w:rPr>
                <w:rFonts w:hint="default" w:ascii="仿宋" w:hAnsi="仿宋" w:eastAsia="仿宋" w:cs="仿宋"/>
                <w:sz w:val="32"/>
                <w:szCs w:val="32"/>
                <w:lang w:val="en-US"/>
              </w:rPr>
            </w:pPr>
            <w:r>
              <w:rPr>
                <w:rStyle w:val="10"/>
                <w:rFonts w:hint="eastAsia" w:ascii="仿宋_GB2312" w:hAnsi="宋体" w:eastAsia="仿宋_GB2312"/>
                <w:sz w:val="32"/>
                <w:szCs w:val="32"/>
              </w:rPr>
              <w:t>一、</w:t>
            </w:r>
            <w:r>
              <w:rPr>
                <w:rFonts w:hint="eastAsia" w:ascii="仿宋_GB2312" w:hAnsi="宋体" w:eastAsia="仿宋_GB2312" w:cs="宋体"/>
                <w:color w:val="000000"/>
                <w:kern w:val="0"/>
                <w:sz w:val="32"/>
                <w:szCs w:val="32"/>
                <w:lang w:bidi="ar"/>
              </w:rPr>
              <w:t>天津</w:t>
            </w:r>
            <w:r>
              <w:rPr>
                <w:rFonts w:hint="eastAsia" w:ascii="仿宋_GB2312" w:hAnsi="宋体" w:eastAsia="仿宋_GB2312" w:cs="宋体"/>
                <w:color w:val="000000"/>
                <w:kern w:val="0"/>
                <w:sz w:val="32"/>
                <w:szCs w:val="32"/>
                <w:lang w:val="en-US" w:eastAsia="zh-CN" w:bidi="ar"/>
              </w:rPr>
              <w:t>鹏翎集团</w:t>
            </w:r>
            <w:r>
              <w:rPr>
                <w:rFonts w:hint="eastAsia" w:ascii="仿宋_GB2312" w:hAnsi="宋体" w:eastAsia="仿宋_GB2312" w:cs="宋体"/>
                <w:color w:val="000000"/>
                <w:kern w:val="0"/>
                <w:sz w:val="32"/>
                <w:szCs w:val="32"/>
                <w:lang w:bidi="ar"/>
              </w:rPr>
              <w:t>股份有限公司（以下简称“建设单位”），</w:t>
            </w:r>
            <w:r>
              <w:rPr>
                <w:rFonts w:hint="eastAsia" w:ascii="宋体" w:hAnsi="宋体" w:eastAsia="宋体" w:cs="宋体"/>
                <w:color w:val="000000"/>
                <w:kern w:val="0"/>
                <w:sz w:val="24"/>
                <w:szCs w:val="24"/>
                <w:lang w:val="en-US" w:eastAsia="zh-CN" w:bidi="ar"/>
              </w:rPr>
              <w:t>成</w:t>
            </w:r>
            <w:r>
              <w:rPr>
                <w:rFonts w:hint="eastAsia" w:ascii="仿宋" w:hAnsi="仿宋" w:eastAsia="仿宋" w:cs="仿宋"/>
                <w:color w:val="000000"/>
                <w:kern w:val="0"/>
                <w:sz w:val="32"/>
                <w:szCs w:val="32"/>
                <w:lang w:val="en-US" w:eastAsia="zh-CN" w:bidi="ar"/>
              </w:rPr>
              <w:t>立于1989年，公司位于天津中塘工业区葛万公路1703号，是中国北方最大的集科研、开发、生产、销售于一体的汽车用胶管生产企业之一。由于市场需求增加，公司决定在现有一车间、三车间、五车间、六车间、八车间闲置区域内新增挤出机、硫化罐、注塑机等生产设备，建设橡胶胶管生产线和塑料胶管生产线，本项目建成后，不涉及产品种类新增，预计年增产汽车胶管1900万米，其中一车间及八车间合计年增产冷却水管600万米，三车间年增产水箱胶管150万米，五车间年增产燃油胶管150万米，上述产品均属于橡胶胶管；六车间年增产多层复合尼龙树脂燃油胶管1000万米，该产品属于塑料胶管。总投资500万元，其中环保投资57万元，环保投资占比11.4%，计划2023年1月投产。</w:t>
            </w:r>
          </w:p>
          <w:p>
            <w:pPr>
              <w:widowControl/>
              <w:spacing w:before="100" w:beforeAutospacing="1" w:after="100" w:afterAutospacing="1"/>
              <w:jc w:val="center"/>
              <w:rPr>
                <w:rFonts w:hint="eastAsia" w:ascii="宋体" w:hAnsi="宋体" w:eastAsia="宋体" w:cs="宋体"/>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lang w:val="en-US"/>
              </w:rPr>
              <w:t>一</w:t>
            </w:r>
            <w:r>
              <w:rPr>
                <w:rStyle w:val="10"/>
                <w:rFonts w:hint="eastAsia" w:ascii="仿宋_GB2312" w:hAnsi="宋体" w:eastAsia="仿宋_GB2312"/>
                <w:sz w:val="32"/>
                <w:szCs w:val="32"/>
              </w:rPr>
              <w:t>、项目施工期间，你公司应重点做好以下工作：</w:t>
            </w:r>
          </w:p>
          <w:p>
            <w:pPr>
              <w:spacing w:line="360" w:lineRule="auto"/>
              <w:ind w:firstLine="566" w:firstLineChars="177"/>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 严格执行《天津市大气污染防治条例》、《天津</w:t>
            </w:r>
            <w:bookmarkStart w:id="0" w:name="_GoBack"/>
            <w:bookmarkEnd w:id="0"/>
            <w:r>
              <w:rPr>
                <w:rStyle w:val="10"/>
                <w:rFonts w:hint="eastAsia" w:ascii="仿宋_GB2312" w:hAnsi="宋体" w:eastAsia="仿宋_GB2312"/>
                <w:sz w:val="32"/>
                <w:szCs w:val="32"/>
              </w:rPr>
              <w:t>市建设工程文明施工管理规定》、《天津市环境噪声污染防治管理办法》等环保法规要求，合理安排施工时间，落实施工噪声、废气、废水、固废等各项污染防治措施，确保施工期不会对周边环境产生不良影响。</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lang w:val="en-US"/>
              </w:rPr>
              <w:t>二</w:t>
            </w:r>
            <w:r>
              <w:rPr>
                <w:rStyle w:val="10"/>
                <w:rFonts w:hint="eastAsia" w:ascii="仿宋_GB2312" w:hAnsi="宋体" w:eastAsia="仿宋_GB2312"/>
                <w:sz w:val="32"/>
                <w:szCs w:val="32"/>
              </w:rPr>
              <w:t>、项目运营期间，你公司应重点做好以下工作：</w:t>
            </w:r>
          </w:p>
          <w:p>
            <w:pPr>
              <w:keepNext w:val="0"/>
              <w:keepLines w:val="0"/>
              <w:widowControl/>
              <w:suppressLineNumbers w:val="0"/>
              <w:ind w:firstLine="640" w:firstLineChars="200"/>
              <w:jc w:val="left"/>
              <w:rPr>
                <w:rFonts w:hint="eastAsia" w:ascii="仿宋_GB2312" w:hAnsi="仿宋" w:eastAsia="仿宋_GB2312" w:cs="仿宋"/>
                <w:color w:val="000000"/>
                <w:kern w:val="0"/>
                <w:sz w:val="32"/>
                <w:szCs w:val="32"/>
                <w:lang w:bidi="ar"/>
              </w:rPr>
            </w:pPr>
            <w:r>
              <w:rPr>
                <w:rStyle w:val="10"/>
                <w:rFonts w:hint="eastAsia" w:ascii="仿宋_GB2312" w:hAnsi="宋体" w:eastAsia="仿宋_GB2312"/>
                <w:sz w:val="32"/>
                <w:szCs w:val="32"/>
              </w:rPr>
              <w:t>1、</w:t>
            </w:r>
            <w:r>
              <w:rPr>
                <w:rStyle w:val="10"/>
                <w:rFonts w:hint="eastAsia" w:ascii="仿宋_GB2312" w:hAnsi="仿宋" w:eastAsia="仿宋_GB2312" w:cs="仿宋"/>
                <w:sz w:val="32"/>
                <w:szCs w:val="32"/>
              </w:rPr>
              <w:t>本项目</w:t>
            </w:r>
            <w:r>
              <w:rPr>
                <w:rStyle w:val="10"/>
                <w:rFonts w:hint="eastAsia" w:ascii="仿宋_GB2312" w:hAnsi="仿宋" w:eastAsia="仿宋_GB2312" w:cs="仿宋"/>
                <w:sz w:val="32"/>
                <w:szCs w:val="32"/>
                <w:lang w:val="en-US"/>
              </w:rPr>
              <w:t>废水主要为</w:t>
            </w:r>
            <w:r>
              <w:rPr>
                <w:rFonts w:hint="eastAsia" w:ascii="仿宋_GB2312" w:hAnsi="仿宋" w:eastAsia="仿宋_GB2312" w:cs="仿宋"/>
                <w:color w:val="000000"/>
                <w:kern w:val="0"/>
                <w:sz w:val="32"/>
                <w:szCs w:val="32"/>
                <w:lang w:val="en-US" w:eastAsia="zh-CN" w:bidi="ar"/>
              </w:rPr>
              <w:t>生产废水和生活污水。生产废水包括冷却废水和清洗废水，废水经厂区内自建污水处理站</w:t>
            </w:r>
            <w:r>
              <w:rPr>
                <w:rFonts w:hint="eastAsia" w:ascii="仿宋" w:hAnsi="仿宋" w:eastAsia="仿宋" w:cs="仿宋"/>
                <w:color w:val="000000"/>
                <w:kern w:val="0"/>
                <w:sz w:val="32"/>
                <w:szCs w:val="32"/>
                <w:lang w:val="en-US" w:eastAsia="zh-CN" w:bidi="ar"/>
              </w:rPr>
              <w:t>处理后，通过污水总排口排污市政污水管网，最终排入中塘工业区污水处理厂集中处理。</w:t>
            </w:r>
            <w:r>
              <w:rPr>
                <w:rStyle w:val="10"/>
                <w:rFonts w:hint="eastAsia" w:ascii="仿宋_GB2312" w:hAnsi="仿宋" w:eastAsia="仿宋_GB2312" w:cs="仿宋"/>
                <w:sz w:val="32"/>
                <w:szCs w:val="32"/>
              </w:rPr>
              <w:t>确保不对周边环境产生污染。</w:t>
            </w:r>
          </w:p>
          <w:p>
            <w:pPr>
              <w:keepNext w:val="0"/>
              <w:keepLines w:val="0"/>
              <w:widowControl/>
              <w:suppressLineNumbers w:val="0"/>
              <w:ind w:firstLine="640" w:firstLineChars="200"/>
              <w:jc w:val="left"/>
              <w:rPr>
                <w:rFonts w:hint="eastAsia" w:ascii="仿宋_GB2312" w:hAnsi="仿宋" w:eastAsia="仿宋_GB2312" w:cs="仿宋"/>
                <w:color w:val="000000"/>
                <w:kern w:val="0"/>
                <w:sz w:val="32"/>
                <w:szCs w:val="32"/>
                <w:lang w:bidi="ar"/>
              </w:rPr>
            </w:pPr>
            <w:r>
              <w:rPr>
                <w:rStyle w:val="10"/>
                <w:rFonts w:hint="eastAsia" w:ascii="仿宋_GB2312" w:hAnsi="宋体" w:eastAsia="仿宋_GB2312"/>
                <w:sz w:val="32"/>
                <w:szCs w:val="32"/>
              </w:rPr>
              <w:t>2、</w:t>
            </w:r>
            <w:r>
              <w:rPr>
                <w:rStyle w:val="10"/>
                <w:rFonts w:hint="eastAsia" w:ascii="仿宋_GB2312" w:hAnsi="仿宋" w:eastAsia="仿宋_GB2312" w:cs="仿宋"/>
                <w:sz w:val="32"/>
                <w:szCs w:val="32"/>
              </w:rPr>
              <w:t>严格落实大气污染防治措施。</w:t>
            </w:r>
            <w:r>
              <w:rPr>
                <w:rStyle w:val="10"/>
                <w:rFonts w:hint="eastAsia" w:ascii="仿宋_GB2312" w:hAnsi="仿宋" w:eastAsia="仿宋_GB2312" w:cs="仿宋"/>
                <w:sz w:val="32"/>
                <w:szCs w:val="32"/>
                <w:lang w:val="en-US"/>
              </w:rPr>
              <w:t>本项目一车间、三车间、</w:t>
            </w:r>
            <w:r>
              <w:rPr>
                <w:rFonts w:hint="eastAsia" w:ascii="仿宋" w:hAnsi="仿宋" w:eastAsia="仿宋" w:cs="仿宋"/>
                <w:color w:val="000000"/>
                <w:kern w:val="0"/>
                <w:sz w:val="32"/>
                <w:szCs w:val="32"/>
                <w:lang w:val="en-US" w:eastAsia="zh-CN" w:bidi="ar"/>
              </w:rPr>
              <w:t>五车间、六车间、八车间生产过程中产生的有机废气经设备上方“集气罩+软帘”收集，分别引至各车间外配套的“喷淋+UV 光氧+活性炭吸附装置”编号分别为 1#、3#、5#、6#、10#净化处理后，分别通过高21米DA001、高15米DA003、高15米 DA005、高21米DA006、高15米DA014排气筒达标排放。</w:t>
            </w:r>
            <w:r>
              <w:rPr>
                <w:rFonts w:hint="eastAsia" w:ascii="仿宋_GB2312" w:hAnsi="仿宋" w:eastAsia="仿宋_GB2312" w:cs="仿宋"/>
                <w:color w:val="000000"/>
                <w:kern w:val="0"/>
                <w:sz w:val="32"/>
                <w:szCs w:val="32"/>
                <w:lang w:bidi="ar"/>
              </w:rPr>
              <w:t>严格控制无组织废气排放，确保厂界大气污染物达标排放。建设单位须按照《天津市涉气工业污染源自动监控系统建设工作方案》文件相关内容要求执行。</w:t>
            </w:r>
          </w:p>
          <w:p>
            <w:pPr>
              <w:widowControl/>
              <w:ind w:firstLine="640" w:firstLineChars="200"/>
              <w:jc w:val="left"/>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3、本项目实施后，根据天津市滨海新区生态环境局《关于</w:t>
            </w:r>
            <w:r>
              <w:rPr>
                <w:rFonts w:hint="eastAsia" w:ascii="仿宋" w:hAnsi="仿宋" w:eastAsia="仿宋" w:cs="仿宋"/>
                <w:color w:val="000000"/>
                <w:kern w:val="0"/>
                <w:sz w:val="32"/>
                <w:szCs w:val="32"/>
                <w:lang w:val="en-US" w:eastAsia="zh-CN" w:bidi="ar"/>
              </w:rPr>
              <w:t>天津鹏翎集团股份有限公司增产1900万米汽车胶管</w:t>
            </w:r>
            <w:r>
              <w:rPr>
                <w:rFonts w:hint="eastAsia" w:ascii="仿宋_GB2312" w:hAnsi="仿宋" w:eastAsia="仿宋_GB2312" w:cs="仿宋"/>
                <w:color w:val="000000"/>
                <w:kern w:val="0"/>
                <w:sz w:val="32"/>
                <w:szCs w:val="32"/>
                <w:lang w:bidi="ar"/>
              </w:rPr>
              <w:t>项目有关主要污染物总量来源确认意见》，上述新增污染物总量指标均有来源。</w:t>
            </w:r>
          </w:p>
          <w:p>
            <w:pPr>
              <w:keepNext w:val="0"/>
              <w:keepLines w:val="0"/>
              <w:widowControl/>
              <w:suppressLineNumbers w:val="0"/>
              <w:ind w:firstLine="640" w:firstLineChars="200"/>
              <w:jc w:val="left"/>
              <w:rPr>
                <w:rStyle w:val="10"/>
                <w:rFonts w:hint="eastAsia" w:ascii="仿宋_GB2312" w:hAnsi="宋体" w:eastAsia="仿宋_GB2312"/>
                <w:sz w:val="32"/>
                <w:szCs w:val="32"/>
              </w:rPr>
            </w:pPr>
            <w:r>
              <w:rPr>
                <w:rStyle w:val="10"/>
                <w:rFonts w:hint="eastAsia" w:ascii="仿宋_GB2312" w:eastAsia="仿宋_GB2312"/>
                <w:sz w:val="32"/>
                <w:szCs w:val="32"/>
              </w:rPr>
              <w:t>4、</w:t>
            </w:r>
            <w:r>
              <w:rPr>
                <w:rStyle w:val="10"/>
                <w:rFonts w:hint="eastAsia" w:ascii="仿宋_GB2312" w:hAnsi="宋体" w:eastAsia="仿宋_GB2312"/>
                <w:sz w:val="32"/>
                <w:szCs w:val="32"/>
              </w:rPr>
              <w:t>强化噪声污染防治措施。</w:t>
            </w:r>
            <w:r>
              <w:rPr>
                <w:rFonts w:hint="eastAsia" w:ascii="仿宋" w:hAnsi="仿宋" w:eastAsia="仿宋" w:cs="仿宋"/>
                <w:color w:val="000000"/>
                <w:kern w:val="0"/>
                <w:sz w:val="32"/>
                <w:szCs w:val="32"/>
                <w:lang w:val="en-US" w:eastAsia="zh-CN" w:bidi="ar"/>
              </w:rPr>
              <w:t>采取选用低噪设备、基础减振、建筑或隔声罩隔声、距离衰减等减振降噪声措施，</w:t>
            </w:r>
            <w:r>
              <w:rPr>
                <w:rStyle w:val="10"/>
                <w:rFonts w:hint="eastAsia" w:ascii="仿宋_GB2312" w:hAnsi="宋体" w:eastAsia="仿宋_GB2312"/>
                <w:color w:val="000000"/>
                <w:kern w:val="0"/>
                <w:sz w:val="32"/>
                <w:szCs w:val="32"/>
              </w:rPr>
              <w:t>确保厂界噪声达标。</w:t>
            </w:r>
          </w:p>
          <w:p>
            <w:pPr>
              <w:keepNext w:val="0"/>
              <w:keepLines w:val="0"/>
              <w:widowControl/>
              <w:suppressLineNumbers w:val="0"/>
              <w:ind w:firstLine="640" w:firstLineChars="200"/>
              <w:jc w:val="left"/>
              <w:rPr>
                <w:rStyle w:val="10"/>
                <w:rFonts w:hint="eastAsia" w:ascii="仿宋_GB2312" w:hAnsi="宋体" w:eastAsia="仿宋_GB2312"/>
                <w:sz w:val="32"/>
                <w:szCs w:val="32"/>
              </w:rPr>
            </w:pPr>
            <w:r>
              <w:rPr>
                <w:rStyle w:val="10"/>
                <w:rFonts w:hint="eastAsia" w:ascii="仿宋_GB2312" w:hAnsi="宋体" w:eastAsia="仿宋_GB2312"/>
                <w:sz w:val="32"/>
                <w:szCs w:val="32"/>
              </w:rPr>
              <w:t>5、做好各类固体废物的收集、贮存、运输和处置，做到资源化、减量化、无害化。</w:t>
            </w:r>
            <w:r>
              <w:rPr>
                <w:rStyle w:val="10"/>
                <w:rFonts w:hint="eastAsia" w:ascii="仿宋_GB2312" w:hAnsi="宋体" w:eastAsia="仿宋_GB2312"/>
                <w:color w:val="000000"/>
                <w:kern w:val="0"/>
                <w:sz w:val="32"/>
                <w:szCs w:val="32"/>
              </w:rPr>
              <w:t>一般工业固废主要包括</w:t>
            </w:r>
            <w:r>
              <w:rPr>
                <w:rFonts w:hint="eastAsia" w:ascii="仿宋" w:hAnsi="仿宋" w:eastAsia="仿宋" w:cs="仿宋"/>
                <w:color w:val="000000"/>
                <w:kern w:val="0"/>
                <w:sz w:val="32"/>
                <w:szCs w:val="32"/>
                <w:lang w:val="en-US" w:eastAsia="zh-CN" w:bidi="ar"/>
              </w:rPr>
              <w:t>废包装材料、废纸箱、废金属碎屑、废橡胶胶管不合格品、废塑料管不合格品，暂存在厂区东侧现有一般固体废物暂存间内，废包装材料、废纸箱、废金属碎屑、废橡胶胶管不合格品定期外售物资回收部门综合利用，废塑料管不合格品经破碎后外售；</w:t>
            </w:r>
            <w:r>
              <w:rPr>
                <w:rStyle w:val="10"/>
                <w:rFonts w:hint="eastAsia" w:ascii="仿宋_GB2312" w:hAnsi="宋体" w:eastAsia="仿宋_GB2312"/>
                <w:color w:val="000000"/>
                <w:kern w:val="0"/>
                <w:sz w:val="32"/>
                <w:szCs w:val="32"/>
              </w:rPr>
              <w:t>危险废物主要包括</w:t>
            </w:r>
            <w:r>
              <w:rPr>
                <w:rFonts w:hint="eastAsia" w:ascii="仿宋" w:hAnsi="仿宋" w:eastAsia="仿宋" w:cs="仿宋"/>
                <w:color w:val="000000"/>
                <w:kern w:val="0"/>
                <w:sz w:val="32"/>
                <w:szCs w:val="32"/>
                <w:lang w:val="en-US" w:eastAsia="zh-CN" w:bidi="ar"/>
              </w:rPr>
              <w:t>废空压机油、废机油、废包装桶、废毛刷、含油抹布、废 UV 灯管、废活性炭等危险废物，暂存于现有危险废物暂存间内，定期交由有资质单位进行处理</w:t>
            </w:r>
            <w:r>
              <w:rPr>
                <w:rFonts w:hint="eastAsia" w:ascii="仿宋" w:hAnsi="仿宋" w:eastAsia="仿宋" w:cs="仿宋"/>
                <w:color w:val="000000"/>
                <w:kern w:val="0"/>
                <w:sz w:val="32"/>
                <w:szCs w:val="32"/>
                <w:lang w:bidi="ar"/>
              </w:rPr>
              <w:t>；</w:t>
            </w:r>
            <w:r>
              <w:rPr>
                <w:rStyle w:val="10"/>
                <w:rFonts w:hint="eastAsia" w:ascii="仿宋_GB2312" w:hAnsi="宋体" w:eastAsia="仿宋_GB2312"/>
                <w:sz w:val="32"/>
                <w:szCs w:val="32"/>
              </w:rPr>
              <w:t>生活垃圾由城管委定期清运，确保不会对周边环境产生二次污染。</w:t>
            </w:r>
          </w:p>
          <w:p>
            <w:pPr>
              <w:keepNext w:val="0"/>
              <w:keepLines w:val="0"/>
              <w:widowControl/>
              <w:suppressLineNumbers w:val="0"/>
              <w:ind w:firstLine="640" w:firstLineChars="200"/>
              <w:jc w:val="left"/>
              <w:rPr>
                <w:rStyle w:val="10"/>
                <w:rFonts w:hint="eastAsia" w:ascii="仿宋_GB2312" w:hAnsi="宋体" w:eastAsia="仿宋_GB2312"/>
                <w:sz w:val="32"/>
                <w:szCs w:val="32"/>
              </w:rPr>
            </w:pPr>
            <w:r>
              <w:rPr>
                <w:rStyle w:val="10"/>
                <w:rFonts w:hint="eastAsia" w:ascii="仿宋_GB2312" w:hAnsi="仿宋_GB2312" w:eastAsia="仿宋_GB2312"/>
                <w:sz w:val="32"/>
                <w:szCs w:val="32"/>
              </w:rPr>
              <w:t>6、</w:t>
            </w:r>
            <w:r>
              <w:rPr>
                <w:rStyle w:val="10"/>
                <w:rFonts w:hint="eastAsia" w:ascii="仿宋_GB2312" w:hAnsi="宋体" w:eastAsia="仿宋_GB2312"/>
                <w:color w:val="000000"/>
                <w:kern w:val="0"/>
                <w:sz w:val="32"/>
                <w:szCs w:val="32"/>
              </w:rPr>
              <w:t>项目主要风险物质</w:t>
            </w:r>
            <w:r>
              <w:rPr>
                <w:rFonts w:hint="eastAsia" w:ascii="仿宋_GB2312" w:hAnsi="宋体" w:eastAsia="仿宋_GB2312" w:cs="宋体"/>
                <w:color w:val="000000"/>
                <w:kern w:val="0"/>
                <w:sz w:val="32"/>
                <w:szCs w:val="32"/>
                <w:lang w:bidi="ar"/>
              </w:rPr>
              <w:t>为</w:t>
            </w:r>
            <w:r>
              <w:rPr>
                <w:rFonts w:hint="eastAsia" w:ascii="仿宋" w:hAnsi="仿宋" w:eastAsia="仿宋" w:cs="仿宋"/>
                <w:color w:val="000000"/>
                <w:kern w:val="0"/>
                <w:sz w:val="32"/>
                <w:szCs w:val="32"/>
                <w:lang w:val="en-US" w:eastAsia="zh-CN" w:bidi="ar"/>
              </w:rPr>
              <w:t>原料区的空压机油、机油及危废暂存间的废空压机油、废机油、废包装桶、含油抹布</w:t>
            </w:r>
            <w:r>
              <w:rPr>
                <w:rFonts w:hint="eastAsia" w:ascii="仿宋_GB2312" w:hAnsi="宋体" w:eastAsia="仿宋_GB2312" w:cs="宋体"/>
                <w:color w:val="000000"/>
                <w:kern w:val="0"/>
                <w:sz w:val="32"/>
                <w:szCs w:val="32"/>
                <w:lang w:bidi="ar"/>
              </w:rPr>
              <w:t>等风险物质</w:t>
            </w:r>
            <w:r>
              <w:rPr>
                <w:rStyle w:val="10"/>
                <w:rFonts w:hint="eastAsia" w:ascii="仿宋_GB2312" w:hAnsi="宋体" w:eastAsia="仿宋_GB2312"/>
                <w:color w:val="000000"/>
                <w:kern w:val="0"/>
                <w:sz w:val="32"/>
                <w:szCs w:val="32"/>
              </w:rPr>
              <w:t>在</w:t>
            </w:r>
            <w:r>
              <w:rPr>
                <w:rFonts w:hint="eastAsia" w:ascii="仿宋_GB2312" w:hAnsi="宋体" w:eastAsia="仿宋_GB2312" w:cs="宋体"/>
                <w:color w:val="000000"/>
                <w:kern w:val="0"/>
                <w:sz w:val="32"/>
                <w:szCs w:val="32"/>
                <w:lang w:bidi="ar"/>
              </w:rPr>
              <w:t>运输、使用、储存过程中，管理不当导致的泄漏、火灾、中毒等伴生/次生风险事故</w:t>
            </w:r>
            <w:r>
              <w:rPr>
                <w:rStyle w:val="10"/>
                <w:rFonts w:hint="eastAsia" w:ascii="仿宋_GB2312" w:hAnsi="宋体" w:eastAsia="仿宋_GB2312"/>
                <w:color w:val="000000"/>
                <w:kern w:val="0"/>
                <w:sz w:val="32"/>
                <w:szCs w:val="32"/>
              </w:rPr>
              <w:t>。</w:t>
            </w:r>
            <w:r>
              <w:rPr>
                <w:rStyle w:val="10"/>
                <w:rFonts w:hint="eastAsia" w:ascii="仿宋_GB2312" w:hAnsi="宋体" w:eastAsia="仿宋_GB2312"/>
                <w:sz w:val="32"/>
                <w:szCs w:val="32"/>
              </w:rPr>
              <w:t>严格落实报告提出的风险事故的防范、减缓等措施，加强对环境风险的防治工作，强化管理、制定应急预案，防止发生环境事故和次生环境事故。</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rPr>
              <w:t>7、按照相关技术要求做好排污口规范化建设，项目排污口规范化设置应与主体工程同时进行。按照相关规定设置规范的采样点，悬挂符合要求的标识牌。</w:t>
            </w:r>
          </w:p>
          <w:p>
            <w:pPr>
              <w:ind w:firstLine="640" w:firstLineChars="200"/>
              <w:textAlignment w:val="baseline"/>
              <w:rPr>
                <w:rStyle w:val="10"/>
                <w:rFonts w:hint="eastAsia" w:ascii="仿宋_GB2312" w:hAnsi="宋体" w:eastAsia="仿宋_GB2312"/>
                <w:sz w:val="32"/>
                <w:szCs w:val="32"/>
              </w:rPr>
            </w:pPr>
            <w:r>
              <w:rPr>
                <w:rStyle w:val="10"/>
                <w:rFonts w:hint="eastAsia" w:ascii="仿宋_GB2312" w:hAnsi="宋体" w:eastAsia="仿宋_GB2312"/>
                <w:sz w:val="32"/>
                <w:szCs w:val="32"/>
              </w:rPr>
              <w:t>8、你单位应在启动生产设施或者在实际排污之前按照法律法规要求做好排污许可管理工作。</w:t>
            </w:r>
          </w:p>
          <w:p>
            <w:pPr>
              <w:widowControl/>
              <w:spacing w:before="100" w:beforeAutospacing="1" w:after="100" w:afterAutospacing="1"/>
              <w:jc w:val="center"/>
              <w:rPr>
                <w:rFonts w:hint="eastAsia" w:ascii="仿宋" w:hAnsi="仿宋" w:eastAsia="仿宋" w:cs="仿宋"/>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19</w:t>
            </w:r>
            <w:r>
              <w:rPr>
                <w:rFonts w:hint="eastAsia" w:ascii="仿宋" w:hAnsi="仿宋" w:eastAsia="仿宋" w:cs="仿宋"/>
                <w:kern w:val="0"/>
                <w:sz w:val="24"/>
                <w:szCs w:val="24"/>
              </w:rPr>
              <w:t>-</w:t>
            </w:r>
          </w:p>
          <w:p>
            <w:pPr>
              <w:widowControl/>
              <w:spacing w:before="100" w:beforeAutospacing="1" w:after="100" w:afterAutospacing="1"/>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12.23</w:t>
            </w:r>
          </w:p>
        </w:tc>
      </w:tr>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仿宋" w:hAnsi="仿宋" w:eastAsia="仿宋" w:cs="仿宋"/>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ZDFkYjdjZjA0NTRiNGQ0ZTEzMjM2OGRmM2NhZWUifQ=="/>
  </w:docVars>
  <w:rsids>
    <w:rsidRoot w:val="005E5C15"/>
    <w:rsid w:val="00096C7D"/>
    <w:rsid w:val="003F6434"/>
    <w:rsid w:val="00494BB5"/>
    <w:rsid w:val="005E5C15"/>
    <w:rsid w:val="008F11E6"/>
    <w:rsid w:val="092E4D51"/>
    <w:rsid w:val="09C82DE9"/>
    <w:rsid w:val="0ACF21BB"/>
    <w:rsid w:val="121757CC"/>
    <w:rsid w:val="180B0317"/>
    <w:rsid w:val="1F087167"/>
    <w:rsid w:val="25D96EC1"/>
    <w:rsid w:val="28290944"/>
    <w:rsid w:val="4DA912CE"/>
    <w:rsid w:val="506A47C0"/>
    <w:rsid w:val="508A2C9A"/>
    <w:rsid w:val="51512A23"/>
    <w:rsid w:val="56A85C27"/>
    <w:rsid w:val="5B446707"/>
    <w:rsid w:val="60CB719E"/>
    <w:rsid w:val="622019C2"/>
    <w:rsid w:val="631C15A0"/>
    <w:rsid w:val="64FD0667"/>
    <w:rsid w:val="718B0C5D"/>
    <w:rsid w:val="75743862"/>
    <w:rsid w:val="79262AAB"/>
    <w:rsid w:val="7DB140B2"/>
    <w:rsid w:val="7DC6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60" w:lineRule="auto"/>
      <w:ind w:left="0" w:leftChars="0" w:right="0" w:rightChars="0"/>
    </w:pPr>
    <w:rPr>
      <w:rFonts w:ascii="Times New Roman" w:hAnsi="Times New Roman"/>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3"/>
    <w:qFormat/>
    <w:uiPriority w:val="9"/>
    <w:rPr>
      <w:rFonts w:ascii="宋体" w:hAnsi="宋体" w:eastAsia="宋体" w:cs="宋体"/>
      <w:b/>
      <w:bCs/>
      <w:kern w:val="36"/>
      <w:sz w:val="48"/>
      <w:szCs w:val="48"/>
    </w:rPr>
  </w:style>
  <w:style w:type="character" w:customStyle="1" w:styleId="9">
    <w:name w:val="15"/>
    <w:basedOn w:val="6"/>
    <w:qFormat/>
    <w:uiPriority w:val="0"/>
    <w:rPr>
      <w:rFonts w:hint="default" w:ascii="Times New Roman" w:hAnsi="Times New Roman" w:cs="Times New Roman"/>
    </w:rPr>
  </w:style>
  <w:style w:type="character" w:customStyle="1" w:styleId="10">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1894</Words>
  <Characters>1996</Characters>
  <Lines>12</Lines>
  <Paragraphs>3</Paragraphs>
  <TotalTime>12</TotalTime>
  <ScaleCrop>false</ScaleCrop>
  <LinksUpToDate>false</LinksUpToDate>
  <CharactersWithSpaces>2008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阳光总在风雨后</cp:lastModifiedBy>
  <cp:lastPrinted>2022-07-18T03:43:00Z</cp:lastPrinted>
  <dcterms:modified xsi:type="dcterms:W3CDTF">2022-12-15T03:43:20Z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9367407209CA4F65910B314F012F2EAE</vt:lpwstr>
  </property>
</Properties>
</file>