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ascii="仿宋_GB2312" w:eastAsia="仿宋_GB2312"/>
          <w:sz w:val="32"/>
          <w:szCs w:val="32"/>
        </w:rPr>
      </w:pPr>
    </w:p>
    <w:p>
      <w:pPr>
        <w:spacing w:line="240" w:lineRule="exact"/>
        <w:jc w:val="center"/>
        <w:rPr>
          <w:rFonts w:ascii="仿宋_GB2312" w:eastAsia="仿宋_GB2312"/>
          <w:sz w:val="32"/>
          <w:szCs w:val="32"/>
        </w:rPr>
      </w:pPr>
    </w:p>
    <w:p>
      <w:pPr>
        <w:spacing w:line="240" w:lineRule="exact"/>
        <w:jc w:val="center"/>
        <w:rPr>
          <w:rFonts w:ascii="仿宋_GB2312" w:eastAsia="仿宋_GB2312"/>
          <w:sz w:val="32"/>
          <w:szCs w:val="32"/>
        </w:rPr>
      </w:pPr>
    </w:p>
    <w:p>
      <w:pPr>
        <w:spacing w:line="300" w:lineRule="exact"/>
        <w:jc w:val="center"/>
        <w:rPr>
          <w:rFonts w:ascii="仿宋" w:hAnsi="仿宋" w:eastAsia="仿宋"/>
          <w:sz w:val="32"/>
          <w:szCs w:val="32"/>
          <w:u w:val="none"/>
        </w:rPr>
      </w:pPr>
      <w:r>
        <w:rPr>
          <w:rFonts w:hint="eastAsia" w:ascii="仿宋" w:hAnsi="仿宋" w:eastAsia="仿宋"/>
          <w:sz w:val="32"/>
          <w:szCs w:val="32"/>
          <w:u w:val="none"/>
        </w:rPr>
        <w:t>津滨中塘环准〔2020〕38号</w:t>
      </w:r>
    </w:p>
    <w:p>
      <w:pPr>
        <w:spacing w:line="360" w:lineRule="auto"/>
        <w:jc w:val="center"/>
        <w:rPr>
          <w:rStyle w:val="6"/>
          <w:rFonts w:hint="eastAsia" w:ascii="微软简" w:hAnsi="宋体" w:eastAsia="微软简"/>
          <w:sz w:val="44"/>
          <w:szCs w:val="44"/>
          <w:u w:val="none"/>
        </w:rPr>
      </w:pPr>
    </w:p>
    <w:p>
      <w:pPr>
        <w:spacing w:line="360" w:lineRule="auto"/>
        <w:jc w:val="center"/>
        <w:rPr>
          <w:rStyle w:val="6"/>
          <w:rFonts w:ascii="微软简" w:hAnsi="宋体" w:eastAsia="微软简"/>
          <w:b/>
          <w:sz w:val="44"/>
          <w:szCs w:val="44"/>
          <w:u w:val="none"/>
        </w:rPr>
      </w:pPr>
      <w:r>
        <w:rPr>
          <w:rStyle w:val="6"/>
          <w:rFonts w:hint="eastAsia" w:ascii="微软简" w:hAnsi="宋体" w:eastAsia="微软简"/>
          <w:sz w:val="44"/>
          <w:szCs w:val="44"/>
          <w:u w:val="none"/>
        </w:rPr>
        <w:t>关于</w:t>
      </w:r>
      <w:r>
        <w:rPr>
          <w:rStyle w:val="6"/>
          <w:rFonts w:hint="eastAsia" w:ascii="微软简" w:hAnsi="宋体" w:eastAsia="微软简"/>
          <w:color w:val="000000"/>
          <w:sz w:val="44"/>
          <w:szCs w:val="44"/>
          <w:u w:val="none"/>
        </w:rPr>
        <w:t>天津冶金轧一钢铁集团有限公司家电配套</w:t>
      </w:r>
      <w:r>
        <w:rPr>
          <w:rStyle w:val="6"/>
          <w:rFonts w:hint="eastAsia" w:ascii="宋体" w:hAnsi="宋体" w:cs="宋体"/>
          <w:color w:val="000000"/>
          <w:sz w:val="44"/>
          <w:szCs w:val="44"/>
          <w:u w:val="none"/>
        </w:rPr>
        <w:t xml:space="preserve">      </w:t>
      </w:r>
      <w:r>
        <w:rPr>
          <w:rStyle w:val="6"/>
          <w:rFonts w:hint="eastAsia" w:ascii="微软简" w:hAnsi="宋体" w:eastAsia="微软简"/>
          <w:color w:val="000000"/>
          <w:sz w:val="44"/>
          <w:szCs w:val="44"/>
          <w:u w:val="none"/>
        </w:rPr>
        <w:t>冷轧薄板深加工彩涂板</w:t>
      </w:r>
      <w:r>
        <w:rPr>
          <w:rStyle w:val="6"/>
          <w:rFonts w:hint="eastAsia" w:ascii="微软简" w:hAnsi="宋体" w:eastAsia="微软简"/>
          <w:b/>
          <w:sz w:val="44"/>
          <w:szCs w:val="44"/>
          <w:u w:val="none"/>
        </w:rPr>
        <w:t>项目</w:t>
      </w:r>
      <w:r>
        <w:rPr>
          <w:rStyle w:val="6"/>
          <w:rFonts w:hint="eastAsia" w:ascii="微软简" w:hAnsi="宋体" w:eastAsia="微软简"/>
          <w:b/>
          <w:kern w:val="0"/>
          <w:sz w:val="44"/>
          <w:szCs w:val="44"/>
          <w:u w:val="none"/>
        </w:rPr>
        <w:t>环境影响报告书</w:t>
      </w:r>
      <w:r>
        <w:rPr>
          <w:rStyle w:val="6"/>
          <w:rFonts w:hint="eastAsia" w:ascii="微软简" w:hAnsi="宋体" w:eastAsia="微软简"/>
          <w:sz w:val="44"/>
          <w:szCs w:val="44"/>
          <w:u w:val="none"/>
        </w:rPr>
        <w:t>的批复</w:t>
      </w:r>
    </w:p>
    <w:p>
      <w:pPr>
        <w:rPr>
          <w:rStyle w:val="6"/>
          <w:rFonts w:ascii="宋体" w:hAnsi="宋体"/>
          <w:sz w:val="44"/>
          <w:szCs w:val="44"/>
          <w:u w:val="none"/>
        </w:rPr>
      </w:pPr>
    </w:p>
    <w:p>
      <w:pPr>
        <w:spacing w:line="360" w:lineRule="auto"/>
        <w:rPr>
          <w:rStyle w:val="6"/>
          <w:rFonts w:ascii="仿宋_GB2312" w:hAnsi="仿宋" w:eastAsia="仿宋_GB2312"/>
          <w:sz w:val="32"/>
          <w:szCs w:val="32"/>
          <w:u w:val="none"/>
        </w:rPr>
      </w:pPr>
      <w:r>
        <w:rPr>
          <w:rStyle w:val="6"/>
          <w:rFonts w:hint="eastAsia" w:ascii="仿宋_GB2312" w:hAnsi="仿宋" w:eastAsia="仿宋_GB2312"/>
          <w:color w:val="000000"/>
          <w:sz w:val="32"/>
          <w:szCs w:val="32"/>
          <w:u w:val="none"/>
        </w:rPr>
        <w:t>天津冶金轧一钢铁集团有限公司</w:t>
      </w:r>
      <w:r>
        <w:rPr>
          <w:rStyle w:val="6"/>
          <w:rFonts w:hint="eastAsia" w:ascii="仿宋_GB2312" w:hAnsi="仿宋" w:eastAsia="仿宋_GB2312"/>
          <w:sz w:val="32"/>
          <w:szCs w:val="32"/>
          <w:u w:val="none"/>
        </w:rPr>
        <w:t>：</w:t>
      </w:r>
    </w:p>
    <w:p>
      <w:pPr>
        <w:spacing w:line="360" w:lineRule="auto"/>
        <w:ind w:firstLine="566" w:firstLineChars="177"/>
        <w:rPr>
          <w:rStyle w:val="6"/>
          <w:rFonts w:ascii="仿宋_GB2312" w:hAnsi="仿宋" w:eastAsia="仿宋_GB2312"/>
          <w:sz w:val="32"/>
          <w:szCs w:val="32"/>
          <w:u w:val="none"/>
        </w:rPr>
      </w:pPr>
      <w:r>
        <w:rPr>
          <w:rStyle w:val="6"/>
          <w:rFonts w:hint="eastAsia" w:ascii="仿宋_GB2312" w:hAnsi="仿宋" w:eastAsia="仿宋_GB2312"/>
          <w:sz w:val="32"/>
          <w:szCs w:val="32"/>
          <w:u w:val="none"/>
        </w:rPr>
        <w:t>你公司呈报的《天津冶金轧一钢铁集团有限公司家电配套冷轧薄板深加工彩涂板项目</w:t>
      </w:r>
      <w:r>
        <w:rPr>
          <w:rStyle w:val="6"/>
          <w:rFonts w:hint="eastAsia" w:ascii="仿宋_GB2312" w:hAnsi="仿宋" w:eastAsia="仿宋_GB2312"/>
          <w:kern w:val="0"/>
          <w:sz w:val="32"/>
          <w:szCs w:val="32"/>
          <w:u w:val="none"/>
        </w:rPr>
        <w:t>环境影响报告书</w:t>
      </w:r>
      <w:r>
        <w:rPr>
          <w:rStyle w:val="6"/>
          <w:rFonts w:hint="eastAsia" w:ascii="仿宋_GB2312" w:hAnsi="仿宋" w:eastAsia="仿宋_GB2312"/>
          <w:sz w:val="32"/>
          <w:szCs w:val="32"/>
          <w:u w:val="none"/>
        </w:rPr>
        <w:t>》（以下简称“报告书”）、《关于天津冶金轧一钢铁集团有限公司家电配套冷轧薄板深加工彩涂板项目</w:t>
      </w:r>
      <w:r>
        <w:rPr>
          <w:rStyle w:val="6"/>
          <w:rFonts w:hint="eastAsia" w:ascii="仿宋_GB2312" w:hAnsi="仿宋" w:eastAsia="仿宋_GB2312"/>
          <w:kern w:val="0"/>
          <w:sz w:val="32"/>
          <w:szCs w:val="32"/>
          <w:u w:val="none"/>
        </w:rPr>
        <w:t>环境影响报告书的技术评估报告</w:t>
      </w:r>
      <w:r>
        <w:rPr>
          <w:rStyle w:val="6"/>
          <w:rFonts w:hint="eastAsia" w:ascii="仿宋_GB2312" w:hAnsi="仿宋" w:eastAsia="仿宋_GB2312"/>
          <w:sz w:val="32"/>
          <w:szCs w:val="32"/>
          <w:u w:val="none"/>
        </w:rPr>
        <w:t>》收悉。经研究，现批复如下：</w:t>
      </w:r>
    </w:p>
    <w:p>
      <w:pPr>
        <w:pStyle w:val="17"/>
        <w:numPr>
          <w:ilvl w:val="0"/>
          <w:numId w:val="1"/>
        </w:numPr>
        <w:spacing w:line="360" w:lineRule="auto"/>
        <w:ind w:firstLine="566" w:firstLineChars="177"/>
        <w:rPr>
          <w:rStyle w:val="6"/>
          <w:rFonts w:ascii="仿宋_GB2312" w:hAnsi="仿宋" w:eastAsia="仿宋_GB2312"/>
          <w:sz w:val="32"/>
          <w:szCs w:val="32"/>
          <w:u w:val="none"/>
        </w:rPr>
      </w:pPr>
      <w:r>
        <w:rPr>
          <w:rStyle w:val="6"/>
          <w:rFonts w:hint="eastAsia" w:ascii="仿宋_GB2312" w:hAnsi="仿宋" w:eastAsia="仿宋_GB2312"/>
          <w:sz w:val="32"/>
          <w:szCs w:val="32"/>
          <w:u w:val="none"/>
        </w:rPr>
        <w:t>天津冶金轧一钢铁集团有限公司（以下简称“该项目”）位于天津市滨海新区大港经济开发区朝霞道396号，厂区占地面积333333平方米，建有主生产厂区、循环水处理站、废水处理站、脱盐水站、空压站、锅炉房等配套设施，生产结构为年产带钢90万吨（酸洗卷30万吨，冷轧板卷30万吨，热镀锌卷30万吨）。为了满足市场发展需要，该公司投资14000万元建设家电配套冷轧薄板深加工彩涂板项目，该项目于2015年建成，现主动履行环保手续。项目主要已建工程内容为利用现有车间安装22万吨/年彩涂板生产线1条及附属设施。项目环保投资750万元，环保投资占比5.36%。投产后利用现有热镀锌卷22万吨年产彩涂板22万吨，全厂保持90万吨带钢产能不变，预计2020年11月投产。</w:t>
      </w:r>
    </w:p>
    <w:p>
      <w:pPr>
        <w:pStyle w:val="17"/>
        <w:numPr>
          <w:ilvl w:val="0"/>
          <w:numId w:val="1"/>
        </w:numPr>
        <w:spacing w:line="360" w:lineRule="auto"/>
        <w:ind w:firstLine="566" w:firstLineChars="177"/>
        <w:rPr>
          <w:rStyle w:val="6"/>
          <w:rFonts w:ascii="仿宋_GB2312" w:hAnsi="仿宋" w:eastAsia="仿宋_GB2312"/>
          <w:sz w:val="32"/>
          <w:szCs w:val="32"/>
          <w:u w:val="none"/>
        </w:rPr>
      </w:pPr>
      <w:r>
        <w:rPr>
          <w:rStyle w:val="6"/>
          <w:rFonts w:hint="eastAsia" w:ascii="仿宋_GB2312" w:hAnsi="仿宋" w:eastAsia="仿宋_GB2312"/>
          <w:sz w:val="32"/>
          <w:szCs w:val="32"/>
          <w:u w:val="none"/>
        </w:rPr>
        <w:t>2020年9月15日至2020年9月27日，我中心将该项目受理情况进行公示；2020年9月29日至10月12日，我中心将该项目拟批复情况进行公示；根据公示期间公众反馈意见、环评报告结论，在严格落实环评报告所提出的各项污染防治措施、确保各类污染物稳定达标的前提下，同意该项目建设。</w:t>
      </w:r>
    </w:p>
    <w:p>
      <w:pPr>
        <w:spacing w:line="360" w:lineRule="auto"/>
        <w:ind w:firstLine="566" w:firstLineChars="177"/>
        <w:rPr>
          <w:rStyle w:val="6"/>
          <w:rFonts w:ascii="仿宋_GB2312" w:hAnsi="仿宋" w:eastAsia="仿宋_GB2312"/>
          <w:sz w:val="32"/>
          <w:szCs w:val="32"/>
          <w:u w:val="none"/>
        </w:rPr>
      </w:pPr>
      <w:r>
        <w:rPr>
          <w:rStyle w:val="6"/>
          <w:rFonts w:hint="eastAsia" w:ascii="仿宋_GB2312" w:hAnsi="仿宋" w:eastAsia="仿宋_GB2312"/>
          <w:sz w:val="32"/>
          <w:szCs w:val="32"/>
          <w:u w:val="none"/>
          <w:lang w:eastAsia="zh-CN"/>
        </w:rPr>
        <w:t>三</w:t>
      </w:r>
      <w:bookmarkStart w:id="0" w:name="_GoBack"/>
      <w:bookmarkEnd w:id="0"/>
      <w:r>
        <w:rPr>
          <w:rStyle w:val="6"/>
          <w:rFonts w:hint="eastAsia" w:ascii="仿宋_GB2312" w:hAnsi="仿宋" w:eastAsia="仿宋_GB2312"/>
          <w:sz w:val="32"/>
          <w:szCs w:val="32"/>
          <w:u w:val="none"/>
        </w:rPr>
        <w:t>、项目运营期间，建设单位应重点做好以下工作：</w:t>
      </w:r>
    </w:p>
    <w:p>
      <w:pPr>
        <w:pStyle w:val="17"/>
        <w:spacing w:line="360" w:lineRule="auto"/>
        <w:ind w:firstLine="566" w:firstLineChars="177"/>
        <w:contextualSpacing/>
        <w:rPr>
          <w:rStyle w:val="6"/>
          <w:rFonts w:ascii="仿宋_GB2312" w:hAnsi="仿宋" w:eastAsia="仿宋_GB2312"/>
          <w:sz w:val="32"/>
          <w:szCs w:val="32"/>
          <w:u w:val="none"/>
        </w:rPr>
      </w:pPr>
      <w:r>
        <w:rPr>
          <w:rStyle w:val="6"/>
          <w:rFonts w:hint="eastAsia" w:ascii="仿宋_GB2312" w:hAnsi="仿宋" w:eastAsia="仿宋_GB2312"/>
          <w:sz w:val="32"/>
          <w:szCs w:val="32"/>
          <w:u w:val="none"/>
        </w:rPr>
        <w:t>1、本项目无新增人员，无新增生活污水，新增生产废水包括含油、含碱废水与含盐浓水；脱脂阶段产生的含油、含碱废水排入厂区现有综合废水处理站的含油含碱废水处理系统，处理后全部通过中水回用系统的循环水池作为循环水补充水；除盐水系统产生的浓水排至中水回用系统的反渗透装置处理后，70%可回用至循环水池，剩下 30%作为浓盐水通过厂区总排口最终排放至滨海新区大港港东新城污水处理厂进一步处理。</w:t>
      </w:r>
    </w:p>
    <w:p>
      <w:pPr>
        <w:pStyle w:val="15"/>
        <w:spacing w:line="360" w:lineRule="auto"/>
        <w:ind w:firstLine="566" w:firstLineChars="177"/>
        <w:contextualSpacing/>
        <w:rPr>
          <w:rStyle w:val="6"/>
          <w:rFonts w:ascii="仿宋_GB2312" w:hAnsi="仿宋" w:eastAsia="仿宋_GB2312"/>
          <w:sz w:val="32"/>
          <w:u w:val="none"/>
        </w:rPr>
      </w:pPr>
      <w:r>
        <w:rPr>
          <w:rStyle w:val="6"/>
          <w:rFonts w:hint="eastAsia" w:ascii="仿宋_GB2312" w:hAnsi="仿宋" w:eastAsia="仿宋_GB2312"/>
          <w:sz w:val="32"/>
          <w:u w:val="none"/>
        </w:rPr>
        <w:t>2、严格落实大气污染防治措施，脱脂段产生的碱雾经集气口收集后，由1套碱雾洗涤器处理后，通过1根25m高排气筒P1达标排放；化涂烘干工序产生的氟化物，经化涂炉排风口收集后，由碱液洗涤器处理，尾气通过一根 25m 高排气筒 P2达标 排放；调漆、初涂、精涂、固化工序产生的有机废气、异味气体经 DTO 焚烧炉焚烧分解，焚烧使用天然气助燃并经过余热利用，烟气与有机废气合并通过一根 25m 高排气筒 P3 达标排放。项目单位需按照《天津市涉气工业污染源自动监控系统建设工作方案》文件相关要求执行，严格控制无组织废气排放，确保厂界大气污染物达标排放。</w:t>
      </w:r>
    </w:p>
    <w:p>
      <w:pPr>
        <w:spacing w:line="360" w:lineRule="auto"/>
        <w:ind w:firstLine="566" w:firstLineChars="177"/>
        <w:rPr>
          <w:rStyle w:val="6"/>
          <w:rFonts w:ascii="仿宋_GB2312" w:hAnsi="仿宋" w:eastAsia="仿宋_GB2312"/>
          <w:sz w:val="32"/>
          <w:szCs w:val="32"/>
          <w:u w:val="none"/>
        </w:rPr>
      </w:pPr>
      <w:r>
        <w:rPr>
          <w:rStyle w:val="6"/>
          <w:rFonts w:hint="eastAsia" w:ascii="仿宋_GB2312" w:hAnsi="仿宋" w:eastAsia="仿宋_GB2312"/>
          <w:sz w:val="32"/>
          <w:szCs w:val="32"/>
          <w:u w:val="none"/>
        </w:rPr>
        <w:t>3、项目实施后，根据天津市滨海新区生态环境局《关于天津冶金轧一钢铁集团有限公司家电配套冷轧薄板深加工彩涂板项目新增主要污染物总量来源的确认意见》，上述新增污染物总量指标均有来源。</w:t>
      </w:r>
    </w:p>
    <w:p>
      <w:pPr>
        <w:spacing w:line="360" w:lineRule="auto"/>
        <w:ind w:firstLine="566" w:firstLineChars="177"/>
        <w:rPr>
          <w:rStyle w:val="6"/>
          <w:rFonts w:ascii="仿宋_GB2312" w:hAnsi="仿宋" w:eastAsia="仿宋_GB2312"/>
          <w:sz w:val="32"/>
          <w:szCs w:val="32"/>
          <w:u w:val="none"/>
        </w:rPr>
      </w:pPr>
      <w:r>
        <w:rPr>
          <w:rStyle w:val="6"/>
          <w:rFonts w:hint="eastAsia" w:ascii="仿宋_GB2312" w:hAnsi="仿宋" w:eastAsia="仿宋_GB2312"/>
          <w:sz w:val="32"/>
          <w:szCs w:val="32"/>
          <w:u w:val="none"/>
        </w:rPr>
        <w:t>4、通过选用低噪声设备、减振、隔声等措施，风机采用消声降噪措施，确保厂界噪声达标排放。</w:t>
      </w:r>
    </w:p>
    <w:p>
      <w:pPr>
        <w:spacing w:line="360" w:lineRule="auto"/>
        <w:ind w:firstLine="566" w:firstLineChars="177"/>
        <w:rPr>
          <w:rStyle w:val="6"/>
          <w:rFonts w:ascii="仿宋_GB2312" w:hAnsi="仿宋" w:eastAsia="仿宋_GB2312"/>
          <w:sz w:val="32"/>
          <w:szCs w:val="32"/>
          <w:u w:val="none"/>
        </w:rPr>
      </w:pPr>
      <w:r>
        <w:rPr>
          <w:rStyle w:val="6"/>
          <w:rFonts w:hint="eastAsia" w:ascii="仿宋_GB2312" w:hAnsi="仿宋" w:eastAsia="仿宋_GB2312"/>
          <w:sz w:val="32"/>
          <w:szCs w:val="32"/>
          <w:u w:val="none"/>
        </w:rPr>
        <w:t>5、做好各类固体废物的收集、贮存、运输和处置,做到资源化、减量化、无害化。一般固废包括钢铁边角料、橡胶废渣由物资回收部门定期回收。废油、底钝化液、废机油、废桶、污泥等危险废物依托现有危废暂存间暂存，设专用容器分类存放，妥善保管，采取带有防渗漏、防雨淋、防流失等措施，并交有资质单位定期运往指定地点。在危险废物的储存和运输过程中应注意安全性，防止泄漏和扩散，确保不对周边环境产生二次污染。</w:t>
      </w:r>
    </w:p>
    <w:p>
      <w:pPr>
        <w:spacing w:line="360" w:lineRule="auto"/>
        <w:ind w:firstLine="566" w:firstLineChars="177"/>
        <w:rPr>
          <w:rStyle w:val="6"/>
          <w:rFonts w:ascii="仿宋_GB2312" w:hAnsi="仿宋" w:eastAsia="仿宋_GB2312"/>
          <w:sz w:val="32"/>
          <w:szCs w:val="32"/>
          <w:u w:val="none"/>
        </w:rPr>
      </w:pPr>
      <w:r>
        <w:rPr>
          <w:rStyle w:val="6"/>
          <w:rFonts w:hint="eastAsia" w:ascii="仿宋_GB2312" w:hAnsi="仿宋" w:eastAsia="仿宋_GB2312"/>
          <w:sz w:val="32"/>
          <w:szCs w:val="32"/>
          <w:u w:val="none"/>
        </w:rPr>
        <w:t>6、落实地下水、土壤各项环保措施。对工艺、管道、设备、污水储存、处理构筑物、污水收集、排放管道、管线敷设等从源头管控，严格检查，防止废水的跑、冒、滴、漏，将废水泄漏的环境风险事故降低到最低程度；厂区采用地面防渗工程设计、分区防控、地下水污染监控等措施；制定实施突发性事故应急预案，防止污染地下水和土壤。</w:t>
      </w:r>
    </w:p>
    <w:p>
      <w:pPr>
        <w:spacing w:line="360" w:lineRule="auto"/>
        <w:ind w:firstLine="566" w:firstLineChars="177"/>
        <w:rPr>
          <w:rFonts w:ascii="仿宋_GB2312" w:hAnsi="仿宋" w:eastAsia="仿宋_GB2312" w:cs="仿宋_GB2312"/>
          <w:sz w:val="32"/>
          <w:szCs w:val="32"/>
          <w:u w:val="none"/>
        </w:rPr>
      </w:pPr>
      <w:r>
        <w:rPr>
          <w:rStyle w:val="6"/>
          <w:rFonts w:hint="eastAsia" w:ascii="仿宋_GB2312" w:hAnsi="仿宋" w:eastAsia="仿宋_GB2312"/>
          <w:sz w:val="32"/>
          <w:szCs w:val="32"/>
          <w:u w:val="none"/>
        </w:rPr>
        <w:t>7、项目的主要风险类型为油漆涂料等危险物质的泄露事故。严格落实报告中提出的风险事故的防范措施、减缓措施；加强对环境风险的防治工作，强化管理、制定突发事件应急预案，防止发生环境事故和次生环境事故。</w:t>
      </w:r>
      <w:r>
        <w:rPr>
          <w:rFonts w:hint="eastAsia" w:ascii="仿宋_GB2312" w:hAnsi="仿宋" w:eastAsia="仿宋_GB2312" w:cs="仿宋_GB2312"/>
          <w:sz w:val="32"/>
          <w:szCs w:val="32"/>
          <w:u w:val="none"/>
        </w:rPr>
        <w:t>按照《关于做好环评审批与应急管理联动的函》的要求，开展安全风险辨识。</w:t>
      </w:r>
    </w:p>
    <w:p>
      <w:pPr>
        <w:spacing w:line="360" w:lineRule="auto"/>
        <w:ind w:firstLine="723" w:firstLineChars="226"/>
        <w:rPr>
          <w:rStyle w:val="6"/>
          <w:rFonts w:ascii="仿宋_GB2312" w:hAnsi="仿宋" w:eastAsia="仿宋_GB2312"/>
          <w:sz w:val="32"/>
          <w:szCs w:val="32"/>
          <w:u w:val="none"/>
        </w:rPr>
      </w:pPr>
    </w:p>
    <w:p>
      <w:pPr>
        <w:spacing w:line="360" w:lineRule="auto"/>
        <w:ind w:firstLine="566" w:firstLineChars="177"/>
        <w:rPr>
          <w:rStyle w:val="6"/>
          <w:rFonts w:ascii="仿宋_GB2312" w:hAnsi="仿宋" w:eastAsia="仿宋_GB2312"/>
          <w:sz w:val="32"/>
          <w:szCs w:val="32"/>
          <w:u w:val="none"/>
        </w:rPr>
      </w:pPr>
      <w:r>
        <w:rPr>
          <w:rStyle w:val="6"/>
          <w:rFonts w:hint="eastAsia" w:ascii="仿宋_GB2312" w:hAnsi="仿宋" w:eastAsia="仿宋_GB2312"/>
          <w:sz w:val="32"/>
          <w:szCs w:val="32"/>
          <w:u w:val="none"/>
        </w:rPr>
        <w:t xml:space="preserve"> 8、按照相关技术要求做好排污口规范化建设工作，项目排污口规范化设置应与主体工程同时进行。按照相关规定设置规范的采样点，悬挂符合要求的标识牌。 </w:t>
      </w:r>
    </w:p>
    <w:p>
      <w:pPr>
        <w:spacing w:line="360" w:lineRule="auto"/>
        <w:ind w:firstLine="566" w:firstLineChars="177"/>
        <w:rPr>
          <w:rStyle w:val="6"/>
          <w:rFonts w:ascii="仿宋_GB2312" w:hAnsi="仿宋" w:eastAsia="仿宋_GB2312"/>
          <w:sz w:val="32"/>
          <w:szCs w:val="32"/>
          <w:u w:val="none"/>
        </w:rPr>
      </w:pPr>
      <w:r>
        <w:rPr>
          <w:rStyle w:val="6"/>
          <w:rFonts w:hint="eastAsia" w:ascii="仿宋_GB2312" w:hAnsi="仿宋" w:eastAsia="仿宋_GB2312"/>
          <w:sz w:val="32"/>
          <w:szCs w:val="32"/>
          <w:u w:val="none"/>
        </w:rPr>
        <w:t xml:space="preserve">四、若建设项目的性质、规模、地点、生产工艺或防治污染的措施发生重大变动，重新报批建设项目的环境影响评价文件。 </w:t>
      </w:r>
    </w:p>
    <w:p>
      <w:pPr>
        <w:spacing w:line="360" w:lineRule="auto"/>
        <w:ind w:firstLine="566" w:firstLineChars="177"/>
        <w:rPr>
          <w:rStyle w:val="6"/>
          <w:rFonts w:ascii="仿宋_GB2312" w:hAnsi="仿宋" w:eastAsia="仿宋_GB2312"/>
          <w:sz w:val="32"/>
          <w:szCs w:val="32"/>
          <w:u w:val="none"/>
        </w:rPr>
      </w:pPr>
      <w:r>
        <w:rPr>
          <w:rStyle w:val="6"/>
          <w:rFonts w:hint="eastAsia" w:ascii="仿宋_GB2312" w:hAnsi="仿宋" w:eastAsia="仿宋_GB2312"/>
          <w:sz w:val="32"/>
          <w:szCs w:val="32"/>
          <w:u w:val="none"/>
        </w:rPr>
        <w:t xml:space="preserve">五、你公司项目建设应严格执行环境保护设施与主体工程同时设计、同时施工、同时投产使用的“三同时”管理制度。项目按规定程序办理环境保护验收，经验收合格后方可正式投入运营。  </w:t>
      </w:r>
    </w:p>
    <w:p>
      <w:pPr>
        <w:spacing w:line="360" w:lineRule="auto"/>
        <w:ind w:firstLine="566" w:firstLineChars="177"/>
        <w:rPr>
          <w:rStyle w:val="6"/>
          <w:rFonts w:ascii="仿宋_GB2312" w:hAnsi="仿宋" w:eastAsia="仿宋_GB2312"/>
          <w:sz w:val="32"/>
          <w:szCs w:val="32"/>
          <w:u w:val="none"/>
        </w:rPr>
      </w:pPr>
      <w:r>
        <w:rPr>
          <w:rStyle w:val="6"/>
          <w:rFonts w:hint="eastAsia" w:ascii="仿宋_GB2312" w:hAnsi="仿宋" w:eastAsia="仿宋_GB2312"/>
          <w:sz w:val="32"/>
          <w:szCs w:val="32"/>
          <w:u w:val="none"/>
        </w:rPr>
        <w:t>六、该项目执行以下环境标准：</w:t>
      </w:r>
    </w:p>
    <w:p>
      <w:pPr>
        <w:pStyle w:val="19"/>
        <w:snapToGrid w:val="0"/>
        <w:ind w:firstLine="566" w:firstLineChars="177"/>
        <w:jc w:val="left"/>
        <w:rPr>
          <w:rStyle w:val="6"/>
          <w:rFonts w:ascii="仿宋_GB2312" w:hAnsi="仿宋" w:eastAsia="仿宋_GB2312"/>
          <w:sz w:val="32"/>
          <w:szCs w:val="32"/>
          <w:u w:val="none"/>
        </w:rPr>
      </w:pPr>
      <w:r>
        <w:rPr>
          <w:rStyle w:val="6"/>
          <w:rFonts w:hint="eastAsia" w:ascii="仿宋_GB2312" w:hAnsi="仿宋" w:eastAsia="仿宋_GB2312"/>
          <w:sz w:val="32"/>
          <w:szCs w:val="32"/>
          <w:u w:val="none"/>
        </w:rPr>
        <w:t>1、《轧钢工业大气污染物排放标准》（GB28665-2012）表3；</w:t>
      </w:r>
    </w:p>
    <w:p>
      <w:pPr>
        <w:pStyle w:val="19"/>
        <w:snapToGrid w:val="0"/>
        <w:ind w:firstLine="566" w:firstLineChars="177"/>
        <w:jc w:val="left"/>
        <w:rPr>
          <w:rStyle w:val="6"/>
          <w:rFonts w:ascii="仿宋_GB2312" w:hAnsi="仿宋" w:eastAsia="仿宋_GB2312"/>
          <w:sz w:val="32"/>
          <w:szCs w:val="32"/>
          <w:u w:val="none"/>
        </w:rPr>
      </w:pPr>
      <w:r>
        <w:rPr>
          <w:rStyle w:val="6"/>
          <w:rFonts w:hint="eastAsia" w:ascii="仿宋_GB2312" w:hAnsi="仿宋" w:eastAsia="仿宋_GB2312"/>
          <w:sz w:val="32"/>
          <w:szCs w:val="32"/>
          <w:u w:val="none"/>
        </w:rPr>
        <w:t>2、《大气污染物综合排放标准》（GB16297-1996）表2；</w:t>
      </w:r>
    </w:p>
    <w:p>
      <w:pPr>
        <w:pStyle w:val="19"/>
        <w:snapToGrid w:val="0"/>
        <w:ind w:firstLine="566" w:firstLineChars="177"/>
        <w:jc w:val="left"/>
        <w:rPr>
          <w:rStyle w:val="6"/>
          <w:rFonts w:ascii="仿宋_GB2312" w:hAnsi="仿宋" w:eastAsia="仿宋_GB2312"/>
          <w:sz w:val="32"/>
          <w:szCs w:val="32"/>
          <w:u w:val="none"/>
        </w:rPr>
      </w:pPr>
      <w:r>
        <w:rPr>
          <w:rStyle w:val="6"/>
          <w:rFonts w:hint="eastAsia" w:ascii="仿宋_GB2312" w:hAnsi="仿宋" w:eastAsia="仿宋_GB2312"/>
          <w:sz w:val="32"/>
          <w:szCs w:val="32"/>
          <w:u w:val="none"/>
        </w:rPr>
        <w:t>3、《工业炉窑大气污染物排放标准》（DB12/556-2015）；</w:t>
      </w:r>
    </w:p>
    <w:p>
      <w:pPr>
        <w:pStyle w:val="19"/>
        <w:snapToGrid w:val="0"/>
        <w:ind w:firstLine="566" w:firstLineChars="177"/>
        <w:rPr>
          <w:rStyle w:val="6"/>
          <w:rFonts w:ascii="仿宋_GB2312" w:hAnsi="仿宋" w:eastAsia="仿宋_GB2312"/>
          <w:sz w:val="32"/>
          <w:szCs w:val="32"/>
          <w:u w:val="none"/>
        </w:rPr>
      </w:pPr>
      <w:r>
        <w:rPr>
          <w:rStyle w:val="6"/>
          <w:rFonts w:hint="eastAsia" w:ascii="仿宋_GB2312" w:hAnsi="仿宋" w:eastAsia="仿宋_GB2312"/>
          <w:sz w:val="32"/>
          <w:szCs w:val="32"/>
          <w:u w:val="none"/>
        </w:rPr>
        <w:t>4、《天津市工业企业挥发性有机物排放控制标准》（DB12/524-2014）；</w:t>
      </w:r>
    </w:p>
    <w:p>
      <w:pPr>
        <w:pStyle w:val="19"/>
        <w:snapToGrid w:val="0"/>
        <w:ind w:firstLine="566" w:firstLineChars="177"/>
        <w:jc w:val="left"/>
        <w:rPr>
          <w:rStyle w:val="6"/>
          <w:rFonts w:ascii="仿宋_GB2312" w:hAnsi="仿宋" w:eastAsia="仿宋_GB2312"/>
          <w:sz w:val="32"/>
          <w:szCs w:val="32"/>
          <w:u w:val="none"/>
        </w:rPr>
      </w:pPr>
      <w:r>
        <w:rPr>
          <w:rStyle w:val="6"/>
          <w:rFonts w:hint="eastAsia" w:ascii="仿宋_GB2312" w:hAnsi="仿宋" w:eastAsia="仿宋_GB2312"/>
          <w:sz w:val="32"/>
          <w:szCs w:val="32"/>
          <w:u w:val="none"/>
        </w:rPr>
        <w:t>5、《恶臭污染物排放标准)》（DB12/059-2018）；</w:t>
      </w:r>
    </w:p>
    <w:p>
      <w:pPr>
        <w:pStyle w:val="19"/>
        <w:snapToGrid w:val="0"/>
        <w:ind w:firstLine="566" w:firstLineChars="177"/>
        <w:jc w:val="left"/>
        <w:rPr>
          <w:rStyle w:val="6"/>
          <w:rFonts w:ascii="仿宋_GB2312" w:hAnsi="仿宋" w:eastAsia="仿宋_GB2312"/>
          <w:sz w:val="32"/>
          <w:szCs w:val="32"/>
          <w:u w:val="none"/>
        </w:rPr>
      </w:pPr>
      <w:r>
        <w:rPr>
          <w:rStyle w:val="6"/>
          <w:rFonts w:hint="eastAsia" w:ascii="仿宋_GB2312" w:hAnsi="仿宋" w:eastAsia="仿宋_GB2312"/>
          <w:sz w:val="32"/>
          <w:szCs w:val="32"/>
          <w:u w:val="none"/>
        </w:rPr>
        <w:t>6、《工业企业厂界环境噪声排放标准》（GB12348-2008）2类；</w:t>
      </w:r>
    </w:p>
    <w:p>
      <w:pPr>
        <w:pStyle w:val="19"/>
        <w:snapToGrid w:val="0"/>
        <w:ind w:firstLine="566" w:firstLineChars="177"/>
        <w:jc w:val="left"/>
        <w:rPr>
          <w:rStyle w:val="6"/>
          <w:rFonts w:ascii="仿宋_GB2312" w:hAnsi="仿宋" w:eastAsia="仿宋_GB2312"/>
          <w:sz w:val="32"/>
          <w:szCs w:val="32"/>
          <w:u w:val="none"/>
        </w:rPr>
      </w:pPr>
      <w:r>
        <w:rPr>
          <w:rStyle w:val="6"/>
          <w:rFonts w:hint="eastAsia" w:ascii="仿宋_GB2312" w:hAnsi="仿宋" w:eastAsia="仿宋_GB2312"/>
          <w:sz w:val="32"/>
          <w:szCs w:val="32"/>
          <w:u w:val="none"/>
        </w:rPr>
        <w:t>7、《环境空气质量标准》（GB3095-2012）及2018年修改单；</w:t>
      </w:r>
    </w:p>
    <w:p>
      <w:pPr>
        <w:pStyle w:val="19"/>
        <w:snapToGrid w:val="0"/>
        <w:ind w:firstLine="566" w:firstLineChars="177"/>
        <w:jc w:val="left"/>
        <w:rPr>
          <w:rStyle w:val="6"/>
          <w:rFonts w:ascii="仿宋_GB2312" w:hAnsi="仿宋" w:eastAsia="仿宋_GB2312"/>
          <w:sz w:val="32"/>
          <w:szCs w:val="32"/>
          <w:u w:val="none"/>
        </w:rPr>
      </w:pPr>
      <w:r>
        <w:rPr>
          <w:rStyle w:val="6"/>
          <w:rFonts w:hint="eastAsia" w:ascii="仿宋_GB2312" w:hAnsi="仿宋" w:eastAsia="仿宋_GB2312"/>
          <w:sz w:val="32"/>
          <w:szCs w:val="32"/>
          <w:u w:val="none"/>
        </w:rPr>
        <w:t>8、《声环境质量标准》（GB3096-2008）2类；</w:t>
      </w:r>
    </w:p>
    <w:p>
      <w:pPr>
        <w:pStyle w:val="19"/>
        <w:snapToGrid w:val="0"/>
        <w:ind w:firstLine="566" w:firstLineChars="177"/>
        <w:jc w:val="left"/>
        <w:rPr>
          <w:rStyle w:val="6"/>
          <w:rFonts w:ascii="仿宋_GB2312" w:hAnsi="仿宋" w:eastAsia="仿宋_GB2312"/>
          <w:sz w:val="32"/>
          <w:szCs w:val="32"/>
          <w:u w:val="none"/>
        </w:rPr>
      </w:pPr>
      <w:r>
        <w:rPr>
          <w:rStyle w:val="6"/>
          <w:rFonts w:hint="eastAsia" w:ascii="仿宋_GB2312" w:hAnsi="仿宋" w:eastAsia="仿宋_GB2312"/>
          <w:sz w:val="32"/>
          <w:szCs w:val="32"/>
          <w:u w:val="none"/>
        </w:rPr>
        <w:t>9、《土壤环境质量 建设用地土壤污染风险管控标准（试行）》（GB36600-2018）;</w:t>
      </w:r>
    </w:p>
    <w:p>
      <w:pPr>
        <w:pStyle w:val="19"/>
        <w:snapToGrid w:val="0"/>
        <w:ind w:firstLine="566" w:firstLineChars="177"/>
        <w:jc w:val="left"/>
        <w:rPr>
          <w:rStyle w:val="6"/>
          <w:rFonts w:ascii="仿宋_GB2312" w:hAnsi="仿宋" w:eastAsia="仿宋_GB2312"/>
          <w:sz w:val="32"/>
          <w:szCs w:val="32"/>
          <w:u w:val="none"/>
        </w:rPr>
      </w:pPr>
      <w:r>
        <w:rPr>
          <w:rStyle w:val="6"/>
          <w:rFonts w:hint="eastAsia" w:ascii="仿宋_GB2312" w:hAnsi="仿宋" w:eastAsia="仿宋_GB2312"/>
          <w:sz w:val="32"/>
          <w:szCs w:val="32"/>
          <w:u w:val="none"/>
        </w:rPr>
        <w:t>10、《城市污水再生利用 工业用水水质》（GB/T19923-2005）；</w:t>
      </w:r>
    </w:p>
    <w:p>
      <w:pPr>
        <w:pStyle w:val="19"/>
        <w:snapToGrid w:val="0"/>
        <w:ind w:firstLine="566" w:firstLineChars="177"/>
        <w:jc w:val="left"/>
        <w:rPr>
          <w:rStyle w:val="6"/>
          <w:rFonts w:ascii="仿宋_GB2312" w:hAnsi="仿宋" w:eastAsia="仿宋_GB2312"/>
          <w:sz w:val="32"/>
          <w:szCs w:val="32"/>
          <w:u w:val="none"/>
        </w:rPr>
      </w:pPr>
      <w:r>
        <w:rPr>
          <w:rStyle w:val="6"/>
          <w:rFonts w:hint="eastAsia" w:ascii="仿宋_GB2312" w:hAnsi="仿宋" w:eastAsia="仿宋_GB2312"/>
          <w:sz w:val="32"/>
          <w:szCs w:val="32"/>
          <w:u w:val="none"/>
        </w:rPr>
        <w:t>11、《钢铁工业水污染物排放标准》（GB13456-2012）；</w:t>
      </w:r>
    </w:p>
    <w:p>
      <w:pPr>
        <w:pStyle w:val="19"/>
        <w:snapToGrid w:val="0"/>
        <w:ind w:firstLine="566" w:firstLineChars="177"/>
        <w:jc w:val="left"/>
        <w:rPr>
          <w:rStyle w:val="6"/>
          <w:rFonts w:ascii="仿宋_GB2312" w:hAnsi="仿宋" w:eastAsia="仿宋_GB2312"/>
          <w:sz w:val="32"/>
          <w:szCs w:val="32"/>
          <w:u w:val="none"/>
        </w:rPr>
      </w:pPr>
      <w:r>
        <w:rPr>
          <w:rStyle w:val="6"/>
          <w:rFonts w:hint="eastAsia" w:ascii="仿宋_GB2312" w:hAnsi="仿宋" w:eastAsia="仿宋_GB2312"/>
          <w:sz w:val="32"/>
          <w:szCs w:val="32"/>
          <w:u w:val="none"/>
        </w:rPr>
        <w:t>12、《危险废物贮存污染控制标准》（GB18597-2001及2013年修改单）；</w:t>
      </w:r>
    </w:p>
    <w:p>
      <w:pPr>
        <w:spacing w:line="360" w:lineRule="auto"/>
        <w:ind w:firstLine="566" w:firstLineChars="177"/>
        <w:jc w:val="left"/>
        <w:rPr>
          <w:rStyle w:val="6"/>
          <w:rFonts w:ascii="仿宋_GB2312" w:hAnsi="仿宋" w:eastAsia="仿宋_GB2312"/>
          <w:sz w:val="32"/>
          <w:szCs w:val="32"/>
          <w:u w:val="none"/>
        </w:rPr>
      </w:pPr>
      <w:r>
        <w:rPr>
          <w:rStyle w:val="6"/>
          <w:rFonts w:hint="eastAsia" w:ascii="仿宋_GB2312" w:hAnsi="仿宋" w:eastAsia="仿宋_GB2312"/>
          <w:sz w:val="32"/>
          <w:szCs w:val="32"/>
          <w:u w:val="none"/>
        </w:rPr>
        <w:t>13、《危险废物收集、贮存、运输技术规范》（HJ2025-2012）；</w:t>
      </w:r>
    </w:p>
    <w:p>
      <w:pPr>
        <w:spacing w:line="360" w:lineRule="auto"/>
        <w:ind w:firstLine="566" w:firstLineChars="177"/>
        <w:jc w:val="left"/>
        <w:rPr>
          <w:rStyle w:val="6"/>
          <w:rFonts w:ascii="仿宋_GB2312" w:hAnsi="仿宋" w:eastAsia="仿宋_GB2312"/>
          <w:sz w:val="32"/>
          <w:szCs w:val="32"/>
          <w:u w:val="none"/>
        </w:rPr>
      </w:pPr>
      <w:r>
        <w:rPr>
          <w:rStyle w:val="6"/>
          <w:rFonts w:hint="eastAsia" w:ascii="仿宋_GB2312" w:hAnsi="仿宋" w:eastAsia="仿宋_GB2312"/>
          <w:sz w:val="32"/>
          <w:szCs w:val="32"/>
          <w:u w:val="none"/>
        </w:rPr>
        <w:t>14、《一般工业固体废物贮存、处置场污染控制标准》（GB18599-2001）(2013年修改）。</w:t>
      </w:r>
    </w:p>
    <w:p>
      <w:pPr>
        <w:ind w:firstLine="1600" w:firstLineChars="500"/>
        <w:jc w:val="right"/>
        <w:rPr>
          <w:rStyle w:val="6"/>
          <w:rFonts w:ascii="仿宋_GB2312" w:hAnsi="仿宋" w:eastAsia="仿宋_GB2312"/>
          <w:sz w:val="32"/>
          <w:szCs w:val="32"/>
          <w:u w:val="none"/>
        </w:rPr>
      </w:pPr>
    </w:p>
    <w:p>
      <w:pPr>
        <w:ind w:firstLine="1600" w:firstLineChars="500"/>
        <w:jc w:val="right"/>
        <w:rPr>
          <w:rStyle w:val="6"/>
          <w:rFonts w:ascii="仿宋_GB2312" w:hAnsi="仿宋" w:eastAsia="仿宋_GB2312"/>
          <w:sz w:val="32"/>
          <w:szCs w:val="32"/>
          <w:u w:val="none"/>
        </w:rPr>
      </w:pPr>
      <w:r>
        <w:rPr>
          <w:rStyle w:val="6"/>
          <w:rFonts w:hint="eastAsia" w:ascii="仿宋_GB2312" w:hAnsi="仿宋" w:eastAsia="仿宋_GB2312"/>
          <w:sz w:val="32"/>
          <w:szCs w:val="32"/>
          <w:u w:val="none"/>
        </w:rPr>
        <w:t>2020年10月13日</w:t>
      </w:r>
    </w:p>
    <w:p>
      <w:pPr>
        <w:rPr>
          <w:rStyle w:val="6"/>
          <w:rFonts w:ascii="仿宋_GB2312" w:hAnsi="仿宋" w:eastAsia="仿宋_GB2312"/>
          <w:sz w:val="32"/>
          <w:szCs w:val="32"/>
        </w:rPr>
      </w:pPr>
    </w:p>
    <w:p>
      <w:pPr>
        <w:rPr>
          <w:rStyle w:val="6"/>
          <w:rFonts w:ascii="仿宋_GB2312" w:hAnsi="宋体" w:eastAsia="仿宋_GB2312"/>
          <w:sz w:val="32"/>
          <w:szCs w:val="32"/>
        </w:rPr>
      </w:pPr>
    </w:p>
    <w:sectPr>
      <w:footerReference r:id="rId5" w:type="first"/>
      <w:footerReference r:id="rId3" w:type="default"/>
      <w:footerReference r:id="rId4" w:type="even"/>
      <w:pgSz w:w="11906" w:h="16838"/>
      <w:pgMar w:top="2098" w:right="1474" w:bottom="1701"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
    <w:altName w:val="宋体"/>
    <w:panose1 w:val="00000000000000000000"/>
    <w:charset w:val="86"/>
    <w:family w:val="auto"/>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Style w:val="6"/>
        <w:rFonts w:ascii="仿宋_GB2312" w:eastAsia="仿宋_GB2312"/>
        <w:sz w:val="28"/>
        <w:szCs w:val="28"/>
      </w:rPr>
    </w:pPr>
  </w:p>
  <w:p>
    <w:pPr>
      <w:pStyle w:val="13"/>
      <w:rPr>
        <w:rStyle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6"/>
        <w:rFonts w:ascii="仿宋_GB2312" w:eastAsia="仿宋_GB2312"/>
        <w:sz w:val="28"/>
        <w:szCs w:val="28"/>
      </w:rPr>
    </w:pPr>
  </w:p>
  <w:p>
    <w:pPr>
      <w:pStyle w:val="13"/>
      <w:rPr>
        <w:rStyle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Style w:val="6"/>
        <w:rFonts w:ascii="仿宋_GB2312" w:eastAsia="仿宋_GB2312"/>
        <w:sz w:val="28"/>
        <w:szCs w:val="28"/>
      </w:rPr>
    </w:pPr>
  </w:p>
  <w:p>
    <w:pPr>
      <w:pStyle w:val="13"/>
      <w:rPr>
        <w:rStyle w:val="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272F"/>
    <w:multiLevelType w:val="singleLevel"/>
    <w:tmpl w:val="5C92272F"/>
    <w:lvl w:ilvl="0" w:tentative="0">
      <w:start w:val="1"/>
      <w:numFmt w:val="chineseCounting"/>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oNotUseMarginsForDrawingGridOrigin w:val="true"/>
  <w:drawingGridHorizontalOrigin w:val="1800"/>
  <w:drawingGridVerticalOrigin w:val="1440"/>
  <w:characterSpacingControl w:val="doNotCompres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96040D"/>
    <w:rsid w:val="00066073"/>
    <w:rsid w:val="000D179C"/>
    <w:rsid w:val="00107E58"/>
    <w:rsid w:val="00131D26"/>
    <w:rsid w:val="00136407"/>
    <w:rsid w:val="00202562"/>
    <w:rsid w:val="00207FAA"/>
    <w:rsid w:val="0024572A"/>
    <w:rsid w:val="00256027"/>
    <w:rsid w:val="00367BCF"/>
    <w:rsid w:val="003E36E5"/>
    <w:rsid w:val="0044228D"/>
    <w:rsid w:val="004A5B82"/>
    <w:rsid w:val="004B6619"/>
    <w:rsid w:val="00544EAB"/>
    <w:rsid w:val="00592331"/>
    <w:rsid w:val="005E26EB"/>
    <w:rsid w:val="00604F0C"/>
    <w:rsid w:val="00751FA6"/>
    <w:rsid w:val="007D388F"/>
    <w:rsid w:val="00853553"/>
    <w:rsid w:val="0094254F"/>
    <w:rsid w:val="0096040D"/>
    <w:rsid w:val="009917F0"/>
    <w:rsid w:val="009979E9"/>
    <w:rsid w:val="00A14C82"/>
    <w:rsid w:val="00A6442B"/>
    <w:rsid w:val="00A96D0F"/>
    <w:rsid w:val="00AB29C4"/>
    <w:rsid w:val="00BF1BF0"/>
    <w:rsid w:val="00BF28EF"/>
    <w:rsid w:val="00CB0D7F"/>
    <w:rsid w:val="00CF78A8"/>
    <w:rsid w:val="00D12A5E"/>
    <w:rsid w:val="00D43CE4"/>
    <w:rsid w:val="00D75DBA"/>
    <w:rsid w:val="00D8052D"/>
    <w:rsid w:val="00DA6A09"/>
    <w:rsid w:val="00DB5DC7"/>
    <w:rsid w:val="00DF55E3"/>
    <w:rsid w:val="00DF6FB2"/>
    <w:rsid w:val="00E743A3"/>
    <w:rsid w:val="00E95528"/>
    <w:rsid w:val="00EA59ED"/>
    <w:rsid w:val="00F21808"/>
    <w:rsid w:val="00F35F34"/>
    <w:rsid w:val="00F46A26"/>
    <w:rsid w:val="00F81547"/>
    <w:rsid w:val="00FF4BA6"/>
    <w:rsid w:val="22CD30F8"/>
    <w:rsid w:val="58C50A36"/>
    <w:rsid w:val="6ECF49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宋体"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u w:val="single"/>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NormalCharacter"/>
    <w:semiHidden/>
    <w:qFormat/>
    <w:uiPriority w:val="0"/>
  </w:style>
  <w:style w:type="table" w:customStyle="1" w:styleId="7">
    <w:name w:val="TableNormal"/>
    <w:semiHidden/>
    <w:qFormat/>
    <w:uiPriority w:val="0"/>
    <w:tblPr>
      <w:tblCellMar>
        <w:top w:w="0" w:type="dxa"/>
        <w:left w:w="0" w:type="dxa"/>
        <w:bottom w:w="0" w:type="dxa"/>
        <w:right w:w="0" w:type="dxa"/>
      </w:tblCellMar>
    </w:tblPr>
  </w:style>
  <w:style w:type="character" w:customStyle="1" w:styleId="8">
    <w:name w:val="PageNumber"/>
    <w:basedOn w:val="6"/>
    <w:qFormat/>
    <w:uiPriority w:val="0"/>
  </w:style>
  <w:style w:type="character" w:customStyle="1" w:styleId="9">
    <w:name w:val="UserStyle_0"/>
    <w:basedOn w:val="10"/>
    <w:qFormat/>
    <w:uiPriority w:val="0"/>
  </w:style>
  <w:style w:type="character" w:customStyle="1" w:styleId="10">
    <w:name w:val="UserStyle_1"/>
    <w:basedOn w:val="6"/>
    <w:link w:val="11"/>
    <w:qFormat/>
    <w:uiPriority w:val="0"/>
    <w:rPr>
      <w:kern w:val="2"/>
      <w:sz w:val="21"/>
      <w:szCs w:val="24"/>
    </w:rPr>
  </w:style>
  <w:style w:type="paragraph" w:customStyle="1" w:styleId="11">
    <w:name w:val="BodyText"/>
    <w:basedOn w:val="1"/>
    <w:link w:val="10"/>
    <w:qFormat/>
    <w:uiPriority w:val="0"/>
    <w:pPr>
      <w:spacing w:after="120"/>
    </w:pPr>
  </w:style>
  <w:style w:type="character" w:customStyle="1" w:styleId="12">
    <w:name w:val="UserStyle_2"/>
    <w:basedOn w:val="6"/>
    <w:link w:val="13"/>
    <w:qFormat/>
    <w:uiPriority w:val="0"/>
    <w:rPr>
      <w:kern w:val="2"/>
      <w:sz w:val="18"/>
      <w:szCs w:val="18"/>
    </w:rPr>
  </w:style>
  <w:style w:type="paragraph" w:customStyle="1" w:styleId="13">
    <w:name w:val="Footer"/>
    <w:basedOn w:val="1"/>
    <w:link w:val="12"/>
    <w:qFormat/>
    <w:uiPriority w:val="0"/>
    <w:pPr>
      <w:tabs>
        <w:tab w:val="center" w:pos="4153"/>
        <w:tab w:val="right" w:pos="8306"/>
      </w:tabs>
      <w:snapToGrid w:val="0"/>
      <w:jc w:val="left"/>
    </w:pPr>
    <w:rPr>
      <w:sz w:val="18"/>
      <w:szCs w:val="18"/>
    </w:rPr>
  </w:style>
  <w:style w:type="character" w:customStyle="1" w:styleId="14">
    <w:name w:val="UserStyle_3"/>
    <w:link w:val="15"/>
    <w:qFormat/>
    <w:uiPriority w:val="0"/>
    <w:rPr>
      <w:kern w:val="2"/>
      <w:sz w:val="21"/>
      <w:lang w:val="en-US" w:eastAsia="zh-CN" w:bidi="ar-SA"/>
    </w:rPr>
  </w:style>
  <w:style w:type="paragraph" w:customStyle="1" w:styleId="15">
    <w:name w:val="BodyText1I"/>
    <w:link w:val="14"/>
    <w:qFormat/>
    <w:uiPriority w:val="0"/>
    <w:pPr>
      <w:spacing w:after="120"/>
      <w:ind w:firstLine="420" w:firstLineChars="100"/>
      <w:jc w:val="both"/>
      <w:textAlignment w:val="baseline"/>
    </w:pPr>
    <w:rPr>
      <w:rFonts w:ascii="Times New Roman" w:hAnsi="Times New Roman" w:eastAsia="宋体" w:cs="Times New Roman"/>
      <w:kern w:val="2"/>
      <w:sz w:val="21"/>
      <w:szCs w:val="32"/>
      <w:u w:val="single"/>
      <w:lang w:val="en-US" w:eastAsia="zh-CN" w:bidi="ar-SA"/>
    </w:rPr>
  </w:style>
  <w:style w:type="character" w:customStyle="1" w:styleId="16">
    <w:name w:val="UserStyle_4"/>
    <w:link w:val="17"/>
    <w:qFormat/>
    <w:uiPriority w:val="0"/>
    <w:rPr>
      <w:kern w:val="24"/>
      <w:sz w:val="24"/>
    </w:rPr>
  </w:style>
  <w:style w:type="paragraph" w:customStyle="1" w:styleId="17">
    <w:name w:val="UserStyle_5"/>
    <w:basedOn w:val="1"/>
    <w:link w:val="16"/>
    <w:qFormat/>
    <w:uiPriority w:val="0"/>
    <w:pPr>
      <w:spacing w:line="480" w:lineRule="atLeast"/>
      <w:ind w:firstLine="482"/>
    </w:pPr>
    <w:rPr>
      <w:kern w:val="24"/>
      <w:sz w:val="24"/>
      <w:szCs w:val="20"/>
    </w:rPr>
  </w:style>
  <w:style w:type="character" w:customStyle="1" w:styleId="18">
    <w:name w:val="UserStyle_6"/>
    <w:link w:val="19"/>
    <w:qFormat/>
    <w:uiPriority w:val="0"/>
    <w:rPr>
      <w:kern w:val="2"/>
      <w:sz w:val="24"/>
      <w:szCs w:val="24"/>
    </w:rPr>
  </w:style>
  <w:style w:type="paragraph" w:customStyle="1" w:styleId="19">
    <w:name w:val="UserStyle_7"/>
    <w:basedOn w:val="1"/>
    <w:link w:val="18"/>
    <w:qFormat/>
    <w:uiPriority w:val="0"/>
    <w:pPr>
      <w:spacing w:line="360" w:lineRule="auto"/>
      <w:ind w:firstLine="200" w:firstLineChars="200"/>
    </w:pPr>
    <w:rPr>
      <w:sz w:val="24"/>
    </w:rPr>
  </w:style>
  <w:style w:type="paragraph" w:customStyle="1" w:styleId="20">
    <w:name w:val="Acetate"/>
    <w:basedOn w:val="1"/>
    <w:semiHidden/>
    <w:qFormat/>
    <w:uiPriority w:val="0"/>
    <w:rPr>
      <w:sz w:val="18"/>
      <w:szCs w:val="18"/>
    </w:rPr>
  </w:style>
  <w:style w:type="paragraph" w:customStyle="1" w:styleId="21">
    <w:name w:val="HtmlNormal"/>
    <w:basedOn w:val="1"/>
    <w:qFormat/>
    <w:uiPriority w:val="0"/>
    <w:pPr>
      <w:spacing w:before="100" w:beforeAutospacing="1" w:after="100" w:afterAutospacing="1"/>
      <w:jc w:val="left"/>
    </w:pPr>
    <w:rPr>
      <w:rFonts w:ascii="宋体" w:hAnsi="宋体"/>
      <w:kern w:val="0"/>
      <w:sz w:val="24"/>
    </w:rPr>
  </w:style>
  <w:style w:type="paragraph" w:customStyle="1" w:styleId="22">
    <w:name w:val="Header"/>
    <w:basedOn w:val="1"/>
    <w:qFormat/>
    <w:uiPriority w:val="0"/>
    <w:pPr>
      <w:tabs>
        <w:tab w:val="center" w:pos="4153"/>
        <w:tab w:val="right" w:pos="8306"/>
      </w:tabs>
      <w:snapToGrid w:val="0"/>
      <w:jc w:val="center"/>
    </w:pPr>
    <w:rPr>
      <w:sz w:val="18"/>
      <w:szCs w:val="18"/>
    </w:rPr>
  </w:style>
  <w:style w:type="paragraph" w:customStyle="1" w:styleId="23">
    <w:name w:val="179"/>
    <w:basedOn w:val="1"/>
    <w:qFormat/>
    <w:uiPriority w:val="0"/>
    <w:pPr>
      <w:ind w:firstLine="420" w:firstLineChars="200"/>
    </w:pPr>
    <w:rPr>
      <w:rFonts w:ascii="Calibri" w:hAnsi="Calibri"/>
      <w:szCs w:val="22"/>
    </w:rPr>
  </w:style>
  <w:style w:type="character" w:customStyle="1" w:styleId="24">
    <w:name w:val="页眉 Char"/>
    <w:basedOn w:val="5"/>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407</Words>
  <Characters>2320</Characters>
  <Lines>19</Lines>
  <Paragraphs>5</Paragraphs>
  <TotalTime>171</TotalTime>
  <ScaleCrop>false</ScaleCrop>
  <LinksUpToDate>false</LinksUpToDate>
  <CharactersWithSpaces>2722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2020-09-28T14:26:00Z</dcterms:created>
  <dc:creator>ndy</dc:creator>
  <cp:lastModifiedBy>kylin</cp:lastModifiedBy>
  <cp:lastPrinted>2020-10-14T08:52:00Z</cp:lastPrinted>
  <dcterms:modified xsi:type="dcterms:W3CDTF">2021-09-10T09:52:07Z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D87461E516C74AAC9E140C56966D8BB1</vt:lpwstr>
  </property>
</Properties>
</file>