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卫生健康领域基层政务公开标准目录</w:t>
      </w:r>
    </w:p>
    <w:p>
      <w:pPr>
        <w:jc w:val="center"/>
        <w:rPr>
          <w:rFonts w:hint="eastAsia" w:ascii="方正小标宋简体" w:hAnsi="方正小标宋简体" w:eastAsia="方正小标宋简体" w:cs="方正小标宋简体"/>
          <w:sz w:val="44"/>
          <w:szCs w:val="44"/>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 xml:space="preserve">独生子女父母奖励 </w:t>
      </w:r>
    </w:p>
    <w:p>
      <w:pPr>
        <w:numPr>
          <w:ilvl w:val="0"/>
          <w:numId w:val="2"/>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法律法规和政策文</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《天津市人口与计划生育法》</w:t>
      </w:r>
    </w:p>
    <w:p>
      <w:pPr>
        <w:numPr>
          <w:ilvl w:val="0"/>
          <w:numId w:val="2"/>
        </w:numPr>
        <w:ind w:left="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numPr>
          <w:ilvl w:val="0"/>
          <w:numId w:val="0"/>
        </w:numPr>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户口本、身份证与生育证明。</w:t>
      </w:r>
    </w:p>
    <w:p>
      <w:pPr>
        <w:numPr>
          <w:ilvl w:val="0"/>
          <w:numId w:val="2"/>
        </w:numPr>
        <w:ind w:left="0" w:leftChars="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受理范围及条件</w:t>
      </w:r>
    </w:p>
    <w:p>
      <w:pPr>
        <w:numPr>
          <w:ilvl w:val="0"/>
          <w:numId w:val="0"/>
        </w:numPr>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本镇域户籍且子女不满十四周岁的夫妻，2016年1月1日后出生地不符合条件。</w:t>
      </w:r>
    </w:p>
    <w:p>
      <w:pPr>
        <w:numPr>
          <w:ilvl w:val="0"/>
          <w:numId w:val="2"/>
        </w:numPr>
        <w:ind w:left="0" w:leftChars="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办理流程</w:t>
      </w:r>
    </w:p>
    <w:p>
      <w:pPr>
        <w:numPr>
          <w:ilvl w:val="0"/>
          <w:numId w:val="3"/>
        </w:numPr>
        <w:ind w:left="37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符合申领条件要求，领取《独生子女父母光荣证》的夫妻，凭《一孩生育服务证》、《婴儿出生证明》、夫妻双方身份证到村、镇申领。《一孩生育服务证》领取时间超过两年的，需村居出具相关婚育证明。</w:t>
      </w:r>
    </w:p>
    <w:p>
      <w:pPr>
        <w:numPr>
          <w:ilvl w:val="0"/>
          <w:numId w:val="3"/>
        </w:numPr>
        <w:ind w:left="37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对经审查符合领取条件的，进行登记，领取《独生子女父母光荣证》。</w:t>
      </w:r>
    </w:p>
    <w:p>
      <w:pPr>
        <w:numPr>
          <w:ilvl w:val="0"/>
          <w:numId w:val="2"/>
        </w:numPr>
        <w:ind w:left="0" w:leftChars="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咨询投诉渠道</w:t>
      </w:r>
    </w:p>
    <w:p>
      <w:pPr>
        <w:numPr>
          <w:ilvl w:val="0"/>
          <w:numId w:val="0"/>
        </w:numPr>
        <w:ind w:leftChars="100" w:firstLine="640" w:firstLineChars="200"/>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022-25332908</w:t>
      </w:r>
    </w:p>
    <w:p>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农村部分计划生育家庭奖励扶助 </w:t>
      </w:r>
    </w:p>
    <w:p>
      <w:pPr>
        <w:numPr>
          <w:ilvl w:val="0"/>
          <w:numId w:val="4"/>
        </w:numPr>
        <w:ind w:left="32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法律法规和政策文</w:t>
      </w:r>
    </w:p>
    <w:p>
      <w:pPr>
        <w:numPr>
          <w:ilvl w:val="0"/>
          <w:numId w:val="0"/>
        </w:numPr>
        <w:ind w:left="3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《天津市农村部分计划生育家庭奖励扶助制度实施方案（试行）》</w:t>
      </w:r>
    </w:p>
    <w:p>
      <w:pPr>
        <w:numPr>
          <w:ilvl w:val="0"/>
          <w:numId w:val="4"/>
        </w:numPr>
        <w:ind w:left="32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numPr>
          <w:ilvl w:val="0"/>
          <w:numId w:val="0"/>
        </w:numPr>
        <w:ind w:left="3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户口本、身份证、结婚证、独生子女证。</w:t>
      </w:r>
    </w:p>
    <w:p>
      <w:pPr>
        <w:numPr>
          <w:ilvl w:val="0"/>
          <w:numId w:val="4"/>
        </w:numPr>
        <w:ind w:left="32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受理范围及条件</w:t>
      </w:r>
    </w:p>
    <w:p>
      <w:pPr>
        <w:numPr>
          <w:ilvl w:val="0"/>
          <w:numId w:val="0"/>
        </w:numPr>
        <w:ind w:left="3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奖励扶助对象应同时符合以下基本条件：（1）本人及配偶均为本市农村地区农业户口人员；（2）没有违反计划生育法律、法规、规章或政策规定生育；（3）现有一个子女或子女死亡现无子女；（4）1933年1月1日以后出生且年满60周岁；</w:t>
      </w:r>
    </w:p>
    <w:p>
      <w:pPr>
        <w:numPr>
          <w:ilvl w:val="0"/>
          <w:numId w:val="4"/>
        </w:numPr>
        <w:ind w:left="32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办理流程</w:t>
      </w:r>
    </w:p>
    <w:p>
      <w:pPr>
        <w:numPr>
          <w:ilvl w:val="0"/>
          <w:numId w:val="0"/>
        </w:numPr>
        <w:ind w:left="3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本人申请（一般每年6月份）——村镇审核——区县确认、备案</w:t>
      </w:r>
    </w:p>
    <w:p>
      <w:pPr>
        <w:numPr>
          <w:ilvl w:val="0"/>
          <w:numId w:val="4"/>
        </w:numPr>
        <w:ind w:left="32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咨询投诉渠道</w:t>
      </w:r>
    </w:p>
    <w:p>
      <w:pPr>
        <w:numPr>
          <w:ilvl w:val="0"/>
          <w:numId w:val="0"/>
        </w:numPr>
        <w:ind w:leftChars="100" w:firstLine="640" w:firstLineChars="200"/>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022-25332908</w:t>
      </w:r>
    </w:p>
    <w:p>
      <w:pPr>
        <w:numPr>
          <w:ilvl w:val="0"/>
          <w:numId w:val="1"/>
        </w:num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计划生育家庭特别扶助 </w:t>
      </w:r>
    </w:p>
    <w:p>
      <w:pPr>
        <w:numPr>
          <w:ilvl w:val="0"/>
          <w:numId w:val="5"/>
        </w:numPr>
        <w:ind w:left="48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法律法规和政策文</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《国家人口计生委财政部关于印发全国独生子女伤残死亡家庭扶助制度试点方案的通知》</w:t>
      </w:r>
    </w:p>
    <w:p>
      <w:pPr>
        <w:numPr>
          <w:ilvl w:val="0"/>
          <w:numId w:val="5"/>
        </w:numPr>
        <w:ind w:left="48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numPr>
          <w:ilvl w:val="0"/>
          <w:numId w:val="0"/>
        </w:numPr>
        <w:ind w:left="48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户口本、身份证、结婚证、独生子女证明、死亡证明或《中华人民共和国残疾人证》</w:t>
      </w:r>
    </w:p>
    <w:p>
      <w:pPr>
        <w:numPr>
          <w:ilvl w:val="0"/>
          <w:numId w:val="5"/>
        </w:numPr>
        <w:ind w:left="48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受理范围及条件</w:t>
      </w:r>
    </w:p>
    <w:p>
      <w:pPr>
        <w:numPr>
          <w:ilvl w:val="0"/>
          <w:numId w:val="0"/>
        </w:numPr>
        <w:ind w:left="48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本市户籍独生子女死亡或伤残后未再生育或收养子女的夫妻。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（1）1933年1月1日以后出生；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（2）女方年满49周岁；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（3）只生育一个子女或合法收养一个子女；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（4）现无</w:t>
      </w:r>
      <w:bookmarkStart w:id="0" w:name="_GoBack"/>
      <w:bookmarkEnd w:id="0"/>
      <w:r>
        <w:rPr>
          <w:rFonts w:hint="eastAsia" w:ascii="仿宋_GB2312" w:hAnsi="仿宋_GB2312" w:eastAsia="仿宋_GB2312" w:cs="仿宋_GB2312"/>
          <w:sz w:val="32"/>
          <w:szCs w:val="32"/>
          <w:lang w:val="en-US" w:eastAsia="zh-CN"/>
        </w:rPr>
        <w:t>存活子女或独生子女被依法鉴定为三级以上残疾；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特别扶助对象再生育或合法收养子女后，终止领取特别扶助金。</w:t>
      </w:r>
    </w:p>
    <w:p>
      <w:pPr>
        <w:numPr>
          <w:ilvl w:val="0"/>
          <w:numId w:val="5"/>
        </w:numPr>
        <w:ind w:left="48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办理流程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本人向村居申请（每年1月15日前，本人申请！）——村居、乡（镇、街）初审——区县确认、备案</w:t>
      </w:r>
    </w:p>
    <w:p>
      <w:pPr>
        <w:numPr>
          <w:ilvl w:val="0"/>
          <w:numId w:val="5"/>
        </w:numPr>
        <w:ind w:left="48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咨询投诉渠道</w:t>
      </w:r>
    </w:p>
    <w:p>
      <w:pPr>
        <w:numPr>
          <w:ilvl w:val="0"/>
          <w:numId w:val="0"/>
        </w:numPr>
        <w:ind w:leftChars="100" w:firstLine="640" w:firstLineChars="200"/>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022-25332908</w:t>
      </w:r>
    </w:p>
    <w:p>
      <w:pPr>
        <w:numPr>
          <w:ilvl w:val="0"/>
          <w:numId w:val="1"/>
        </w:num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传染病及突发公共卫生事件报告和处理服务规范</w:t>
      </w:r>
    </w:p>
    <w:p>
      <w:pPr>
        <w:pStyle w:val="3"/>
        <w:keepNext w:val="0"/>
        <w:keepLines w:val="0"/>
        <w:pageBreakBefore w:val="0"/>
        <w:widowControl w:val="0"/>
        <w:numPr>
          <w:ilvl w:val="0"/>
          <w:numId w:val="6"/>
        </w:numPr>
        <w:kinsoku/>
        <w:wordWrap/>
        <w:overflowPunct/>
        <w:topLinePunct w:val="0"/>
        <w:autoSpaceDE/>
        <w:autoSpaceDN/>
        <w:bidi w:val="0"/>
        <w:adjustRightInd/>
        <w:snapToGrid/>
        <w:spacing w:before="4"/>
        <w:ind w:left="641"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法规和政策文件</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《国家基本公共卫生服务规范（第三版）》（国卫基层发〔2017〕13 号）</w:t>
      </w:r>
      <w:r>
        <w:rPr>
          <w:rFonts w:hint="eastAsia"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《关于做好 2017年国家基本公共卫生服务项目工作的通知》（国卫基层发〔2017〕46 号）</w:t>
      </w:r>
      <w:r>
        <w:rPr>
          <w:rFonts w:hint="eastAsia"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《关于做好 20</w:t>
      </w:r>
      <w:r>
        <w:rPr>
          <w:rFonts w:hint="eastAsia" w:cs="仿宋_GB2312"/>
          <w:sz w:val="32"/>
          <w:szCs w:val="32"/>
          <w:lang w:val="en-US" w:eastAsia="zh-CN"/>
        </w:rPr>
        <w:t>18</w:t>
      </w:r>
      <w:r>
        <w:rPr>
          <w:rFonts w:hint="eastAsia" w:ascii="仿宋_GB2312" w:hAnsi="仿宋_GB2312" w:eastAsia="仿宋_GB2312" w:cs="仿宋_GB2312"/>
          <w:sz w:val="32"/>
          <w:szCs w:val="32"/>
        </w:rPr>
        <w:t>年国家基本公共卫生服务项目工作的通知》（国卫基层发〔2018〕18 号）</w:t>
      </w:r>
      <w:r>
        <w:rPr>
          <w:rFonts w:hint="eastAsia"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ascii="仿宋_GB2312" w:hAnsi="仿宋_GB2312" w:eastAsia="仿宋_GB2312" w:cs="仿宋_GB2312"/>
          <w:sz w:val="32"/>
          <w:szCs w:val="32"/>
        </w:rPr>
        <w:t>关于做好2019年基本公共卫生服务项目工作的通知</w:t>
      </w:r>
      <w:r>
        <w:rPr>
          <w:rFonts w:hint="eastAsia" w:cs="仿宋_GB2312"/>
          <w:sz w:val="32"/>
          <w:szCs w:val="32"/>
          <w:lang w:eastAsia="zh-CN"/>
        </w:rPr>
        <w:t>》（</w:t>
      </w:r>
      <w:r>
        <w:rPr>
          <w:rFonts w:hint="eastAsia" w:ascii="仿宋_GB2312" w:hAnsi="仿宋_GB2312" w:eastAsia="仿宋_GB2312" w:cs="仿宋_GB2312"/>
          <w:sz w:val="32"/>
          <w:szCs w:val="32"/>
        </w:rPr>
        <w:t>国卫基层发〔2019〕52号</w:t>
      </w:r>
      <w:r>
        <w:rPr>
          <w:rFonts w:hint="eastAsia"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关于做好2020年基本公共卫生服务项目工作的通知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国卫基层发〔2020〕9号</w:t>
      </w:r>
      <w:r>
        <w:rPr>
          <w:rFonts w:hint="eastAsia" w:ascii="仿宋_GB2312" w:hAnsi="仿宋_GB2312" w:eastAsia="仿宋_GB2312" w:cs="仿宋_GB2312"/>
          <w:sz w:val="32"/>
          <w:szCs w:val="32"/>
          <w:lang w:eastAsia="zh-CN"/>
        </w:rPr>
        <w:t>）</w:t>
      </w:r>
      <w:r>
        <w:rPr>
          <w:rFonts w:hint="eastAsia"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lang w:val="en-US" w:eastAsia="zh-CN"/>
        </w:rPr>
        <w:t>关于做好2021年基本公共卫生服务项目工作的通知（国卫基层发〔2021 〕23号）</w:t>
      </w:r>
      <w:r>
        <w:rPr>
          <w:rFonts w:hint="eastAsia" w:cs="仿宋_GB2312"/>
          <w:sz w:val="32"/>
          <w:szCs w:val="32"/>
          <w:lang w:val="en-US" w:eastAsia="zh-CN"/>
        </w:rPr>
        <w:t>；</w:t>
      </w:r>
    </w:p>
    <w:p>
      <w:pPr>
        <w:numPr>
          <w:ilvl w:val="0"/>
          <w:numId w:val="6"/>
        </w:numPr>
        <w:ind w:left="64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服务对象</w:t>
      </w:r>
    </w:p>
    <w:p>
      <w:pPr>
        <w:pStyle w:val="3"/>
        <w:spacing w:before="94"/>
        <w:ind w:left="698" w:firstLine="320" w:firstLineChars="100"/>
        <w:rPr>
          <w:rFonts w:hint="eastAsia" w:ascii="黑体" w:hAnsi="黑体" w:eastAsia="黑体" w:cs="黑体"/>
          <w:sz w:val="32"/>
          <w:szCs w:val="32"/>
        </w:rPr>
      </w:pPr>
      <w:r>
        <w:rPr>
          <w:rFonts w:hint="eastAsia" w:ascii="仿宋_GB2312" w:hAnsi="仿宋_GB2312" w:eastAsia="仿宋_GB2312" w:cs="仿宋_GB2312"/>
          <w:sz w:val="32"/>
          <w:szCs w:val="32"/>
        </w:rPr>
        <w:t>辖区内服务人口。</w:t>
      </w:r>
    </w:p>
    <w:p>
      <w:pPr>
        <w:numPr>
          <w:ilvl w:val="0"/>
          <w:numId w:val="6"/>
        </w:numPr>
        <w:ind w:left="64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服务机构</w:t>
      </w:r>
    </w:p>
    <w:p>
      <w:pPr>
        <w:pStyle w:val="3"/>
        <w:spacing w:before="91"/>
        <w:ind w:firstLine="960" w:firstLineChars="300"/>
        <w:rPr>
          <w:rFonts w:hint="eastAsia" w:cs="仿宋_GB2312"/>
          <w:b w:val="0"/>
          <w:bCs w:val="0"/>
          <w:sz w:val="32"/>
          <w:szCs w:val="32"/>
          <w:lang w:eastAsia="zh-CN"/>
        </w:rPr>
      </w:pPr>
      <w:r>
        <w:rPr>
          <w:rFonts w:hint="eastAsia" w:ascii="仿宋_GB2312" w:hAnsi="仿宋_GB2312" w:eastAsia="仿宋_GB2312" w:cs="仿宋_GB2312"/>
          <w:b w:val="0"/>
          <w:bCs w:val="0"/>
          <w:sz w:val="32"/>
          <w:szCs w:val="32"/>
          <w:lang w:eastAsia="zh-CN"/>
        </w:rPr>
        <w:t>新城镇社区卫生服务中心</w:t>
      </w:r>
      <w:r>
        <w:rPr>
          <w:rFonts w:hint="eastAsia" w:cs="仿宋_GB2312"/>
          <w:b w:val="0"/>
          <w:bCs w:val="0"/>
          <w:sz w:val="32"/>
          <w:szCs w:val="32"/>
          <w:lang w:eastAsia="zh-CN"/>
        </w:rPr>
        <w:t>；</w:t>
      </w:r>
    </w:p>
    <w:p>
      <w:pPr>
        <w:pStyle w:val="3"/>
        <w:spacing w:before="91"/>
        <w:ind w:left="698" w:firstLine="320" w:firstLineChars="100"/>
        <w:rPr>
          <w:rFonts w:hint="eastAsia" w:cs="仿宋_GB2312"/>
          <w:b w:val="0"/>
          <w:bCs w:val="0"/>
          <w:sz w:val="32"/>
          <w:szCs w:val="32"/>
          <w:lang w:val="en-US" w:eastAsia="zh-CN"/>
        </w:rPr>
      </w:pPr>
      <w:r>
        <w:rPr>
          <w:rFonts w:hint="eastAsia" w:cs="仿宋_GB2312"/>
          <w:b w:val="0"/>
          <w:bCs w:val="0"/>
          <w:sz w:val="32"/>
          <w:szCs w:val="32"/>
          <w:lang w:eastAsia="zh-CN"/>
        </w:rPr>
        <w:t>地点：滨海新区津沽附线中国邮政储蓄银行西侧约</w:t>
      </w:r>
      <w:r>
        <w:rPr>
          <w:rFonts w:hint="eastAsia" w:cs="仿宋_GB2312"/>
          <w:b w:val="0"/>
          <w:bCs w:val="0"/>
          <w:sz w:val="32"/>
          <w:szCs w:val="32"/>
          <w:lang w:val="en-US" w:eastAsia="zh-CN"/>
        </w:rPr>
        <w:t>150米；</w:t>
      </w:r>
    </w:p>
    <w:p>
      <w:pPr>
        <w:pStyle w:val="3"/>
        <w:spacing w:before="91"/>
        <w:ind w:left="698" w:firstLine="320" w:firstLineChars="100"/>
        <w:rPr>
          <w:rFonts w:hint="eastAsia" w:ascii="黑体" w:hAnsi="黑体" w:eastAsia="黑体" w:cs="黑体"/>
          <w:sz w:val="32"/>
          <w:szCs w:val="32"/>
        </w:rPr>
      </w:pPr>
      <w:r>
        <w:rPr>
          <w:rFonts w:hint="eastAsia" w:cs="仿宋_GB2312"/>
          <w:b w:val="0"/>
          <w:bCs w:val="0"/>
          <w:sz w:val="32"/>
          <w:szCs w:val="32"/>
          <w:lang w:val="en-US" w:eastAsia="zh-CN"/>
        </w:rPr>
        <w:t>服务时间：周一至周日8：00-12：00；12：30-16：30.</w:t>
      </w:r>
    </w:p>
    <w:p>
      <w:pPr>
        <w:numPr>
          <w:ilvl w:val="0"/>
          <w:numId w:val="6"/>
        </w:numPr>
        <w:ind w:left="64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服务内容</w:t>
      </w:r>
    </w:p>
    <w:p>
      <w:pPr>
        <w:pStyle w:val="3"/>
        <w:spacing w:before="9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（一）传染病疫情和突发公共卫生事件风险管理</w:t>
      </w:r>
      <w:r>
        <w:rPr>
          <w:rFonts w:hint="eastAsia" w:cs="仿宋_GB2312"/>
          <w:sz w:val="32"/>
          <w:szCs w:val="32"/>
          <w:lang w:eastAsia="zh-CN"/>
        </w:rPr>
        <w:t>；</w:t>
      </w:r>
    </w:p>
    <w:p>
      <w:pPr>
        <w:pStyle w:val="3"/>
        <w:spacing w:before="1"/>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（二）传染病和突发公共卫生事件的发现、登记</w:t>
      </w:r>
      <w:r>
        <w:rPr>
          <w:rFonts w:hint="eastAsia" w:cs="仿宋_GB2312"/>
          <w:sz w:val="32"/>
          <w:szCs w:val="32"/>
          <w:lang w:eastAsia="zh-CN"/>
        </w:rPr>
        <w:t>；</w:t>
      </w:r>
    </w:p>
    <w:p>
      <w:pPr>
        <w:pStyle w:val="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（三）传染病和突发公共卫生事件相关信息报告</w:t>
      </w:r>
      <w:r>
        <w:rPr>
          <w:rFonts w:hint="eastAsia" w:cs="仿宋_GB2312"/>
          <w:sz w:val="32"/>
          <w:szCs w:val="32"/>
          <w:lang w:eastAsia="zh-CN"/>
        </w:rPr>
        <w:t>；</w:t>
      </w:r>
    </w:p>
    <w:p>
      <w:pPr>
        <w:pStyle w:val="3"/>
        <w:spacing w:before="1"/>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（四）传染病和突发公共卫生事件的处理</w:t>
      </w:r>
      <w:r>
        <w:rPr>
          <w:rFonts w:hint="eastAsia" w:cs="仿宋_GB2312"/>
          <w:sz w:val="32"/>
          <w:szCs w:val="32"/>
          <w:lang w:eastAsia="zh-CN"/>
        </w:rPr>
        <w:t>；</w:t>
      </w:r>
    </w:p>
    <w:p>
      <w:pPr>
        <w:numPr>
          <w:ilvl w:val="0"/>
          <w:numId w:val="0"/>
        </w:numPr>
        <w:ind w:left="641"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44"/>
          <w:sz w:val="32"/>
          <w:szCs w:val="32"/>
        </w:rPr>
        <w:t>）</w:t>
      </w:r>
      <w:r>
        <w:rPr>
          <w:rFonts w:hint="eastAsia" w:ascii="仿宋_GB2312" w:hAnsi="仿宋_GB2312" w:eastAsia="仿宋_GB2312" w:cs="仿宋_GB2312"/>
          <w:spacing w:val="-2"/>
          <w:sz w:val="32"/>
          <w:szCs w:val="32"/>
        </w:rPr>
        <w:t>协助上级专业防治机构做好结核病和艾滋病患者的宣传、指导服务以及非住院病人的治疗管理工作，相关技术</w:t>
      </w:r>
      <w:r>
        <w:rPr>
          <w:rFonts w:hint="eastAsia" w:ascii="仿宋_GB2312" w:hAnsi="仿宋_GB2312" w:eastAsia="仿宋_GB2312" w:cs="仿宋_GB2312"/>
          <w:sz w:val="32"/>
          <w:szCs w:val="32"/>
          <w:lang w:val="en-US" w:eastAsia="zh-CN"/>
        </w:rPr>
        <w:t>要求参照有关规定。</w:t>
      </w:r>
    </w:p>
    <w:p>
      <w:pPr>
        <w:numPr>
          <w:ilvl w:val="0"/>
          <w:numId w:val="6"/>
        </w:numPr>
        <w:ind w:left="64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服务流程</w:t>
      </w:r>
    </w:p>
    <w:p>
      <w:pPr>
        <w:pStyle w:val="3"/>
        <w:spacing w:before="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61312" behindDoc="0" locked="0" layoutInCell="1" allowOverlap="1">
                <wp:simplePos x="0" y="0"/>
                <wp:positionH relativeFrom="page">
                  <wp:posOffset>1141730</wp:posOffset>
                </wp:positionH>
                <wp:positionV relativeFrom="paragraph">
                  <wp:posOffset>262890</wp:posOffset>
                </wp:positionV>
                <wp:extent cx="5274310" cy="3516630"/>
                <wp:effectExtent l="1270" t="1270" r="20320" b="6350"/>
                <wp:wrapTopAndBottom/>
                <wp:docPr id="91" name="组合 91"/>
                <wp:cNvGraphicFramePr/>
                <a:graphic xmlns:a="http://schemas.openxmlformats.org/drawingml/2006/main">
                  <a:graphicData uri="http://schemas.microsoft.com/office/word/2010/wordprocessingGroup">
                    <wpg:wgp>
                      <wpg:cNvGrpSpPr/>
                      <wpg:grpSpPr>
                        <a:xfrm>
                          <a:off x="0" y="0"/>
                          <a:ext cx="5274310" cy="3516630"/>
                          <a:chOff x="1798" y="415"/>
                          <a:chExt cx="8306" cy="5538"/>
                        </a:xfrm>
                      </wpg:grpSpPr>
                      <wps:wsp>
                        <wps:cNvPr id="81" name="直接连接符 81"/>
                        <wps:cNvCnPr/>
                        <wps:spPr>
                          <a:xfrm>
                            <a:off x="1808" y="420"/>
                            <a:ext cx="8286" cy="0"/>
                          </a:xfrm>
                          <a:prstGeom prst="line">
                            <a:avLst/>
                          </a:prstGeom>
                          <a:ln w="6096" cap="flat" cmpd="sng">
                            <a:solidFill>
                              <a:srgbClr val="000000"/>
                            </a:solidFill>
                            <a:prstDash val="solid"/>
                            <a:headEnd type="none" w="med" len="med"/>
                            <a:tailEnd type="none" w="med" len="med"/>
                          </a:ln>
                        </wps:spPr>
                        <wps:bodyPr upright="1"/>
                      </wps:wsp>
                      <wps:wsp>
                        <wps:cNvPr id="82" name="直接连接符 82"/>
                        <wps:cNvCnPr/>
                        <wps:spPr>
                          <a:xfrm>
                            <a:off x="1803" y="415"/>
                            <a:ext cx="0" cy="5528"/>
                          </a:xfrm>
                          <a:prstGeom prst="line">
                            <a:avLst/>
                          </a:prstGeom>
                          <a:ln w="6096" cap="flat" cmpd="sng">
                            <a:solidFill>
                              <a:srgbClr val="000000"/>
                            </a:solidFill>
                            <a:prstDash val="solid"/>
                            <a:headEnd type="none" w="med" len="med"/>
                            <a:tailEnd type="none" w="med" len="med"/>
                          </a:ln>
                        </wps:spPr>
                        <wps:bodyPr upright="1"/>
                      </wps:wsp>
                      <wps:wsp>
                        <wps:cNvPr id="83" name="直接连接符 83"/>
                        <wps:cNvCnPr/>
                        <wps:spPr>
                          <a:xfrm>
                            <a:off x="10099" y="415"/>
                            <a:ext cx="0" cy="5528"/>
                          </a:xfrm>
                          <a:prstGeom prst="line">
                            <a:avLst/>
                          </a:prstGeom>
                          <a:ln w="6096" cap="flat" cmpd="sng">
                            <a:solidFill>
                              <a:srgbClr val="000000"/>
                            </a:solidFill>
                            <a:prstDash val="solid"/>
                            <a:headEnd type="none" w="med" len="med"/>
                            <a:tailEnd type="none" w="med" len="med"/>
                          </a:ln>
                        </wps:spPr>
                        <wps:bodyPr upright="1"/>
                      </wps:wsp>
                      <wps:wsp>
                        <wps:cNvPr id="84" name="矩形 84"/>
                        <wps:cNvSpPr/>
                        <wps:spPr>
                          <a:xfrm>
                            <a:off x="1798" y="5943"/>
                            <a:ext cx="10" cy="10"/>
                          </a:xfrm>
                          <a:prstGeom prst="rect">
                            <a:avLst/>
                          </a:prstGeom>
                          <a:solidFill>
                            <a:srgbClr val="000000"/>
                          </a:solidFill>
                          <a:ln>
                            <a:noFill/>
                          </a:ln>
                        </wps:spPr>
                        <wps:bodyPr upright="1"/>
                      </wps:wsp>
                      <wps:wsp>
                        <wps:cNvPr id="85" name="矩形 85"/>
                        <wps:cNvSpPr/>
                        <wps:spPr>
                          <a:xfrm>
                            <a:off x="1798" y="5943"/>
                            <a:ext cx="10" cy="10"/>
                          </a:xfrm>
                          <a:prstGeom prst="rect">
                            <a:avLst/>
                          </a:prstGeom>
                          <a:solidFill>
                            <a:srgbClr val="000000"/>
                          </a:solidFill>
                          <a:ln>
                            <a:noFill/>
                          </a:ln>
                        </wps:spPr>
                        <wps:bodyPr upright="1"/>
                      </wps:wsp>
                      <wps:wsp>
                        <wps:cNvPr id="86" name="直接连接符 86"/>
                        <wps:cNvCnPr/>
                        <wps:spPr>
                          <a:xfrm>
                            <a:off x="1808" y="5948"/>
                            <a:ext cx="8286" cy="0"/>
                          </a:xfrm>
                          <a:prstGeom prst="line">
                            <a:avLst/>
                          </a:prstGeom>
                          <a:ln w="6096" cap="flat" cmpd="sng">
                            <a:solidFill>
                              <a:srgbClr val="000000"/>
                            </a:solidFill>
                            <a:prstDash val="solid"/>
                            <a:headEnd type="none" w="med" len="med"/>
                            <a:tailEnd type="none" w="med" len="med"/>
                          </a:ln>
                        </wps:spPr>
                        <wps:bodyPr upright="1"/>
                      </wps:wsp>
                      <wps:wsp>
                        <wps:cNvPr id="87" name="矩形 87"/>
                        <wps:cNvSpPr/>
                        <wps:spPr>
                          <a:xfrm>
                            <a:off x="10094" y="5943"/>
                            <a:ext cx="10" cy="10"/>
                          </a:xfrm>
                          <a:prstGeom prst="rect">
                            <a:avLst/>
                          </a:prstGeom>
                          <a:solidFill>
                            <a:srgbClr val="000000"/>
                          </a:solidFill>
                          <a:ln>
                            <a:noFill/>
                          </a:ln>
                        </wps:spPr>
                        <wps:bodyPr upright="1"/>
                      </wps:wsp>
                      <wps:wsp>
                        <wps:cNvPr id="88" name="矩形 88"/>
                        <wps:cNvSpPr/>
                        <wps:spPr>
                          <a:xfrm>
                            <a:off x="10094" y="5943"/>
                            <a:ext cx="10" cy="10"/>
                          </a:xfrm>
                          <a:prstGeom prst="rect">
                            <a:avLst/>
                          </a:prstGeom>
                          <a:solidFill>
                            <a:srgbClr val="000000"/>
                          </a:solidFill>
                          <a:ln>
                            <a:noFill/>
                          </a:ln>
                        </wps:spPr>
                        <wps:bodyPr upright="1"/>
                      </wps:wsp>
                      <wps:wsp>
                        <wps:cNvPr id="89" name="文本框 89"/>
                        <wps:cNvSpPr txBox="1"/>
                        <wps:spPr>
                          <a:xfrm>
                            <a:off x="1798" y="414"/>
                            <a:ext cx="8306" cy="5538"/>
                          </a:xfrm>
                          <a:prstGeom prst="rect">
                            <a:avLst/>
                          </a:prstGeom>
                          <a:noFill/>
                          <a:ln>
                            <a:noFill/>
                          </a:ln>
                        </wps:spPr>
                        <wps:txbx>
                          <w:txbxContent>
                            <w:p>
                              <w:pPr>
                                <w:spacing w:before="0" w:line="240" w:lineRule="auto"/>
                                <w:rPr>
                                  <w:rFonts w:ascii="黑体"/>
                                  <w:sz w:val="16"/>
                                </w:rPr>
                              </w:pPr>
                            </w:p>
                            <w:p>
                              <w:pPr>
                                <w:spacing w:before="0" w:line="240" w:lineRule="auto"/>
                                <w:rPr>
                                  <w:rFonts w:ascii="黑体"/>
                                  <w:sz w:val="16"/>
                                </w:rPr>
                              </w:pPr>
                            </w:p>
                            <w:p>
                              <w:pPr>
                                <w:spacing w:before="3" w:line="240" w:lineRule="auto"/>
                                <w:rPr>
                                  <w:rFonts w:ascii="黑体"/>
                                  <w:sz w:val="21"/>
                                </w:rPr>
                              </w:pPr>
                            </w:p>
                            <w:p>
                              <w:pPr>
                                <w:spacing w:before="0" w:line="225" w:lineRule="auto"/>
                                <w:ind w:left="7043" w:right="300" w:firstLine="0"/>
                                <w:jc w:val="both"/>
                                <w:rPr>
                                  <w:rFonts w:hint="eastAsia" w:ascii="宋体" w:eastAsia="宋体"/>
                                  <w:sz w:val="16"/>
                                </w:rPr>
                              </w:pPr>
                              <w:r>
                                <w:rPr>
                                  <w:rFonts w:hint="eastAsia" w:ascii="宋体" w:eastAsia="宋体"/>
                                  <w:sz w:val="16"/>
                                </w:rPr>
                                <w:t>1.病人医疗救治和管理。</w:t>
                              </w:r>
                            </w:p>
                            <w:p>
                              <w:pPr>
                                <w:spacing w:before="1" w:line="225" w:lineRule="auto"/>
                                <w:ind w:left="7043" w:right="300" w:firstLine="0"/>
                                <w:jc w:val="both"/>
                                <w:rPr>
                                  <w:rFonts w:hint="eastAsia" w:ascii="宋体" w:eastAsia="宋体"/>
                                  <w:sz w:val="16"/>
                                </w:rPr>
                              </w:pPr>
                              <w:r>
                                <w:rPr>
                                  <w:rFonts w:hint="eastAsia" w:ascii="宋体" w:eastAsia="宋体"/>
                                  <w:sz w:val="16"/>
                                </w:rPr>
                                <w:t>2.传染病接触者和健康危害暴露人员的管理。</w:t>
                              </w:r>
                            </w:p>
                            <w:p>
                              <w:pPr>
                                <w:spacing w:before="3" w:line="225" w:lineRule="auto"/>
                                <w:ind w:left="7043" w:right="300" w:firstLine="0"/>
                                <w:jc w:val="both"/>
                                <w:rPr>
                                  <w:rFonts w:hint="eastAsia" w:ascii="宋体" w:eastAsia="宋体"/>
                                  <w:sz w:val="16"/>
                                </w:rPr>
                              </w:pPr>
                              <w:r>
                                <w:rPr>
                                  <w:rFonts w:hint="eastAsia" w:ascii="宋体" w:eastAsia="宋体"/>
                                  <w:sz w:val="16"/>
                                </w:rPr>
                                <w:t>3.流行病学调查。</w:t>
                              </w:r>
                            </w:p>
                            <w:p>
                              <w:pPr>
                                <w:spacing w:before="1" w:line="225" w:lineRule="auto"/>
                                <w:ind w:left="7043" w:right="300" w:firstLine="0"/>
                                <w:jc w:val="both"/>
                                <w:rPr>
                                  <w:rFonts w:hint="eastAsia" w:ascii="宋体" w:eastAsia="宋体"/>
                                  <w:sz w:val="16"/>
                                </w:rPr>
                              </w:pPr>
                              <w:r>
                                <w:rPr>
                                  <w:rFonts w:hint="eastAsia" w:ascii="宋体" w:eastAsia="宋体"/>
                                  <w:sz w:val="16"/>
                                </w:rPr>
                                <w:t>4.疫点疫区处理。</w:t>
                              </w:r>
                            </w:p>
                            <w:p>
                              <w:pPr>
                                <w:spacing w:before="2" w:line="225" w:lineRule="auto"/>
                                <w:ind w:left="7043" w:right="300" w:firstLine="0"/>
                                <w:jc w:val="right"/>
                                <w:rPr>
                                  <w:rFonts w:hint="eastAsia" w:ascii="宋体" w:eastAsia="宋体"/>
                                  <w:sz w:val="16"/>
                                </w:rPr>
                              </w:pPr>
                              <w:r>
                                <w:rPr>
                                  <w:rFonts w:hint="eastAsia" w:ascii="宋体" w:eastAsia="宋体"/>
                                  <w:sz w:val="16"/>
                                </w:rPr>
                                <w:t>5.应急接种和预防性服药。</w:t>
                              </w:r>
                            </w:p>
                            <w:p>
                              <w:pPr>
                                <w:spacing w:before="0" w:line="197" w:lineRule="exact"/>
                                <w:ind w:left="0" w:right="300" w:firstLine="0"/>
                                <w:jc w:val="right"/>
                                <w:rPr>
                                  <w:rFonts w:hint="eastAsia" w:ascii="宋体" w:eastAsia="宋体"/>
                                  <w:sz w:val="16"/>
                                </w:rPr>
                              </w:pPr>
                              <w:r>
                                <w:rPr>
                                  <w:rFonts w:hint="eastAsia" w:ascii="宋体" w:eastAsia="宋体"/>
                                  <w:sz w:val="16"/>
                                </w:rPr>
                                <w:t>6.宣传教育。</w:t>
                              </w:r>
                            </w:p>
                          </w:txbxContent>
                        </wps:txbx>
                        <wps:bodyPr lIns="0" tIns="0" rIns="0" bIns="0" upright="1"/>
                      </wps:wsp>
                      <wps:wsp>
                        <wps:cNvPr id="90" name="文本框 90"/>
                        <wps:cNvSpPr txBox="1"/>
                        <wps:spPr>
                          <a:xfrm>
                            <a:off x="8974" y="625"/>
                            <a:ext cx="761" cy="256"/>
                          </a:xfrm>
                          <a:prstGeom prst="rect">
                            <a:avLst/>
                          </a:prstGeom>
                          <a:noFill/>
                          <a:ln w="2727" cap="flat" cmpd="sng">
                            <a:solidFill>
                              <a:srgbClr val="000000"/>
                            </a:solidFill>
                            <a:prstDash val="solid"/>
                            <a:miter/>
                            <a:headEnd type="none" w="med" len="med"/>
                            <a:tailEnd type="none" w="med" len="med"/>
                          </a:ln>
                        </wps:spPr>
                        <wps:txbx>
                          <w:txbxContent>
                            <w:p>
                              <w:pPr>
                                <w:spacing w:before="19"/>
                                <w:ind w:left="218" w:right="0" w:firstLine="0"/>
                                <w:jc w:val="left"/>
                                <w:rPr>
                                  <w:sz w:val="16"/>
                                </w:rPr>
                              </w:pPr>
                              <w:r>
                                <w:rPr>
                                  <w:sz w:val="16"/>
                                </w:rPr>
                                <w:t>处理</w:t>
                              </w:r>
                            </w:p>
                          </w:txbxContent>
                        </wps:txbx>
                        <wps:bodyPr lIns="0" tIns="0" rIns="0" bIns="0" upright="1"/>
                      </wps:wsp>
                    </wpg:wgp>
                  </a:graphicData>
                </a:graphic>
              </wp:anchor>
            </w:drawing>
          </mc:Choice>
          <mc:Fallback>
            <w:pict>
              <v:group id="_x0000_s1026" o:spid="_x0000_s1026" o:spt="203" style="position:absolute;left:0pt;margin-left:89.9pt;margin-top:20.7pt;height:276.9pt;width:415.3pt;mso-position-horizontal-relative:page;mso-wrap-distance-bottom:0pt;mso-wrap-distance-top:0pt;z-index:251661312;mso-width-relative:page;mso-height-relative:page;" coordorigin="1798,415" coordsize="8306,5538" o:gfxdata="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K6/dNbaAAAACwEAAA8AAAAAAAAAAQAgAAAAIgAAAGRycy9kb3ducmV2LnhtbFBLAQIU&#10;ABQAAAAIAIdO4kBFgDup8gMAACUVAAAOAAAAAAAAAAEAIAAAACkBAABkcnMvZTJvRG9jLnhtbFBL&#10;BQYAAAAABgAGAFkBAACNBwAAAAA=&#10;">
                <o:lock v:ext="edit" aspectratio="f"/>
                <v:line id="_x0000_s1026" o:spid="_x0000_s1026" o:spt="20" style="position:absolute;left:1808;top:420;height:0;width:8286;"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803;top:415;height:5528;width:0;" filled="f" stroked="t" coordsize="21600,21600"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099;top:415;height:5528;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798;top:5943;height:10;width:10;"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798;top:5943;height:10;width:10;"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808;top:5948;height:0;width:8286;"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094;top:5943;height:10;width:10;"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10094;top:5943;height:10;width:10;"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798;top:414;height:5538;width:8306;"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rFonts w:ascii="黑体"/>
                            <w:sz w:val="16"/>
                          </w:rPr>
                        </w:pPr>
                      </w:p>
                      <w:p>
                        <w:pPr>
                          <w:spacing w:before="0" w:line="240" w:lineRule="auto"/>
                          <w:rPr>
                            <w:rFonts w:ascii="黑体"/>
                            <w:sz w:val="16"/>
                          </w:rPr>
                        </w:pPr>
                      </w:p>
                      <w:p>
                        <w:pPr>
                          <w:spacing w:before="3" w:line="240" w:lineRule="auto"/>
                          <w:rPr>
                            <w:rFonts w:ascii="黑体"/>
                            <w:sz w:val="21"/>
                          </w:rPr>
                        </w:pPr>
                      </w:p>
                      <w:p>
                        <w:pPr>
                          <w:spacing w:before="0" w:line="225" w:lineRule="auto"/>
                          <w:ind w:left="7043" w:right="300" w:firstLine="0"/>
                          <w:jc w:val="both"/>
                          <w:rPr>
                            <w:rFonts w:hint="eastAsia" w:ascii="宋体" w:eastAsia="宋体"/>
                            <w:sz w:val="16"/>
                          </w:rPr>
                        </w:pPr>
                        <w:r>
                          <w:rPr>
                            <w:rFonts w:hint="eastAsia" w:ascii="宋体" w:eastAsia="宋体"/>
                            <w:sz w:val="16"/>
                          </w:rPr>
                          <w:t>1.病人医疗救治和管理。</w:t>
                        </w:r>
                      </w:p>
                      <w:p>
                        <w:pPr>
                          <w:spacing w:before="1" w:line="225" w:lineRule="auto"/>
                          <w:ind w:left="7043" w:right="300" w:firstLine="0"/>
                          <w:jc w:val="both"/>
                          <w:rPr>
                            <w:rFonts w:hint="eastAsia" w:ascii="宋体" w:eastAsia="宋体"/>
                            <w:sz w:val="16"/>
                          </w:rPr>
                        </w:pPr>
                        <w:r>
                          <w:rPr>
                            <w:rFonts w:hint="eastAsia" w:ascii="宋体" w:eastAsia="宋体"/>
                            <w:sz w:val="16"/>
                          </w:rPr>
                          <w:t>2.传染病接触者和健康危害暴露人员的管理。</w:t>
                        </w:r>
                      </w:p>
                      <w:p>
                        <w:pPr>
                          <w:spacing w:before="3" w:line="225" w:lineRule="auto"/>
                          <w:ind w:left="7043" w:right="300" w:firstLine="0"/>
                          <w:jc w:val="both"/>
                          <w:rPr>
                            <w:rFonts w:hint="eastAsia" w:ascii="宋体" w:eastAsia="宋体"/>
                            <w:sz w:val="16"/>
                          </w:rPr>
                        </w:pPr>
                        <w:r>
                          <w:rPr>
                            <w:rFonts w:hint="eastAsia" w:ascii="宋体" w:eastAsia="宋体"/>
                            <w:sz w:val="16"/>
                          </w:rPr>
                          <w:t>3.流行病学调查。</w:t>
                        </w:r>
                      </w:p>
                      <w:p>
                        <w:pPr>
                          <w:spacing w:before="1" w:line="225" w:lineRule="auto"/>
                          <w:ind w:left="7043" w:right="300" w:firstLine="0"/>
                          <w:jc w:val="both"/>
                          <w:rPr>
                            <w:rFonts w:hint="eastAsia" w:ascii="宋体" w:eastAsia="宋体"/>
                            <w:sz w:val="16"/>
                          </w:rPr>
                        </w:pPr>
                        <w:r>
                          <w:rPr>
                            <w:rFonts w:hint="eastAsia" w:ascii="宋体" w:eastAsia="宋体"/>
                            <w:sz w:val="16"/>
                          </w:rPr>
                          <w:t>4.疫点疫区处理。</w:t>
                        </w:r>
                      </w:p>
                      <w:p>
                        <w:pPr>
                          <w:spacing w:before="2" w:line="225" w:lineRule="auto"/>
                          <w:ind w:left="7043" w:right="300" w:firstLine="0"/>
                          <w:jc w:val="right"/>
                          <w:rPr>
                            <w:rFonts w:hint="eastAsia" w:ascii="宋体" w:eastAsia="宋体"/>
                            <w:sz w:val="16"/>
                          </w:rPr>
                        </w:pPr>
                        <w:r>
                          <w:rPr>
                            <w:rFonts w:hint="eastAsia" w:ascii="宋体" w:eastAsia="宋体"/>
                            <w:sz w:val="16"/>
                          </w:rPr>
                          <w:t>5.应急接种和预防性服药。</w:t>
                        </w:r>
                      </w:p>
                      <w:p>
                        <w:pPr>
                          <w:spacing w:before="0" w:line="197" w:lineRule="exact"/>
                          <w:ind w:left="0" w:right="300" w:firstLine="0"/>
                          <w:jc w:val="right"/>
                          <w:rPr>
                            <w:rFonts w:hint="eastAsia" w:ascii="宋体" w:eastAsia="宋体"/>
                            <w:sz w:val="16"/>
                          </w:rPr>
                        </w:pPr>
                        <w:r>
                          <w:rPr>
                            <w:rFonts w:hint="eastAsia" w:ascii="宋体" w:eastAsia="宋体"/>
                            <w:sz w:val="16"/>
                          </w:rPr>
                          <w:t>6.宣传教育。</w:t>
                        </w:r>
                      </w:p>
                    </w:txbxContent>
                  </v:textbox>
                </v:shape>
                <v:shape id="_x0000_s1026" o:spid="_x0000_s1026" o:spt="202" type="#_x0000_t202" style="position:absolute;left:8974;top:625;height:256;width:761;" filled="f" stroked="t" coordsize="21600,21600" o:gfxdata="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WA0EtwAAANsAAAAP&#10;AAAAAAAAAAEAIAAAACIAAABkcnMvZG93bnJldi54bWxQSwECFAAUAAAACACHTuJAMy8FnjsAAAA5&#10;AAAAEAAAAAAAAAABACAAAAAGAQAAZHJzL3NoYXBleG1sLnhtbFBLBQYAAAAABgAGAFsBAACwAwAA&#10;AAA=&#10;">
                  <v:fill on="f" focussize="0,0"/>
                  <v:stroke weight="0.214724409448819pt" color="#000000" joinstyle="miter"/>
                  <v:imagedata o:title=""/>
                  <o:lock v:ext="edit" aspectratio="f"/>
                  <v:textbox inset="0mm,0mm,0mm,0mm">
                    <w:txbxContent>
                      <w:p>
                        <w:pPr>
                          <w:spacing w:before="19"/>
                          <w:ind w:left="218" w:right="0" w:firstLine="0"/>
                          <w:jc w:val="left"/>
                          <w:rPr>
                            <w:sz w:val="16"/>
                          </w:rPr>
                        </w:pPr>
                        <w:r>
                          <w:rPr>
                            <w:sz w:val="16"/>
                          </w:rPr>
                          <w:t>处理</w:t>
                        </w:r>
                      </w:p>
                    </w:txbxContent>
                  </v:textbox>
                </v:shape>
                <w10:wrap type="topAndBottom"/>
              </v:group>
            </w:pict>
          </mc:Fallback>
        </mc:AlternateContent>
      </w:r>
    </w:p>
    <w:p>
      <w:pPr>
        <w:pStyle w:val="3"/>
        <w:spacing w:before="9"/>
        <w:rPr>
          <w:rFonts w:hint="eastAsia" w:ascii="仿宋_GB2312" w:hAnsi="仿宋_GB2312" w:eastAsia="仿宋_GB2312" w:cs="仿宋_GB2312"/>
          <w:sz w:val="32"/>
          <w:szCs w:val="32"/>
        </w:rPr>
      </w:pPr>
    </w:p>
    <w:p>
      <w:pPr>
        <w:numPr>
          <w:ilvl w:val="0"/>
          <w:numId w:val="6"/>
        </w:numPr>
        <w:ind w:left="64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g">
            <w:drawing>
              <wp:anchor distT="0" distB="0" distL="114300" distR="114300" simplePos="0" relativeHeight="251659264" behindDoc="1" locked="0" layoutInCell="1" allowOverlap="1">
                <wp:simplePos x="0" y="0"/>
                <wp:positionH relativeFrom="page">
                  <wp:posOffset>1299210</wp:posOffset>
                </wp:positionH>
                <wp:positionV relativeFrom="paragraph">
                  <wp:posOffset>-3538855</wp:posOffset>
                </wp:positionV>
                <wp:extent cx="4130040" cy="3208655"/>
                <wp:effectExtent l="3175" t="3434080" r="19685" b="5715"/>
                <wp:wrapNone/>
                <wp:docPr id="111" name="组合 111"/>
                <wp:cNvGraphicFramePr/>
                <a:graphic xmlns:a="http://schemas.openxmlformats.org/drawingml/2006/main">
                  <a:graphicData uri="http://schemas.microsoft.com/office/word/2010/wordprocessingGroup">
                    <wpg:wgp>
                      <wpg:cNvGrpSpPr/>
                      <wpg:grpSpPr>
                        <a:xfrm>
                          <a:off x="0" y="0"/>
                          <a:ext cx="4130040" cy="3208655"/>
                          <a:chOff x="2046" y="-5573"/>
                          <a:chExt cx="6504" cy="5053"/>
                        </a:xfrm>
                      </wpg:grpSpPr>
                      <wps:wsp>
                        <wps:cNvPr id="92" name="矩形 92"/>
                        <wps:cNvSpPr/>
                        <wps:spPr>
                          <a:xfrm>
                            <a:off x="3423" y="-5571"/>
                            <a:ext cx="1255" cy="256"/>
                          </a:xfrm>
                          <a:prstGeom prst="rect">
                            <a:avLst/>
                          </a:prstGeom>
                          <a:noFill/>
                          <a:ln w="2728" cap="flat" cmpd="sng">
                            <a:solidFill>
                              <a:srgbClr val="000000"/>
                            </a:solidFill>
                            <a:prstDash val="solid"/>
                            <a:miter/>
                            <a:headEnd type="none" w="med" len="med"/>
                            <a:tailEnd type="none" w="med" len="med"/>
                          </a:ln>
                        </wps:spPr>
                        <wps:bodyPr upright="1"/>
                      </wps:wsp>
                      <wps:wsp>
                        <wps:cNvPr id="93" name="直接连接符 93"/>
                        <wps:cNvCnPr/>
                        <wps:spPr>
                          <a:xfrm>
                            <a:off x="4050" y="-5316"/>
                            <a:ext cx="0" cy="94"/>
                          </a:xfrm>
                          <a:prstGeom prst="line">
                            <a:avLst/>
                          </a:prstGeom>
                          <a:ln w="2712" cap="flat" cmpd="sng">
                            <a:solidFill>
                              <a:srgbClr val="000000"/>
                            </a:solidFill>
                            <a:prstDash val="solid"/>
                            <a:headEnd type="none" w="med" len="med"/>
                            <a:tailEnd type="none" w="med" len="med"/>
                          </a:ln>
                        </wps:spPr>
                        <wps:bodyPr upright="1"/>
                      </wps:wsp>
                      <wps:wsp>
                        <wps:cNvPr id="94" name="矩形 94"/>
                        <wps:cNvSpPr/>
                        <wps:spPr>
                          <a:xfrm>
                            <a:off x="3423" y="-5128"/>
                            <a:ext cx="1255" cy="4606"/>
                          </a:xfrm>
                          <a:prstGeom prst="rect">
                            <a:avLst/>
                          </a:prstGeom>
                          <a:noFill/>
                          <a:ln w="2713" cap="flat" cmpd="sng">
                            <a:solidFill>
                              <a:srgbClr val="000000"/>
                            </a:solidFill>
                            <a:prstDash val="solid"/>
                            <a:miter/>
                            <a:headEnd type="none" w="med" len="med"/>
                            <a:tailEnd type="none" w="med" len="med"/>
                          </a:ln>
                        </wps:spPr>
                        <wps:bodyPr upright="1"/>
                      </wps:wsp>
                      <wps:wsp>
                        <wps:cNvPr id="95" name="任意多边形 95"/>
                        <wps:cNvSpPr/>
                        <wps:spPr>
                          <a:xfrm>
                            <a:off x="3996" y="-5222"/>
                            <a:ext cx="107" cy="94"/>
                          </a:xfrm>
                          <a:custGeom>
                            <a:avLst/>
                            <a:gdLst/>
                            <a:ahLst/>
                            <a:cxnLst/>
                            <a:pathLst>
                              <a:path w="107">
                                <a:moveTo>
                                  <a:pt x="107" y="-5222"/>
                                </a:moveTo>
                                <a:lnTo>
                                  <a:pt x="0" y="-5222"/>
                                </a:lnTo>
                                <a:lnTo>
                                  <a:pt x="53" y="-5128"/>
                                </a:lnTo>
                                <a:lnTo>
                                  <a:pt x="107" y="-5222"/>
                                </a:lnTo>
                                <a:close/>
                              </a:path>
                            </a:pathLst>
                          </a:custGeom>
                          <a:solidFill>
                            <a:srgbClr val="000000"/>
                          </a:solidFill>
                          <a:ln>
                            <a:noFill/>
                          </a:ln>
                        </wps:spPr>
                        <wps:bodyPr upright="1"/>
                      </wps:wsp>
                      <wps:wsp>
                        <wps:cNvPr id="96" name="矩形 96"/>
                        <wps:cNvSpPr/>
                        <wps:spPr>
                          <a:xfrm>
                            <a:off x="2115" y="-5571"/>
                            <a:ext cx="1015" cy="256"/>
                          </a:xfrm>
                          <a:prstGeom prst="rect">
                            <a:avLst/>
                          </a:prstGeom>
                          <a:noFill/>
                          <a:ln w="2727" cap="flat" cmpd="sng">
                            <a:solidFill>
                              <a:srgbClr val="000000"/>
                            </a:solidFill>
                            <a:prstDash val="solid"/>
                            <a:miter/>
                            <a:headEnd type="none" w="med" len="med"/>
                            <a:tailEnd type="none" w="med" len="med"/>
                          </a:ln>
                        </wps:spPr>
                        <wps:bodyPr upright="1"/>
                      </wps:wsp>
                      <wps:wsp>
                        <wps:cNvPr id="97" name="直接连接符 97"/>
                        <wps:cNvCnPr/>
                        <wps:spPr>
                          <a:xfrm>
                            <a:off x="2622" y="-5316"/>
                            <a:ext cx="0" cy="94"/>
                          </a:xfrm>
                          <a:prstGeom prst="line">
                            <a:avLst/>
                          </a:prstGeom>
                          <a:ln w="2712" cap="flat" cmpd="sng">
                            <a:solidFill>
                              <a:srgbClr val="000000"/>
                            </a:solidFill>
                            <a:prstDash val="solid"/>
                            <a:headEnd type="none" w="med" len="med"/>
                            <a:tailEnd type="none" w="med" len="med"/>
                          </a:ln>
                        </wps:spPr>
                        <wps:bodyPr upright="1"/>
                      </wps:wsp>
                      <wps:wsp>
                        <wps:cNvPr id="98" name="矩形 98"/>
                        <wps:cNvSpPr/>
                        <wps:spPr>
                          <a:xfrm>
                            <a:off x="2048" y="-5128"/>
                            <a:ext cx="1135" cy="4606"/>
                          </a:xfrm>
                          <a:prstGeom prst="rect">
                            <a:avLst/>
                          </a:prstGeom>
                          <a:noFill/>
                          <a:ln w="2713" cap="flat" cmpd="sng">
                            <a:solidFill>
                              <a:srgbClr val="000000"/>
                            </a:solidFill>
                            <a:prstDash val="solid"/>
                            <a:miter/>
                            <a:headEnd type="none" w="med" len="med"/>
                            <a:tailEnd type="none" w="med" len="med"/>
                          </a:ln>
                        </wps:spPr>
                        <wps:bodyPr upright="1"/>
                      </wps:wsp>
                      <wps:wsp>
                        <wps:cNvPr id="99" name="任意多边形 99"/>
                        <wps:cNvSpPr/>
                        <wps:spPr>
                          <a:xfrm>
                            <a:off x="2568" y="-5222"/>
                            <a:ext cx="94" cy="94"/>
                          </a:xfrm>
                          <a:custGeom>
                            <a:avLst/>
                            <a:gdLst/>
                            <a:ahLst/>
                            <a:cxnLst/>
                            <a:pathLst>
                              <a:path w="94">
                                <a:moveTo>
                                  <a:pt x="93" y="-5222"/>
                                </a:moveTo>
                                <a:lnTo>
                                  <a:pt x="0" y="-5222"/>
                                </a:lnTo>
                                <a:lnTo>
                                  <a:pt x="53" y="-5128"/>
                                </a:lnTo>
                                <a:lnTo>
                                  <a:pt x="93" y="-5222"/>
                                </a:lnTo>
                                <a:close/>
                              </a:path>
                            </a:pathLst>
                          </a:custGeom>
                          <a:solidFill>
                            <a:srgbClr val="000000"/>
                          </a:solidFill>
                          <a:ln>
                            <a:noFill/>
                          </a:ln>
                        </wps:spPr>
                        <wps:bodyPr upright="1"/>
                      </wps:wsp>
                      <wps:wsp>
                        <wps:cNvPr id="100" name="直接连接符 100"/>
                        <wps:cNvCnPr/>
                        <wps:spPr>
                          <a:xfrm>
                            <a:off x="3129" y="-5437"/>
                            <a:ext cx="201" cy="0"/>
                          </a:xfrm>
                          <a:prstGeom prst="line">
                            <a:avLst/>
                          </a:prstGeom>
                          <a:ln w="2728" cap="flat" cmpd="sng">
                            <a:solidFill>
                              <a:srgbClr val="000000"/>
                            </a:solidFill>
                            <a:prstDash val="solid"/>
                            <a:headEnd type="none" w="med" len="med"/>
                            <a:tailEnd type="none" w="med" len="med"/>
                          </a:ln>
                        </wps:spPr>
                        <wps:bodyPr upright="1"/>
                      </wps:wsp>
                      <wps:wsp>
                        <wps:cNvPr id="101" name="任意多边形 101"/>
                        <wps:cNvSpPr/>
                        <wps:spPr>
                          <a:xfrm>
                            <a:off x="3316" y="-5491"/>
                            <a:ext cx="107" cy="108"/>
                          </a:xfrm>
                          <a:custGeom>
                            <a:avLst/>
                            <a:gdLst/>
                            <a:ahLst/>
                            <a:cxnLst/>
                            <a:pathLst>
                              <a:path w="107">
                                <a:moveTo>
                                  <a:pt x="0" y="-5490"/>
                                </a:moveTo>
                                <a:lnTo>
                                  <a:pt x="0" y="-5383"/>
                                </a:lnTo>
                                <a:lnTo>
                                  <a:pt x="107" y="-5437"/>
                                </a:lnTo>
                                <a:lnTo>
                                  <a:pt x="0" y="-5490"/>
                                </a:lnTo>
                                <a:close/>
                              </a:path>
                            </a:pathLst>
                          </a:custGeom>
                          <a:solidFill>
                            <a:srgbClr val="000000"/>
                          </a:solidFill>
                          <a:ln>
                            <a:noFill/>
                          </a:ln>
                        </wps:spPr>
                        <wps:bodyPr upright="1"/>
                      </wps:wsp>
                      <wps:wsp>
                        <wps:cNvPr id="102" name="直接连接符 102"/>
                        <wps:cNvCnPr/>
                        <wps:spPr>
                          <a:xfrm>
                            <a:off x="4678" y="-5437"/>
                            <a:ext cx="1454" cy="0"/>
                          </a:xfrm>
                          <a:prstGeom prst="line">
                            <a:avLst/>
                          </a:prstGeom>
                          <a:ln w="2728" cap="flat" cmpd="sng">
                            <a:solidFill>
                              <a:srgbClr val="000000"/>
                            </a:solidFill>
                            <a:prstDash val="solid"/>
                            <a:headEnd type="none" w="med" len="med"/>
                            <a:tailEnd type="none" w="med" len="med"/>
                          </a:ln>
                        </wps:spPr>
                        <wps:bodyPr upright="1"/>
                      </wps:wsp>
                      <wps:wsp>
                        <wps:cNvPr id="103" name="矩形 103"/>
                        <wps:cNvSpPr/>
                        <wps:spPr>
                          <a:xfrm>
                            <a:off x="4904" y="-5128"/>
                            <a:ext cx="3644" cy="4606"/>
                          </a:xfrm>
                          <a:prstGeom prst="rect">
                            <a:avLst/>
                          </a:prstGeom>
                          <a:noFill/>
                          <a:ln w="2718" cap="flat" cmpd="sng">
                            <a:solidFill>
                              <a:srgbClr val="000000"/>
                            </a:solidFill>
                            <a:prstDash val="solid"/>
                            <a:miter/>
                            <a:headEnd type="none" w="med" len="med"/>
                            <a:tailEnd type="none" w="med" len="med"/>
                          </a:ln>
                        </wps:spPr>
                        <wps:bodyPr upright="1"/>
                      </wps:wsp>
                      <wps:wsp>
                        <wps:cNvPr id="104" name="直接连接符 104"/>
                        <wps:cNvCnPr/>
                        <wps:spPr>
                          <a:xfrm>
                            <a:off x="6733" y="-5316"/>
                            <a:ext cx="0" cy="94"/>
                          </a:xfrm>
                          <a:prstGeom prst="line">
                            <a:avLst/>
                          </a:prstGeom>
                          <a:ln w="2712" cap="flat" cmpd="sng">
                            <a:solidFill>
                              <a:srgbClr val="000000"/>
                            </a:solidFill>
                            <a:prstDash val="solid"/>
                            <a:headEnd type="none" w="med" len="med"/>
                            <a:tailEnd type="none" w="med" len="med"/>
                          </a:ln>
                        </wps:spPr>
                        <wps:bodyPr upright="1"/>
                      </wps:wsp>
                      <wps:wsp>
                        <wps:cNvPr id="105" name="任意多边形 105"/>
                        <wps:cNvSpPr/>
                        <wps:spPr>
                          <a:xfrm>
                            <a:off x="6118" y="-5491"/>
                            <a:ext cx="654" cy="363"/>
                          </a:xfrm>
                          <a:custGeom>
                            <a:avLst/>
                            <a:gdLst/>
                            <a:ahLst/>
                            <a:cxnLst/>
                            <a:pathLst>
                              <a:path w="654">
                                <a:moveTo>
                                  <a:pt x="93" y="-5437"/>
                                </a:moveTo>
                                <a:lnTo>
                                  <a:pt x="0" y="-5490"/>
                                </a:lnTo>
                                <a:lnTo>
                                  <a:pt x="0" y="-5383"/>
                                </a:lnTo>
                                <a:lnTo>
                                  <a:pt x="93" y="-5437"/>
                                </a:lnTo>
                                <a:moveTo>
                                  <a:pt x="654" y="-5222"/>
                                </a:moveTo>
                                <a:lnTo>
                                  <a:pt x="560" y="-5222"/>
                                </a:lnTo>
                                <a:lnTo>
                                  <a:pt x="614" y="-5128"/>
                                </a:lnTo>
                                <a:lnTo>
                                  <a:pt x="654" y="-5222"/>
                                </a:lnTo>
                              </a:path>
                            </a:pathLst>
                          </a:custGeom>
                          <a:solidFill>
                            <a:srgbClr val="000000"/>
                          </a:solidFill>
                          <a:ln>
                            <a:noFill/>
                          </a:ln>
                        </wps:spPr>
                        <wps:bodyPr upright="1"/>
                      </wps:wsp>
                      <wps:wsp>
                        <wps:cNvPr id="106" name="文本框 106"/>
                        <wps:cNvSpPr txBox="1"/>
                        <wps:spPr>
                          <a:xfrm>
                            <a:off x="2298" y="-5529"/>
                            <a:ext cx="661" cy="162"/>
                          </a:xfrm>
                          <a:prstGeom prst="rect">
                            <a:avLst/>
                          </a:prstGeom>
                          <a:noFill/>
                          <a:ln>
                            <a:noFill/>
                          </a:ln>
                        </wps:spPr>
                        <wps:txbx>
                          <w:txbxContent>
                            <w:p>
                              <w:pPr>
                                <w:spacing w:before="0" w:line="161" w:lineRule="exact"/>
                                <w:ind w:left="0" w:right="0" w:firstLine="0"/>
                                <w:jc w:val="left"/>
                                <w:rPr>
                                  <w:sz w:val="16"/>
                                </w:rPr>
                              </w:pPr>
                              <w:r>
                                <w:rPr>
                                  <w:sz w:val="16"/>
                                </w:rPr>
                                <w:t>风险管理</w:t>
                              </w:r>
                            </w:p>
                          </w:txbxContent>
                        </wps:txbx>
                        <wps:bodyPr lIns="0" tIns="0" rIns="0" bIns="0" upright="1"/>
                      </wps:wsp>
                      <wps:wsp>
                        <wps:cNvPr id="107" name="文本框 107"/>
                        <wps:cNvSpPr txBox="1"/>
                        <wps:spPr>
                          <a:xfrm>
                            <a:off x="3650" y="-5529"/>
                            <a:ext cx="821" cy="162"/>
                          </a:xfrm>
                          <a:prstGeom prst="rect">
                            <a:avLst/>
                          </a:prstGeom>
                          <a:noFill/>
                          <a:ln>
                            <a:noFill/>
                          </a:ln>
                        </wps:spPr>
                        <wps:txbx>
                          <w:txbxContent>
                            <w:p>
                              <w:pPr>
                                <w:spacing w:before="0" w:line="161" w:lineRule="exact"/>
                                <w:ind w:left="0" w:right="0" w:firstLine="0"/>
                                <w:jc w:val="left"/>
                                <w:rPr>
                                  <w:sz w:val="16"/>
                                </w:rPr>
                              </w:pPr>
                              <w:r>
                                <w:rPr>
                                  <w:sz w:val="16"/>
                                </w:rPr>
                                <w:t>发现、登记</w:t>
                              </w:r>
                            </w:p>
                          </w:txbxContent>
                        </wps:txbx>
                        <wps:bodyPr lIns="0" tIns="0" rIns="0" bIns="0" upright="1"/>
                      </wps:wsp>
                      <wps:wsp>
                        <wps:cNvPr id="108" name="文本框 108"/>
                        <wps:cNvSpPr txBox="1"/>
                        <wps:spPr>
                          <a:xfrm>
                            <a:off x="2086" y="-5087"/>
                            <a:ext cx="981" cy="1515"/>
                          </a:xfrm>
                          <a:prstGeom prst="rect">
                            <a:avLst/>
                          </a:prstGeom>
                          <a:noFill/>
                          <a:ln>
                            <a:noFill/>
                          </a:ln>
                        </wps:spPr>
                        <wps:txbx>
                          <w:txbxContent>
                            <w:p>
                              <w:pPr>
                                <w:spacing w:before="0" w:line="178" w:lineRule="exact"/>
                                <w:ind w:left="0" w:right="0" w:firstLine="0"/>
                                <w:jc w:val="left"/>
                                <w:rPr>
                                  <w:rFonts w:hint="eastAsia" w:ascii="宋体" w:eastAsia="宋体"/>
                                  <w:sz w:val="16"/>
                                </w:rPr>
                              </w:pPr>
                              <w:r>
                                <w:rPr>
                                  <w:rFonts w:hint="eastAsia" w:ascii="宋体" w:eastAsia="宋体"/>
                                  <w:sz w:val="16"/>
                                </w:rPr>
                                <w:t>1.协助进行风</w:t>
                              </w:r>
                            </w:p>
                            <w:p>
                              <w:pPr>
                                <w:spacing w:before="0" w:line="193" w:lineRule="exact"/>
                                <w:ind w:left="0" w:right="0" w:firstLine="0"/>
                                <w:jc w:val="left"/>
                                <w:rPr>
                                  <w:rFonts w:hint="eastAsia" w:ascii="宋体" w:eastAsia="宋体"/>
                                  <w:sz w:val="16"/>
                                </w:rPr>
                              </w:pPr>
                              <w:r>
                                <w:rPr>
                                  <w:rFonts w:hint="eastAsia" w:ascii="宋体" w:eastAsia="宋体"/>
                                  <w:sz w:val="16"/>
                                </w:rPr>
                                <w:t>险排查。</w:t>
                              </w:r>
                            </w:p>
                            <w:p>
                              <w:pPr>
                                <w:spacing w:before="3" w:line="225" w:lineRule="auto"/>
                                <w:ind w:left="0" w:right="18" w:firstLine="0"/>
                                <w:jc w:val="left"/>
                                <w:rPr>
                                  <w:rFonts w:hint="eastAsia" w:ascii="宋体" w:eastAsia="宋体"/>
                                  <w:sz w:val="16"/>
                                </w:rPr>
                              </w:pPr>
                              <w:r>
                                <w:rPr>
                                  <w:rFonts w:hint="eastAsia" w:ascii="宋体" w:eastAsia="宋体"/>
                                  <w:sz w:val="16"/>
                                </w:rPr>
                                <w:t>2.收集和提供风险信息。</w:t>
                              </w:r>
                            </w:p>
                            <w:p>
                              <w:pPr>
                                <w:spacing w:before="2" w:line="225" w:lineRule="auto"/>
                                <w:ind w:left="0" w:right="18" w:firstLine="0"/>
                                <w:jc w:val="left"/>
                                <w:rPr>
                                  <w:rFonts w:hint="eastAsia" w:ascii="宋体" w:eastAsia="宋体"/>
                                  <w:sz w:val="16"/>
                                </w:rPr>
                              </w:pPr>
                              <w:r>
                                <w:rPr>
                                  <w:rFonts w:hint="eastAsia" w:ascii="宋体" w:eastAsia="宋体"/>
                                  <w:sz w:val="16"/>
                                </w:rPr>
                                <w:t>3.参与风险评估。</w:t>
                              </w:r>
                            </w:p>
                            <w:p>
                              <w:pPr>
                                <w:spacing w:before="1" w:line="225" w:lineRule="auto"/>
                                <w:ind w:left="0" w:right="18" w:firstLine="0"/>
                                <w:jc w:val="left"/>
                                <w:rPr>
                                  <w:rFonts w:hint="eastAsia" w:ascii="宋体" w:eastAsia="宋体"/>
                                  <w:sz w:val="16"/>
                                </w:rPr>
                              </w:pPr>
                              <w:r>
                                <w:rPr>
                                  <w:rFonts w:hint="eastAsia" w:ascii="宋体" w:eastAsia="宋体"/>
                                  <w:sz w:val="16"/>
                                </w:rPr>
                                <w:t>4.参与应急预案制订。</w:t>
                              </w:r>
                            </w:p>
                          </w:txbxContent>
                        </wps:txbx>
                        <wps:bodyPr lIns="0" tIns="0" rIns="0" bIns="0" upright="1"/>
                      </wps:wsp>
                      <wps:wsp>
                        <wps:cNvPr id="109" name="文本框 109"/>
                        <wps:cNvSpPr txBox="1"/>
                        <wps:spPr>
                          <a:xfrm>
                            <a:off x="3455" y="-5087"/>
                            <a:ext cx="4954" cy="4415"/>
                          </a:xfrm>
                          <a:prstGeom prst="rect">
                            <a:avLst/>
                          </a:prstGeom>
                          <a:noFill/>
                          <a:ln>
                            <a:noFill/>
                          </a:ln>
                        </wps:spPr>
                        <wps:txbx>
                          <w:txbxContent>
                            <w:p>
                              <w:pPr>
                                <w:tabs>
                                  <w:tab w:val="left" w:pos="1490"/>
                                </w:tabs>
                                <w:spacing w:before="0" w:line="178" w:lineRule="exact"/>
                                <w:ind w:left="0" w:right="0" w:firstLine="0"/>
                                <w:jc w:val="left"/>
                                <w:rPr>
                                  <w:rFonts w:hint="eastAsia" w:ascii="宋体" w:eastAsia="宋体"/>
                                  <w:sz w:val="16"/>
                                </w:rPr>
                              </w:pPr>
                              <w:r>
                                <w:rPr>
                                  <w:rFonts w:hint="eastAsia" w:ascii="宋体" w:eastAsia="宋体"/>
                                  <w:sz w:val="16"/>
                                </w:rPr>
                                <w:t>1.首诊医生在诊</w:t>
                              </w:r>
                              <w:r>
                                <w:rPr>
                                  <w:rFonts w:hint="eastAsia" w:ascii="宋体" w:eastAsia="宋体"/>
                                  <w:sz w:val="16"/>
                                </w:rPr>
                                <w:tab/>
                              </w:r>
                              <w:r>
                                <w:rPr>
                                  <w:rFonts w:hint="eastAsia" w:ascii="宋体" w:eastAsia="宋体"/>
                                  <w:sz w:val="16"/>
                                </w:rPr>
                                <w:t>1.报告程序和方式：</w:t>
                              </w:r>
                            </w:p>
                            <w:p>
                              <w:pPr>
                                <w:tabs>
                                  <w:tab w:val="left" w:pos="1490"/>
                                </w:tabs>
                                <w:spacing w:before="3" w:line="225" w:lineRule="auto"/>
                                <w:ind w:left="0" w:right="18" w:firstLine="0"/>
                                <w:jc w:val="left"/>
                                <w:rPr>
                                  <w:rFonts w:hint="eastAsia" w:ascii="宋体" w:eastAsia="宋体"/>
                                  <w:sz w:val="16"/>
                                </w:rPr>
                              </w:pPr>
                              <w:r>
                                <w:rPr>
                                  <w:rFonts w:hint="eastAsia" w:ascii="宋体" w:eastAsia="宋体"/>
                                  <w:sz w:val="16"/>
                                </w:rPr>
                                <w:t>疗过程中发现传</w:t>
                              </w:r>
                              <w:r>
                                <w:rPr>
                                  <w:rFonts w:hint="eastAsia" w:ascii="宋体" w:eastAsia="宋体"/>
                                  <w:sz w:val="16"/>
                                </w:rPr>
                                <w:tab/>
                              </w:r>
                              <w:r>
                                <w:rPr>
                                  <w:rFonts w:hint="eastAsia" w:ascii="宋体" w:eastAsia="宋体"/>
                                  <w:sz w:val="16"/>
                                </w:rPr>
                                <w:t>具备网络直报条件的责任报告单位，在规定时间染病病人、疑似</w:t>
                              </w:r>
                              <w:r>
                                <w:rPr>
                                  <w:rFonts w:hint="eastAsia" w:ascii="宋体" w:eastAsia="宋体"/>
                                  <w:sz w:val="16"/>
                                </w:rPr>
                                <w:tab/>
                              </w:r>
                              <w:r>
                                <w:rPr>
                                  <w:rFonts w:hint="eastAsia" w:ascii="宋体" w:eastAsia="宋体"/>
                                  <w:sz w:val="16"/>
                                </w:rPr>
                                <w:t>内进行传染病和/或突发公共卫生事件相关信息的病人后，按要求</w:t>
                              </w:r>
                              <w:r>
                                <w:rPr>
                                  <w:rFonts w:hint="eastAsia" w:ascii="宋体" w:eastAsia="宋体"/>
                                  <w:sz w:val="16"/>
                                </w:rPr>
                                <w:tab/>
                              </w:r>
                              <w:r>
                                <w:rPr>
                                  <w:rFonts w:hint="eastAsia" w:ascii="宋体" w:eastAsia="宋体"/>
                                  <w:sz w:val="16"/>
                                </w:rPr>
                                <w:t>网络直报；不具备网络直报条件的责任报告单位填写《中华人民</w:t>
                              </w:r>
                              <w:r>
                                <w:rPr>
                                  <w:rFonts w:hint="eastAsia" w:ascii="宋体" w:eastAsia="宋体"/>
                                  <w:sz w:val="16"/>
                                </w:rPr>
                                <w:tab/>
                              </w:r>
                              <w:r>
                                <w:rPr>
                                  <w:rFonts w:hint="eastAsia" w:ascii="宋体" w:eastAsia="宋体"/>
                                  <w:sz w:val="16"/>
                                </w:rPr>
                                <w:t>，按相关要求通过电话、传真等方式进行传染病共和国传染病报</w:t>
                              </w:r>
                              <w:r>
                                <w:rPr>
                                  <w:rFonts w:hint="eastAsia" w:ascii="宋体" w:eastAsia="宋体"/>
                                  <w:sz w:val="16"/>
                                </w:rPr>
                                <w:tab/>
                              </w:r>
                              <w:r>
                                <w:rPr>
                                  <w:rFonts w:hint="eastAsia" w:ascii="宋体" w:eastAsia="宋体"/>
                                  <w:sz w:val="16"/>
                                </w:rPr>
                                <w:t>和/或突发公共卫生事件相关信息报告，同时向辖告卡》。</w:t>
                              </w:r>
                              <w:r>
                                <w:rPr>
                                  <w:rFonts w:hint="eastAsia" w:ascii="宋体" w:eastAsia="宋体"/>
                                  <w:sz w:val="16"/>
                                </w:rPr>
                                <w:tab/>
                              </w:r>
                              <w:r>
                                <w:rPr>
                                  <w:rFonts w:hint="eastAsia" w:ascii="宋体" w:eastAsia="宋体"/>
                                  <w:sz w:val="16"/>
                                </w:rPr>
                                <w:t>区县级疾病预防控制机构报送《传染病报告卡》</w:t>
                              </w:r>
                            </w:p>
                            <w:p>
                              <w:pPr>
                                <w:tabs>
                                  <w:tab w:val="left" w:pos="1490"/>
                                </w:tabs>
                                <w:spacing w:before="4" w:line="225" w:lineRule="auto"/>
                                <w:ind w:left="0" w:right="178" w:firstLine="0"/>
                                <w:jc w:val="left"/>
                                <w:rPr>
                                  <w:rFonts w:hint="eastAsia" w:ascii="宋体" w:eastAsia="宋体"/>
                                  <w:sz w:val="16"/>
                                </w:rPr>
                              </w:pPr>
                              <w:r>
                                <w:rPr>
                                  <w:rFonts w:hint="eastAsia" w:ascii="宋体" w:eastAsia="宋体"/>
                                  <w:sz w:val="16"/>
                                </w:rPr>
                                <w:t>2.如发现或怀疑</w:t>
                              </w:r>
                              <w:r>
                                <w:rPr>
                                  <w:rFonts w:hint="eastAsia" w:ascii="宋体" w:eastAsia="宋体"/>
                                  <w:sz w:val="16"/>
                                </w:rPr>
                                <w:tab/>
                              </w:r>
                              <w:r>
                                <w:rPr>
                                  <w:rFonts w:hint="eastAsia" w:ascii="宋体" w:eastAsia="宋体"/>
                                  <w:sz w:val="16"/>
                                </w:rPr>
                                <w:t>和/或《突发公共卫生事件相关信息报告卡》。为突发公共卫生</w:t>
                              </w:r>
                              <w:r>
                                <w:rPr>
                                  <w:rFonts w:hint="eastAsia" w:ascii="宋体" w:eastAsia="宋体"/>
                                  <w:sz w:val="16"/>
                                </w:rPr>
                                <w:tab/>
                              </w:r>
                              <w:r>
                                <w:rPr>
                                  <w:rFonts w:hint="eastAsia" w:ascii="宋体" w:eastAsia="宋体"/>
                                  <w:sz w:val="16"/>
                                </w:rPr>
                                <w:t>2.报告时限：</w:t>
                              </w:r>
                            </w:p>
                            <w:p>
                              <w:pPr>
                                <w:spacing w:before="2" w:line="225" w:lineRule="auto"/>
                                <w:ind w:left="0" w:right="98" w:firstLine="0"/>
                                <w:jc w:val="both"/>
                                <w:rPr>
                                  <w:rFonts w:hint="eastAsia" w:ascii="宋体" w:eastAsia="宋体"/>
                                  <w:sz w:val="16"/>
                                </w:rPr>
                              </w:pPr>
                              <w:r>
                                <w:rPr>
                                  <w:rFonts w:hint="eastAsia" w:ascii="宋体" w:eastAsia="宋体"/>
                                  <w:sz w:val="16"/>
                                </w:rPr>
                                <w:t>事件时，按要求   发现甲类传染病和乙类传染病中的肺炭疽、传染填写《突发公共   性非典型肺炎、埃博拉出血热、人感染禽流感、卫生事件相关信   寨卡病毒病、黄热病、拉沙热、裂谷热、西尼罗息报告卡》。 病毒等新发输入传染病人和疑似病人，或发现其</w:t>
                              </w:r>
                            </w:p>
                            <w:p>
                              <w:pPr>
                                <w:spacing w:before="2" w:line="225" w:lineRule="auto"/>
                                <w:ind w:left="1490" w:right="18" w:firstLine="0"/>
                                <w:jc w:val="left"/>
                                <w:rPr>
                                  <w:rFonts w:hint="eastAsia" w:ascii="宋体" w:eastAsia="宋体"/>
                                  <w:sz w:val="16"/>
                                </w:rPr>
                              </w:pPr>
                              <w:r>
                                <w:rPr>
                                  <w:rFonts w:hint="eastAsia" w:ascii="宋体" w:eastAsia="宋体"/>
                                  <w:sz w:val="16"/>
                                </w:rPr>
                                <w:t>他传染病、不明原因疾病暴发和突发公共卫生事件相关信息时，应按有关要求于2小时内报告。发现其他乙、丙类传染病病人、疑似病人和规定报告的传染病病原携带者，应于24小时内报告。</w:t>
                              </w:r>
                            </w:p>
                            <w:p>
                              <w:pPr>
                                <w:spacing w:before="0" w:line="192" w:lineRule="exact"/>
                                <w:ind w:left="1490" w:right="0" w:firstLine="0"/>
                                <w:jc w:val="left"/>
                                <w:rPr>
                                  <w:rFonts w:hint="eastAsia" w:ascii="宋体" w:eastAsia="宋体"/>
                                  <w:sz w:val="16"/>
                                </w:rPr>
                              </w:pPr>
                              <w:r>
                                <w:rPr>
                                  <w:rFonts w:hint="eastAsia" w:ascii="宋体" w:eastAsia="宋体"/>
                                  <w:sz w:val="16"/>
                                </w:rPr>
                                <w:t>3.订正报告和补报：</w:t>
                              </w:r>
                            </w:p>
                            <w:p>
                              <w:pPr>
                                <w:spacing w:before="4" w:line="225" w:lineRule="auto"/>
                                <w:ind w:left="1490" w:right="18" w:firstLine="0"/>
                                <w:jc w:val="left"/>
                                <w:rPr>
                                  <w:rFonts w:hint="eastAsia" w:ascii="宋体" w:eastAsia="宋体"/>
                                  <w:sz w:val="16"/>
                                </w:rPr>
                              </w:pPr>
                              <w:r>
                                <w:rPr>
                                  <w:rFonts w:hint="eastAsia" w:ascii="宋体" w:eastAsia="宋体"/>
                                  <w:sz w:val="16"/>
                                </w:rPr>
                                <w:t>发现报告错误，或报告病例转归或诊断情况发生变化时，应及时对《传染病报告卡》和/或《突发公共卫生事件相关信息报告卡》等进行订正；对漏报的传染病病例和/或突发公共卫生事件，应及时进行补报。</w:t>
                              </w:r>
                            </w:p>
                          </w:txbxContent>
                        </wps:txbx>
                        <wps:bodyPr lIns="0" tIns="0" rIns="0" bIns="0" upright="1"/>
                      </wps:wsp>
                      <wps:wsp>
                        <wps:cNvPr id="110" name="文本框 110"/>
                        <wps:cNvSpPr txBox="1"/>
                        <wps:spPr>
                          <a:xfrm>
                            <a:off x="6212" y="-5571"/>
                            <a:ext cx="1041" cy="256"/>
                          </a:xfrm>
                          <a:prstGeom prst="rect">
                            <a:avLst/>
                          </a:prstGeom>
                          <a:noFill/>
                          <a:ln w="2727" cap="flat" cmpd="sng">
                            <a:solidFill>
                              <a:srgbClr val="000000"/>
                            </a:solidFill>
                            <a:prstDash val="solid"/>
                            <a:miter/>
                            <a:headEnd type="none" w="med" len="med"/>
                            <a:tailEnd type="none" w="med" len="med"/>
                          </a:ln>
                        </wps:spPr>
                        <wps:txbx>
                          <w:txbxContent>
                            <w:p>
                              <w:pPr>
                                <w:spacing w:before="24"/>
                                <w:ind w:left="335" w:right="0" w:firstLine="0"/>
                                <w:jc w:val="left"/>
                                <w:rPr>
                                  <w:sz w:val="16"/>
                                </w:rPr>
                              </w:pPr>
                              <w:r>
                                <w:rPr>
                                  <w:sz w:val="16"/>
                                </w:rPr>
                                <w:t>报告</w:t>
                              </w:r>
                            </w:p>
                          </w:txbxContent>
                        </wps:txbx>
                        <wps:bodyPr lIns="0" tIns="0" rIns="0" bIns="0" upright="1"/>
                      </wps:wsp>
                    </wpg:wgp>
                  </a:graphicData>
                </a:graphic>
              </wp:anchor>
            </w:drawing>
          </mc:Choice>
          <mc:Fallback>
            <w:pict>
              <v:group id="_x0000_s1026" o:spid="_x0000_s1026" o:spt="203" style="position:absolute;left:0pt;margin-left:102.3pt;margin-top:-278.65pt;height:252.65pt;width:325.2pt;mso-position-horizontal-relative:page;z-index:-251657216;mso-width-relative:page;mso-height-relative:page;" coordorigin="2046,-5573" coordsize="6504,5053" o:gfxdata="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D7jel/2wAAAAwBAAAPAAAAAAAAAAEAIAAAACIAAABkcnMvZG93bnJldi54bWxQSwEC&#10;FAAUAAAACACHTuJAi8Qxz2UGAAAzKwAADgAAAAAAAAABACAAAAAqAQAAZHJzL2Uyb0RvYy54bWxQ&#10;SwUGAAAAAAYABgBZAQAAAQoAAAAA&#10;">
                <o:lock v:ext="edit" aspectratio="f"/>
                <v:rect id="_x0000_s1026" o:spid="_x0000_s1026" o:spt="1" style="position:absolute;left:3423;top:-5571;height:256;width:1255;" filled="f" stroked="t" coordsize="21600,21600" o:gfxdata="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cgr4A&#10;AADbAAAADwAAAAAAAAABACAAAAAiAAAAZHJzL2Rvd25yZXYueG1sUEsBAhQAFAAAAAgAh07iQDMv&#10;BZ47AAAAOQAAABAAAAAAAAAAAQAgAAAADQEAAGRycy9zaGFwZXhtbC54bWxQSwUGAAAAAAYABgBb&#10;AQAAtwMAAAAA&#10;">
                  <v:fill on="f" focussize="0,0"/>
                  <v:stroke weight="0.214803149606299pt" color="#000000" joinstyle="miter"/>
                  <v:imagedata o:title=""/>
                  <o:lock v:ext="edit" aspectratio="f"/>
                </v:rect>
                <v:line id="_x0000_s1026" o:spid="_x0000_s1026" o:spt="20" style="position:absolute;left:4050;top:-5316;height:94;width:0;" filled="f" stroked="t" coordsize="21600,21600" o:gfxdata="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hdnb4A&#10;AADbAAAADwAAAAAAAAABACAAAAAiAAAAZHJzL2Rvd25yZXYueG1sUEsBAhQAFAAAAAgAh07iQDMv&#10;BZ47AAAAOQAAABAAAAAAAAAAAQAgAAAADQEAAGRycy9zaGFwZXhtbC54bWxQSwUGAAAAAAYABgBb&#10;AQAAtwMAAAAA&#10;">
                  <v:fill on="f" focussize="0,0"/>
                  <v:stroke weight="0.213543307086614pt" color="#000000" joinstyle="round"/>
                  <v:imagedata o:title=""/>
                  <o:lock v:ext="edit" aspectratio="f"/>
                </v:line>
                <v:rect id="_x0000_s1026" o:spid="_x0000_s1026" o:spt="1" style="position:absolute;left:3423;top:-5128;height:4606;width:1255;" filled="f" stroked="t" coordsize="21600,21600" o:gfxdata="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ny24vQAA&#10;ANsAAAAPAAAAAAAAAAEAIAAAACIAAABkcnMvZG93bnJldi54bWxQSwECFAAUAAAACACHTuJAMy8F&#10;njsAAAA5AAAAEAAAAAAAAAABACAAAAAMAQAAZHJzL3NoYXBleG1sLnhtbFBLBQYAAAAABgAGAFsB&#10;AAC2AwAAAAA=&#10;">
                  <v:fill on="f" focussize="0,0"/>
                  <v:stroke weight="0.213622047244094pt" color="#000000" joinstyle="miter"/>
                  <v:imagedata o:title=""/>
                  <o:lock v:ext="edit" aspectratio="f"/>
                </v:rect>
                <v:shape id="_x0000_s1026" o:spid="_x0000_s1026" o:spt="100" style="position:absolute;left:3996;top:-5222;height:94;width:107;" fillcolor="#000000" filled="t" stroked="f" coordsize="107,1" o:gfxdata="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lRgr4A&#10;AADbAAAADwAAAAAAAAABACAAAAAiAAAAZHJzL2Rvd25yZXYueG1sUEsBAhQAFAAAAAgAh07iQDMv&#10;BZ47AAAAOQAAABAAAAAAAAAAAQAgAAAADQEAAGRycy9zaGFwZXhtbC54bWxQSwUGAAAAAAYABgBb&#10;AQAAtwMAAAAA&#10;" path="m107,-5222l0,-5222,53,-5128,107,-5222xe">
                  <v:fill on="t" focussize="0,0"/>
                  <v:stroke on="f"/>
                  <v:imagedata o:title=""/>
                  <o:lock v:ext="edit" aspectratio="f"/>
                </v:shape>
                <v:rect id="_x0000_s1026" o:spid="_x0000_s1026" o:spt="1" style="position:absolute;left:2115;top:-5571;height:256;width:1015;" filled="f" stroked="t" coordsize="21600,21600" o:gfxdata="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CrB7sAAADb&#10;AAAADwAAAAAAAAABACAAAAAiAAAAZHJzL2Rvd25yZXYueG1sUEsBAhQAFAAAAAgAh07iQDMvBZ47&#10;AAAAOQAAABAAAAAAAAAAAQAgAAAACgEAAGRycy9zaGFwZXhtbC54bWxQSwUGAAAAAAYABgBbAQAA&#10;tAMAAAAA&#10;">
                  <v:fill on="f" focussize="0,0"/>
                  <v:stroke weight="0.214724409448819pt" color="#000000" joinstyle="miter"/>
                  <v:imagedata o:title=""/>
                  <o:lock v:ext="edit" aspectratio="f"/>
                </v:rect>
                <v:line id="_x0000_s1026" o:spid="_x0000_s1026" o:spt="20" style="position:absolute;left:2622;top:-5316;height:94;width:0;" filled="f" stroked="t" coordsize="21600,21600" o:gfxdata="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Nbnr4A&#10;AADbAAAADwAAAAAAAAABACAAAAAiAAAAZHJzL2Rvd25yZXYueG1sUEsBAhQAFAAAAAgAh07iQDMv&#10;BZ47AAAAOQAAABAAAAAAAAAAAQAgAAAADQEAAGRycy9zaGFwZXhtbC54bWxQSwUGAAAAAAYABgBb&#10;AQAAtwMAAAAA&#10;">
                  <v:fill on="f" focussize="0,0"/>
                  <v:stroke weight="0.213543307086614pt" color="#000000" joinstyle="round"/>
                  <v:imagedata o:title=""/>
                  <o:lock v:ext="edit" aspectratio="f"/>
                </v:line>
                <v:rect id="_x0000_s1026" o:spid="_x0000_s1026" o:spt="1" style="position:absolute;left:2048;top:-5128;height:4606;width:1135;" filled="f" stroked="t" coordsize="21600,21600" o:gfxdata="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ie9ugAAANsA&#10;AAAPAAAAAAAAAAEAIAAAACIAAABkcnMvZG93bnJldi54bWxQSwECFAAUAAAACACHTuJAMy8FnjsA&#10;AAA5AAAAEAAAAAAAAAABACAAAAAJAQAAZHJzL3NoYXBleG1sLnhtbFBLBQYAAAAABgAGAFsBAACz&#10;AwAAAAA=&#10;">
                  <v:fill on="f" focussize="0,0"/>
                  <v:stroke weight="0.213622047244094pt" color="#000000" joinstyle="miter"/>
                  <v:imagedata o:title=""/>
                  <o:lock v:ext="edit" aspectratio="f"/>
                </v:rect>
                <v:shape id="_x0000_s1026" o:spid="_x0000_s1026" o:spt="100" style="position:absolute;left:2568;top:-5222;height:94;width:94;" fillcolor="#000000" filled="t" stroked="f" coordsize="94,1" o:gfxdata="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PvPu8AAAA&#10;2wAAAA8AAAAAAAAAAQAgAAAAIgAAAGRycy9kb3ducmV2LnhtbFBLAQIUABQAAAAIAIdO4kAzLwWe&#10;OwAAADkAAAAQAAAAAAAAAAEAIAAAAAsBAABkcnMvc2hhcGV4bWwueG1sUEsFBgAAAAAGAAYAWwEA&#10;ALUDAAAAAA==&#10;" path="m93,-5222l0,-5222,53,-5128,93,-5222xe">
                  <v:fill on="t" focussize="0,0"/>
                  <v:stroke on="f"/>
                  <v:imagedata o:title=""/>
                  <o:lock v:ext="edit" aspectratio="f"/>
                </v:shape>
                <v:line id="_x0000_s1026" o:spid="_x0000_s1026" o:spt="20" style="position:absolute;left:3129;top:-5437;height:0;width:201;" filled="f" stroked="t" coordsize="21600,21600" o:gfxdata="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R1hvQAA&#10;ANwAAAAPAAAAAAAAAAEAIAAAACIAAABkcnMvZG93bnJldi54bWxQSwECFAAUAAAACACHTuJAMy8F&#10;njsAAAA5AAAAEAAAAAAAAAABACAAAAAMAQAAZHJzL3NoYXBleG1sLnhtbFBLBQYAAAAABgAGAFsB&#10;AAC2AwAAAAA=&#10;">
                  <v:fill on="f" focussize="0,0"/>
                  <v:stroke weight="0.214803149606299pt" color="#000000" joinstyle="round"/>
                  <v:imagedata o:title=""/>
                  <o:lock v:ext="edit" aspectratio="f"/>
                </v:line>
                <v:shape id="_x0000_s1026" o:spid="_x0000_s1026" o:spt="100" style="position:absolute;left:3316;top:-5491;height:108;width:107;" fillcolor="#000000" filled="t" stroked="f" coordsize="107,1" o:gfxdata="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OrLsAAADc&#10;AAAADwAAAAAAAAABACAAAAAiAAAAZHJzL2Rvd25yZXYueG1sUEsBAhQAFAAAAAgAh07iQDMvBZ47&#10;AAAAOQAAABAAAAAAAAAAAQAgAAAACgEAAGRycy9zaGFwZXhtbC54bWxQSwUGAAAAAAYABgBbAQAA&#10;tAMAAAAA&#10;" path="m0,-5490l0,-5383,107,-5437,0,-5490xe">
                  <v:fill on="t" focussize="0,0"/>
                  <v:stroke on="f"/>
                  <v:imagedata o:title=""/>
                  <o:lock v:ext="edit" aspectratio="f"/>
                </v:shape>
                <v:line id="_x0000_s1026" o:spid="_x0000_s1026" o:spt="20" style="position:absolute;left:4678;top:-5437;height:0;width:1454;" filled="f" stroked="t" coordsize="21600,21600" o:gfxdata="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ByaNugAAANwA&#10;AAAPAAAAAAAAAAEAIAAAACIAAABkcnMvZG93bnJldi54bWxQSwECFAAUAAAACACHTuJAMy8FnjsA&#10;AAA5AAAAEAAAAAAAAAABACAAAAAJAQAAZHJzL3NoYXBleG1sLnhtbFBLBQYAAAAABgAGAFsBAACz&#10;AwAAAAA=&#10;">
                  <v:fill on="f" focussize="0,0"/>
                  <v:stroke weight="0.214803149606299pt" color="#000000" joinstyle="round"/>
                  <v:imagedata o:title=""/>
                  <o:lock v:ext="edit" aspectratio="f"/>
                </v:line>
                <v:rect id="_x0000_s1026" o:spid="_x0000_s1026" o:spt="1" style="position:absolute;left:4904;top:-5128;height:4606;width:3644;" filled="f" stroked="t" coordsize="21600,21600" o:gfxdata="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g2AC5AAAA3AAA&#10;AA8AAAAAAAAAAQAgAAAAIgAAAGRycy9kb3ducmV2LnhtbFBLAQIUABQAAAAIAIdO4kAzLwWeOwAA&#10;ADkAAAAQAAAAAAAAAAEAIAAAAAgBAABkcnMvc2hhcGV4bWwueG1sUEsFBgAAAAAGAAYAWwEAALID&#10;AAAAAA==&#10;">
                  <v:fill on="f" focussize="0,0"/>
                  <v:stroke weight="0.214015748031496pt" color="#000000" joinstyle="miter"/>
                  <v:imagedata o:title=""/>
                  <o:lock v:ext="edit" aspectratio="f"/>
                </v:rect>
                <v:line id="_x0000_s1026" o:spid="_x0000_s1026" o:spt="20" style="position:absolute;left:6733;top:-5316;height:94;width:0;" filled="f" stroked="t" coordsize="21600,21600" o:gfxdata="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9Nl+8AAAA&#10;3AAAAA8AAAAAAAAAAQAgAAAAIgAAAGRycy9kb3ducmV2LnhtbFBLAQIUABQAAAAIAIdO4kAzLwWe&#10;OwAAADkAAAAQAAAAAAAAAAEAIAAAAAsBAABkcnMvc2hhcGV4bWwueG1sUEsFBgAAAAAGAAYAWwEA&#10;ALUDAAAAAA==&#10;">
                  <v:fill on="f" focussize="0,0"/>
                  <v:stroke weight="0.213543307086614pt" color="#000000" joinstyle="round"/>
                  <v:imagedata o:title=""/>
                  <o:lock v:ext="edit" aspectratio="f"/>
                </v:line>
                <v:shape id="_x0000_s1026" o:spid="_x0000_s1026" o:spt="100" style="position:absolute;left:6118;top:-5491;height:363;width:654;" fillcolor="#000000" filled="t" stroked="f" coordsize="654,1" o:gfxdata="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HI/7sAAADc&#10;AAAADwAAAAAAAAABACAAAAAiAAAAZHJzL2Rvd25yZXYueG1sUEsBAhQAFAAAAAgAh07iQDMvBZ47&#10;AAAAOQAAABAAAAAAAAAAAQAgAAAACgEAAGRycy9zaGFwZXhtbC54bWxQSwUGAAAAAAYABgBbAQAA&#10;tAMAAAAA&#10;" path="m93,-5437l0,-5490,0,-5383,93,-5437m654,-5222l560,-5222,614,-5128,654,-5222e">
                  <v:fill on="t" focussize="0,0"/>
                  <v:stroke on="f"/>
                  <v:imagedata o:title=""/>
                  <o:lock v:ext="edit" aspectratio="f"/>
                </v:shape>
                <v:shape id="_x0000_s1026" o:spid="_x0000_s1026" o:spt="202" type="#_x0000_t202" style="position:absolute;left:2298;top:-5529;height:162;width:661;"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61" w:lineRule="exact"/>
                          <w:ind w:left="0" w:right="0" w:firstLine="0"/>
                          <w:jc w:val="left"/>
                          <w:rPr>
                            <w:sz w:val="16"/>
                          </w:rPr>
                        </w:pPr>
                        <w:r>
                          <w:rPr>
                            <w:sz w:val="16"/>
                          </w:rPr>
                          <w:t>风险管理</w:t>
                        </w:r>
                      </w:p>
                    </w:txbxContent>
                  </v:textbox>
                </v:shape>
                <v:shape id="_x0000_s1026" o:spid="_x0000_s1026" o:spt="202" type="#_x0000_t202" style="position:absolute;left:3650;top:-5529;height:162;width:821;"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61" w:lineRule="exact"/>
                          <w:ind w:left="0" w:right="0" w:firstLine="0"/>
                          <w:jc w:val="left"/>
                          <w:rPr>
                            <w:sz w:val="16"/>
                          </w:rPr>
                        </w:pPr>
                        <w:r>
                          <w:rPr>
                            <w:sz w:val="16"/>
                          </w:rPr>
                          <w:t>发现、登记</w:t>
                        </w:r>
                      </w:p>
                    </w:txbxContent>
                  </v:textbox>
                </v:shape>
                <v:shape id="_x0000_s1026" o:spid="_x0000_s1026" o:spt="202" type="#_x0000_t202" style="position:absolute;left:2086;top:-5087;height:1515;width:981;"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78" w:lineRule="exact"/>
                          <w:ind w:left="0" w:right="0" w:firstLine="0"/>
                          <w:jc w:val="left"/>
                          <w:rPr>
                            <w:rFonts w:hint="eastAsia" w:ascii="宋体" w:eastAsia="宋体"/>
                            <w:sz w:val="16"/>
                          </w:rPr>
                        </w:pPr>
                        <w:r>
                          <w:rPr>
                            <w:rFonts w:hint="eastAsia" w:ascii="宋体" w:eastAsia="宋体"/>
                            <w:sz w:val="16"/>
                          </w:rPr>
                          <w:t>1.协助进行风</w:t>
                        </w:r>
                      </w:p>
                      <w:p>
                        <w:pPr>
                          <w:spacing w:before="0" w:line="193" w:lineRule="exact"/>
                          <w:ind w:left="0" w:right="0" w:firstLine="0"/>
                          <w:jc w:val="left"/>
                          <w:rPr>
                            <w:rFonts w:hint="eastAsia" w:ascii="宋体" w:eastAsia="宋体"/>
                            <w:sz w:val="16"/>
                          </w:rPr>
                        </w:pPr>
                        <w:r>
                          <w:rPr>
                            <w:rFonts w:hint="eastAsia" w:ascii="宋体" w:eastAsia="宋体"/>
                            <w:sz w:val="16"/>
                          </w:rPr>
                          <w:t>险排查。</w:t>
                        </w:r>
                      </w:p>
                      <w:p>
                        <w:pPr>
                          <w:spacing w:before="3" w:line="225" w:lineRule="auto"/>
                          <w:ind w:left="0" w:right="18" w:firstLine="0"/>
                          <w:jc w:val="left"/>
                          <w:rPr>
                            <w:rFonts w:hint="eastAsia" w:ascii="宋体" w:eastAsia="宋体"/>
                            <w:sz w:val="16"/>
                          </w:rPr>
                        </w:pPr>
                        <w:r>
                          <w:rPr>
                            <w:rFonts w:hint="eastAsia" w:ascii="宋体" w:eastAsia="宋体"/>
                            <w:sz w:val="16"/>
                          </w:rPr>
                          <w:t>2.收集和提供风险信息。</w:t>
                        </w:r>
                      </w:p>
                      <w:p>
                        <w:pPr>
                          <w:spacing w:before="2" w:line="225" w:lineRule="auto"/>
                          <w:ind w:left="0" w:right="18" w:firstLine="0"/>
                          <w:jc w:val="left"/>
                          <w:rPr>
                            <w:rFonts w:hint="eastAsia" w:ascii="宋体" w:eastAsia="宋体"/>
                            <w:sz w:val="16"/>
                          </w:rPr>
                        </w:pPr>
                        <w:r>
                          <w:rPr>
                            <w:rFonts w:hint="eastAsia" w:ascii="宋体" w:eastAsia="宋体"/>
                            <w:sz w:val="16"/>
                          </w:rPr>
                          <w:t>3.参与风险评估。</w:t>
                        </w:r>
                      </w:p>
                      <w:p>
                        <w:pPr>
                          <w:spacing w:before="1" w:line="225" w:lineRule="auto"/>
                          <w:ind w:left="0" w:right="18" w:firstLine="0"/>
                          <w:jc w:val="left"/>
                          <w:rPr>
                            <w:rFonts w:hint="eastAsia" w:ascii="宋体" w:eastAsia="宋体"/>
                            <w:sz w:val="16"/>
                          </w:rPr>
                        </w:pPr>
                        <w:r>
                          <w:rPr>
                            <w:rFonts w:hint="eastAsia" w:ascii="宋体" w:eastAsia="宋体"/>
                            <w:sz w:val="16"/>
                          </w:rPr>
                          <w:t>4.参与应急预案制订。</w:t>
                        </w:r>
                      </w:p>
                    </w:txbxContent>
                  </v:textbox>
                </v:shape>
                <v:shape id="_x0000_s1026" o:spid="_x0000_s1026" o:spt="202" type="#_x0000_t202" style="position:absolute;left:3455;top:-5087;height:4415;width:4954;"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tabs>
                            <w:tab w:val="left" w:pos="1490"/>
                          </w:tabs>
                          <w:spacing w:before="0" w:line="178" w:lineRule="exact"/>
                          <w:ind w:left="0" w:right="0" w:firstLine="0"/>
                          <w:jc w:val="left"/>
                          <w:rPr>
                            <w:rFonts w:hint="eastAsia" w:ascii="宋体" w:eastAsia="宋体"/>
                            <w:sz w:val="16"/>
                          </w:rPr>
                        </w:pPr>
                        <w:r>
                          <w:rPr>
                            <w:rFonts w:hint="eastAsia" w:ascii="宋体" w:eastAsia="宋体"/>
                            <w:sz w:val="16"/>
                          </w:rPr>
                          <w:t>1.首诊医生在诊</w:t>
                        </w:r>
                        <w:r>
                          <w:rPr>
                            <w:rFonts w:hint="eastAsia" w:ascii="宋体" w:eastAsia="宋体"/>
                            <w:sz w:val="16"/>
                          </w:rPr>
                          <w:tab/>
                        </w:r>
                        <w:r>
                          <w:rPr>
                            <w:rFonts w:hint="eastAsia" w:ascii="宋体" w:eastAsia="宋体"/>
                            <w:sz w:val="16"/>
                          </w:rPr>
                          <w:t>1.报告程序和方式：</w:t>
                        </w:r>
                      </w:p>
                      <w:p>
                        <w:pPr>
                          <w:tabs>
                            <w:tab w:val="left" w:pos="1490"/>
                          </w:tabs>
                          <w:spacing w:before="3" w:line="225" w:lineRule="auto"/>
                          <w:ind w:left="0" w:right="18" w:firstLine="0"/>
                          <w:jc w:val="left"/>
                          <w:rPr>
                            <w:rFonts w:hint="eastAsia" w:ascii="宋体" w:eastAsia="宋体"/>
                            <w:sz w:val="16"/>
                          </w:rPr>
                        </w:pPr>
                        <w:r>
                          <w:rPr>
                            <w:rFonts w:hint="eastAsia" w:ascii="宋体" w:eastAsia="宋体"/>
                            <w:sz w:val="16"/>
                          </w:rPr>
                          <w:t>疗过程中发现传</w:t>
                        </w:r>
                        <w:r>
                          <w:rPr>
                            <w:rFonts w:hint="eastAsia" w:ascii="宋体" w:eastAsia="宋体"/>
                            <w:sz w:val="16"/>
                          </w:rPr>
                          <w:tab/>
                        </w:r>
                        <w:r>
                          <w:rPr>
                            <w:rFonts w:hint="eastAsia" w:ascii="宋体" w:eastAsia="宋体"/>
                            <w:sz w:val="16"/>
                          </w:rPr>
                          <w:t>具备网络直报条件的责任报告单位，在规定时间染病病人、疑似</w:t>
                        </w:r>
                        <w:r>
                          <w:rPr>
                            <w:rFonts w:hint="eastAsia" w:ascii="宋体" w:eastAsia="宋体"/>
                            <w:sz w:val="16"/>
                          </w:rPr>
                          <w:tab/>
                        </w:r>
                        <w:r>
                          <w:rPr>
                            <w:rFonts w:hint="eastAsia" w:ascii="宋体" w:eastAsia="宋体"/>
                            <w:sz w:val="16"/>
                          </w:rPr>
                          <w:t>内进行传染病和/或突发公共卫生事件相关信息的病人后，按要求</w:t>
                        </w:r>
                        <w:r>
                          <w:rPr>
                            <w:rFonts w:hint="eastAsia" w:ascii="宋体" w:eastAsia="宋体"/>
                            <w:sz w:val="16"/>
                          </w:rPr>
                          <w:tab/>
                        </w:r>
                        <w:r>
                          <w:rPr>
                            <w:rFonts w:hint="eastAsia" w:ascii="宋体" w:eastAsia="宋体"/>
                            <w:sz w:val="16"/>
                          </w:rPr>
                          <w:t>网络直报；不具备网络直报条件的责任报告单位填写《中华人民</w:t>
                        </w:r>
                        <w:r>
                          <w:rPr>
                            <w:rFonts w:hint="eastAsia" w:ascii="宋体" w:eastAsia="宋体"/>
                            <w:sz w:val="16"/>
                          </w:rPr>
                          <w:tab/>
                        </w:r>
                        <w:r>
                          <w:rPr>
                            <w:rFonts w:hint="eastAsia" w:ascii="宋体" w:eastAsia="宋体"/>
                            <w:sz w:val="16"/>
                          </w:rPr>
                          <w:t>，按相关要求通过电话、传真等方式进行传染病共和国传染病报</w:t>
                        </w:r>
                        <w:r>
                          <w:rPr>
                            <w:rFonts w:hint="eastAsia" w:ascii="宋体" w:eastAsia="宋体"/>
                            <w:sz w:val="16"/>
                          </w:rPr>
                          <w:tab/>
                        </w:r>
                        <w:r>
                          <w:rPr>
                            <w:rFonts w:hint="eastAsia" w:ascii="宋体" w:eastAsia="宋体"/>
                            <w:sz w:val="16"/>
                          </w:rPr>
                          <w:t>和/或突发公共卫生事件相关信息报告，同时向辖告卡》。</w:t>
                        </w:r>
                        <w:r>
                          <w:rPr>
                            <w:rFonts w:hint="eastAsia" w:ascii="宋体" w:eastAsia="宋体"/>
                            <w:sz w:val="16"/>
                          </w:rPr>
                          <w:tab/>
                        </w:r>
                        <w:r>
                          <w:rPr>
                            <w:rFonts w:hint="eastAsia" w:ascii="宋体" w:eastAsia="宋体"/>
                            <w:sz w:val="16"/>
                          </w:rPr>
                          <w:t>区县级疾病预防控制机构报送《传染病报告卡》</w:t>
                        </w:r>
                      </w:p>
                      <w:p>
                        <w:pPr>
                          <w:tabs>
                            <w:tab w:val="left" w:pos="1490"/>
                          </w:tabs>
                          <w:spacing w:before="4" w:line="225" w:lineRule="auto"/>
                          <w:ind w:left="0" w:right="178" w:firstLine="0"/>
                          <w:jc w:val="left"/>
                          <w:rPr>
                            <w:rFonts w:hint="eastAsia" w:ascii="宋体" w:eastAsia="宋体"/>
                            <w:sz w:val="16"/>
                          </w:rPr>
                        </w:pPr>
                        <w:r>
                          <w:rPr>
                            <w:rFonts w:hint="eastAsia" w:ascii="宋体" w:eastAsia="宋体"/>
                            <w:sz w:val="16"/>
                          </w:rPr>
                          <w:t>2.如发现或怀疑</w:t>
                        </w:r>
                        <w:r>
                          <w:rPr>
                            <w:rFonts w:hint="eastAsia" w:ascii="宋体" w:eastAsia="宋体"/>
                            <w:sz w:val="16"/>
                          </w:rPr>
                          <w:tab/>
                        </w:r>
                        <w:r>
                          <w:rPr>
                            <w:rFonts w:hint="eastAsia" w:ascii="宋体" w:eastAsia="宋体"/>
                            <w:sz w:val="16"/>
                          </w:rPr>
                          <w:t>和/或《突发公共卫生事件相关信息报告卡》。为突发公共卫生</w:t>
                        </w:r>
                        <w:r>
                          <w:rPr>
                            <w:rFonts w:hint="eastAsia" w:ascii="宋体" w:eastAsia="宋体"/>
                            <w:sz w:val="16"/>
                          </w:rPr>
                          <w:tab/>
                        </w:r>
                        <w:r>
                          <w:rPr>
                            <w:rFonts w:hint="eastAsia" w:ascii="宋体" w:eastAsia="宋体"/>
                            <w:sz w:val="16"/>
                          </w:rPr>
                          <w:t>2.报告时限：</w:t>
                        </w:r>
                      </w:p>
                      <w:p>
                        <w:pPr>
                          <w:spacing w:before="2" w:line="225" w:lineRule="auto"/>
                          <w:ind w:left="0" w:right="98" w:firstLine="0"/>
                          <w:jc w:val="both"/>
                          <w:rPr>
                            <w:rFonts w:hint="eastAsia" w:ascii="宋体" w:eastAsia="宋体"/>
                            <w:sz w:val="16"/>
                          </w:rPr>
                        </w:pPr>
                        <w:r>
                          <w:rPr>
                            <w:rFonts w:hint="eastAsia" w:ascii="宋体" w:eastAsia="宋体"/>
                            <w:sz w:val="16"/>
                          </w:rPr>
                          <w:t>事件时，按要求   发现甲类传染病和乙类传染病中的肺炭疽、传染填写《突发公共   性非典型肺炎、埃博拉出血热、人感染禽流感、卫生事件相关信   寨卡病毒病、黄热病、拉沙热、裂谷热、西尼罗息报告卡》。 病毒等新发输入传染病人和疑似病人，或发现其</w:t>
                        </w:r>
                      </w:p>
                      <w:p>
                        <w:pPr>
                          <w:spacing w:before="2" w:line="225" w:lineRule="auto"/>
                          <w:ind w:left="1490" w:right="18" w:firstLine="0"/>
                          <w:jc w:val="left"/>
                          <w:rPr>
                            <w:rFonts w:hint="eastAsia" w:ascii="宋体" w:eastAsia="宋体"/>
                            <w:sz w:val="16"/>
                          </w:rPr>
                        </w:pPr>
                        <w:r>
                          <w:rPr>
                            <w:rFonts w:hint="eastAsia" w:ascii="宋体" w:eastAsia="宋体"/>
                            <w:sz w:val="16"/>
                          </w:rPr>
                          <w:t>他传染病、不明原因疾病暴发和突发公共卫生事件相关信息时，应按有关要求于2小时内报告。发现其他乙、丙类传染病病人、疑似病人和规定报告的传染病病原携带者，应于24小时内报告。</w:t>
                        </w:r>
                      </w:p>
                      <w:p>
                        <w:pPr>
                          <w:spacing w:before="0" w:line="192" w:lineRule="exact"/>
                          <w:ind w:left="1490" w:right="0" w:firstLine="0"/>
                          <w:jc w:val="left"/>
                          <w:rPr>
                            <w:rFonts w:hint="eastAsia" w:ascii="宋体" w:eastAsia="宋体"/>
                            <w:sz w:val="16"/>
                          </w:rPr>
                        </w:pPr>
                        <w:r>
                          <w:rPr>
                            <w:rFonts w:hint="eastAsia" w:ascii="宋体" w:eastAsia="宋体"/>
                            <w:sz w:val="16"/>
                          </w:rPr>
                          <w:t>3.订正报告和补报：</w:t>
                        </w:r>
                      </w:p>
                      <w:p>
                        <w:pPr>
                          <w:spacing w:before="4" w:line="225" w:lineRule="auto"/>
                          <w:ind w:left="1490" w:right="18" w:firstLine="0"/>
                          <w:jc w:val="left"/>
                          <w:rPr>
                            <w:rFonts w:hint="eastAsia" w:ascii="宋体" w:eastAsia="宋体"/>
                            <w:sz w:val="16"/>
                          </w:rPr>
                        </w:pPr>
                        <w:r>
                          <w:rPr>
                            <w:rFonts w:hint="eastAsia" w:ascii="宋体" w:eastAsia="宋体"/>
                            <w:sz w:val="16"/>
                          </w:rPr>
                          <w:t>发现报告错误，或报告病例转归或诊断情况发生变化时，应及时对《传染病报告卡》和/或《突发公共卫生事件相关信息报告卡》等进行订正；对漏报的传染病病例和/或突发公共卫生事件，应及时进行补报。</w:t>
                        </w:r>
                      </w:p>
                    </w:txbxContent>
                  </v:textbox>
                </v:shape>
                <v:shape id="_x0000_s1026" o:spid="_x0000_s1026" o:spt="202" type="#_x0000_t202" style="position:absolute;left:6212;top:-5571;height:256;width:1041;" filled="f" stroked="t" coordsize="21600,21600" o:gfxdata="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bzUL4A&#10;AADcAAAADwAAAAAAAAABACAAAAAiAAAAZHJzL2Rvd25yZXYueG1sUEsBAhQAFAAAAAgAh07iQDMv&#10;BZ47AAAAOQAAABAAAAAAAAAAAQAgAAAADQEAAGRycy9zaGFwZXhtbC54bWxQSwUGAAAAAAYABgBb&#10;AQAAtwMAAAAA&#10;">
                  <v:fill on="f" focussize="0,0"/>
                  <v:stroke weight="0.214724409448819pt" color="#000000" joinstyle="miter"/>
                  <v:imagedata o:title=""/>
                  <o:lock v:ext="edit" aspectratio="f"/>
                  <v:textbox inset="0mm,0mm,0mm,0mm">
                    <w:txbxContent>
                      <w:p>
                        <w:pPr>
                          <w:spacing w:before="24"/>
                          <w:ind w:left="335" w:right="0" w:firstLine="0"/>
                          <w:jc w:val="left"/>
                          <w:rPr>
                            <w:sz w:val="16"/>
                          </w:rPr>
                        </w:pPr>
                        <w:r>
                          <w:rPr>
                            <w:sz w:val="16"/>
                          </w:rPr>
                          <w:t>报告</w:t>
                        </w:r>
                      </w:p>
                    </w:txbxContent>
                  </v:textbox>
                </v:shape>
              </v:group>
            </w:pict>
          </mc:Fallback>
        </mc:AlternateContent>
      </w:r>
      <w:r>
        <w:rPr>
          <w:rFonts w:hint="eastAsia" w:ascii="仿宋_GB2312" w:hAnsi="仿宋_GB2312" w:eastAsia="仿宋_GB2312" w:cs="仿宋_GB2312"/>
          <w:sz w:val="32"/>
          <w:szCs w:val="32"/>
          <w:lang w:val="en-US" w:eastAsia="zh-CN"/>
        </w:rPr>
        <mc:AlternateContent>
          <mc:Choice Requires="wpg">
            <w:drawing>
              <wp:anchor distT="0" distB="0" distL="114300" distR="114300" simplePos="0" relativeHeight="251660288" behindDoc="1" locked="0" layoutInCell="1" allowOverlap="1">
                <wp:simplePos x="0" y="0"/>
                <wp:positionH relativeFrom="page">
                  <wp:posOffset>4605655</wp:posOffset>
                </wp:positionH>
                <wp:positionV relativeFrom="paragraph">
                  <wp:posOffset>-3486150</wp:posOffset>
                </wp:positionV>
                <wp:extent cx="1687830" cy="3156585"/>
                <wp:effectExtent l="0" t="3486785" r="7620" b="5080"/>
                <wp:wrapNone/>
                <wp:docPr id="117" name="组合 117"/>
                <wp:cNvGraphicFramePr/>
                <a:graphic xmlns:a="http://schemas.openxmlformats.org/drawingml/2006/main">
                  <a:graphicData uri="http://schemas.microsoft.com/office/word/2010/wordprocessingGroup">
                    <wpg:wgp>
                      <wpg:cNvGrpSpPr/>
                      <wpg:grpSpPr>
                        <a:xfrm>
                          <a:off x="0" y="0"/>
                          <a:ext cx="1687830" cy="3156585"/>
                          <a:chOff x="7253" y="-5490"/>
                          <a:chExt cx="2658" cy="4971"/>
                        </a:xfrm>
                      </wpg:grpSpPr>
                      <wps:wsp>
                        <wps:cNvPr id="112" name="矩形 112"/>
                        <wps:cNvSpPr/>
                        <wps:spPr>
                          <a:xfrm>
                            <a:off x="8801" y="-5128"/>
                            <a:ext cx="1108" cy="4606"/>
                          </a:xfrm>
                          <a:prstGeom prst="rect">
                            <a:avLst/>
                          </a:prstGeom>
                          <a:noFill/>
                          <a:ln w="2713" cap="flat" cmpd="sng">
                            <a:solidFill>
                              <a:srgbClr val="000000"/>
                            </a:solidFill>
                            <a:prstDash val="solid"/>
                            <a:miter/>
                            <a:headEnd type="none" w="med" len="med"/>
                            <a:tailEnd type="none" w="med" len="med"/>
                          </a:ln>
                        </wps:spPr>
                        <wps:bodyPr upright="1"/>
                      </wps:wsp>
                      <wps:wsp>
                        <wps:cNvPr id="113" name="任意多边形 113"/>
                        <wps:cNvSpPr/>
                        <wps:spPr>
                          <a:xfrm>
                            <a:off x="9348" y="-5316"/>
                            <a:ext cx="14" cy="94"/>
                          </a:xfrm>
                          <a:custGeom>
                            <a:avLst/>
                            <a:gdLst/>
                            <a:ahLst/>
                            <a:cxnLst/>
                            <a:pathLst>
                              <a:path w="14">
                                <a:moveTo>
                                  <a:pt x="13" y="-5316"/>
                                </a:moveTo>
                                <a:lnTo>
                                  <a:pt x="13" y="-5222"/>
                                </a:lnTo>
                                <a:lnTo>
                                  <a:pt x="0" y="-5222"/>
                                </a:lnTo>
                              </a:path>
                            </a:pathLst>
                          </a:custGeom>
                          <a:noFill/>
                          <a:ln w="2712" cap="flat" cmpd="sng">
                            <a:solidFill>
                              <a:srgbClr val="000000"/>
                            </a:solidFill>
                            <a:prstDash val="solid"/>
                            <a:headEnd type="none" w="med" len="med"/>
                            <a:tailEnd type="none" w="med" len="med"/>
                          </a:ln>
                        </wps:spPr>
                        <wps:bodyPr upright="1"/>
                      </wps:wsp>
                      <wps:wsp>
                        <wps:cNvPr id="114" name="任意多边形 114"/>
                        <wps:cNvSpPr/>
                        <wps:spPr>
                          <a:xfrm>
                            <a:off x="9308" y="-5222"/>
                            <a:ext cx="94" cy="94"/>
                          </a:xfrm>
                          <a:custGeom>
                            <a:avLst/>
                            <a:gdLst/>
                            <a:ahLst/>
                            <a:cxnLst/>
                            <a:pathLst>
                              <a:path w="94">
                                <a:moveTo>
                                  <a:pt x="93" y="-5222"/>
                                </a:moveTo>
                                <a:lnTo>
                                  <a:pt x="0" y="-5222"/>
                                </a:lnTo>
                                <a:lnTo>
                                  <a:pt x="40" y="-5128"/>
                                </a:lnTo>
                                <a:lnTo>
                                  <a:pt x="93" y="-5222"/>
                                </a:lnTo>
                                <a:close/>
                              </a:path>
                            </a:pathLst>
                          </a:custGeom>
                          <a:solidFill>
                            <a:srgbClr val="000000"/>
                          </a:solidFill>
                          <a:ln>
                            <a:noFill/>
                          </a:ln>
                        </wps:spPr>
                        <wps:bodyPr upright="1"/>
                      </wps:wsp>
                      <wps:wsp>
                        <wps:cNvPr id="115" name="直接连接符 115"/>
                        <wps:cNvCnPr/>
                        <wps:spPr>
                          <a:xfrm>
                            <a:off x="7253" y="-5437"/>
                            <a:ext cx="1642" cy="0"/>
                          </a:xfrm>
                          <a:prstGeom prst="line">
                            <a:avLst/>
                          </a:prstGeom>
                          <a:ln w="2728" cap="flat" cmpd="sng">
                            <a:solidFill>
                              <a:srgbClr val="000000"/>
                            </a:solidFill>
                            <a:prstDash val="solid"/>
                            <a:headEnd type="none" w="med" len="med"/>
                            <a:tailEnd type="none" w="med" len="med"/>
                          </a:ln>
                        </wps:spPr>
                        <wps:bodyPr upright="1"/>
                      </wps:wsp>
                      <wps:wsp>
                        <wps:cNvPr id="116" name="任意多边形 116"/>
                        <wps:cNvSpPr/>
                        <wps:spPr>
                          <a:xfrm>
                            <a:off x="8881" y="-5491"/>
                            <a:ext cx="94" cy="108"/>
                          </a:xfrm>
                          <a:custGeom>
                            <a:avLst/>
                            <a:gdLst/>
                            <a:ahLst/>
                            <a:cxnLst/>
                            <a:pathLst>
                              <a:path w="94">
                                <a:moveTo>
                                  <a:pt x="0" y="-5490"/>
                                </a:moveTo>
                                <a:lnTo>
                                  <a:pt x="0" y="-5383"/>
                                </a:lnTo>
                                <a:lnTo>
                                  <a:pt x="94" y="-5437"/>
                                </a:lnTo>
                                <a:lnTo>
                                  <a:pt x="0" y="-549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362.65pt;margin-top:-274.5pt;height:248.55pt;width:132.9pt;mso-position-horizontal-relative:page;z-index:-251656192;mso-width-relative:page;mso-height-relative:page;" coordorigin="7253,-5490" coordsize="2658,4971" o:gfxdata="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vJZpsdsAAAAMAQAADwAAAAAA&#10;AAABACAAAAAiAAAAZHJzL2Rvd25yZXYueG1sUEsBAhQAFAAAAAgAh07iQABpSTMRBAAAFA8AAA4A&#10;AAAAAAAAAQAgAAAAKgEAAGRycy9lMm9Eb2MueG1sUEsFBgAAAAAGAAYAWQEAAK0HAAAAAA==&#10;">
                <o:lock v:ext="edit" aspectratio="f"/>
                <v:rect id="_x0000_s1026" o:spid="_x0000_s1026" o:spt="1" style="position:absolute;left:8801;top:-5128;height:4606;width:1108;" filled="f" stroked="t" coordsize="21600,21600" o:gfxdata="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bOQLsAAADc&#10;AAAADwAAAAAAAAABACAAAAAiAAAAZHJzL2Rvd25yZXYueG1sUEsBAhQAFAAAAAgAh07iQDMvBZ47&#10;AAAAOQAAABAAAAAAAAAAAQAgAAAACgEAAGRycy9zaGFwZXhtbC54bWxQSwUGAAAAAAYABgBbAQAA&#10;tAMAAAAA&#10;">
                  <v:fill on="f" focussize="0,0"/>
                  <v:stroke weight="0.213622047244094pt" color="#000000" joinstyle="miter"/>
                  <v:imagedata o:title=""/>
                  <o:lock v:ext="edit" aspectratio="f"/>
                </v:rect>
                <v:shape id="_x0000_s1026" o:spid="_x0000_s1026" o:spt="100" style="position:absolute;left:9348;top:-5316;height:94;width:14;" filled="f" stroked="t" coordsize="14,1" o:gfxdata="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u1zbgAAADcAAAA&#10;DwAAAAAAAAABACAAAAAiAAAAZHJzL2Rvd25yZXYueG1sUEsBAhQAFAAAAAgAh07iQDMvBZ47AAAA&#10;OQAAABAAAAAAAAAAAQAgAAAABwEAAGRycy9zaGFwZXhtbC54bWxQSwUGAAAAAAYABgBbAQAAsQMA&#10;AAAA&#10;" path="m13,-5316l13,-5222,0,-5222e">
                  <v:fill on="f" focussize="0,0"/>
                  <v:stroke weight="0.213543307086614pt" color="#000000" joinstyle="round"/>
                  <v:imagedata o:title=""/>
                  <o:lock v:ext="edit" aspectratio="f"/>
                </v:shape>
                <v:shape id="_x0000_s1026" o:spid="_x0000_s1026" o:spt="100" style="position:absolute;left:9308;top:-5222;height:94;width:94;" fillcolor="#000000" filled="t" stroked="f" coordsize="94,1" o:gfxdata="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Z5ZNugAAANwA&#10;AAAPAAAAAAAAAAEAIAAAACIAAABkcnMvZG93bnJldi54bWxQSwECFAAUAAAACACHTuJAMy8FnjsA&#10;AAA5AAAAEAAAAAAAAAABACAAAAAJAQAAZHJzL3NoYXBleG1sLnhtbFBLBQYAAAAABgAGAFsBAACz&#10;AwAAAAA=&#10;" path="m93,-5222l0,-5222,40,-5128,93,-5222xe">
                  <v:fill on="t" focussize="0,0"/>
                  <v:stroke on="f"/>
                  <v:imagedata o:title=""/>
                  <o:lock v:ext="edit" aspectratio="f"/>
                </v:shape>
                <v:line id="_x0000_s1026" o:spid="_x0000_s1026" o:spt="20" style="position:absolute;left:7253;top:-5437;height:0;width:1642;" filled="f" stroked="t" coordsize="21600,21600" o:gfxdata="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3KCS8AAAA&#10;3AAAAA8AAAAAAAAAAQAgAAAAIgAAAGRycy9kb3ducmV2LnhtbFBLAQIUABQAAAAIAIdO4kAzLwWe&#10;OwAAADkAAAAQAAAAAAAAAAEAIAAAAAsBAABkcnMvc2hhcGV4bWwueG1sUEsFBgAAAAAGAAYAWwEA&#10;ALUDAAAAAA==&#10;">
                  <v:fill on="f" focussize="0,0"/>
                  <v:stroke weight="0.214803149606299pt" color="#000000" joinstyle="round"/>
                  <v:imagedata o:title=""/>
                  <o:lock v:ext="edit" aspectratio="f"/>
                </v:line>
                <v:shape id="_x0000_s1026" o:spid="_x0000_s1026" o:spt="100" style="position:absolute;left:8881;top:-5491;height:108;width:94;" fillcolor="#000000" filled="t" stroked="f" coordsize="94,1" o:gfxdata="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a2hugAAANwA&#10;AAAPAAAAAAAAAAEAIAAAACIAAABkcnMvZG93bnJldi54bWxQSwECFAAUAAAACACHTuJAMy8FnjsA&#10;AAA5AAAAEAAAAAAAAAABACAAAAAJAQAAZHJzL3NoYXBleG1sLnhtbFBLBQYAAAAABgAGAFsBAACz&#10;AwAAAAA=&#10;" path="m0,-5490l0,-5383,94,-5437,0,-5490xe">
                  <v:fill on="t" focussize="0,0"/>
                  <v:stroke on="f"/>
                  <v:imagedata o:title=""/>
                  <o:lock v:ext="edit" aspectratio="f"/>
                </v:shape>
              </v:group>
            </w:pict>
          </mc:Fallback>
        </mc:AlternateContent>
      </w:r>
      <w:r>
        <w:rPr>
          <w:rFonts w:hint="eastAsia" w:ascii="仿宋_GB2312" w:hAnsi="仿宋_GB2312" w:eastAsia="仿宋_GB2312" w:cs="仿宋_GB2312"/>
          <w:sz w:val="32"/>
          <w:szCs w:val="32"/>
          <w:lang w:val="en-US" w:eastAsia="zh-CN"/>
        </w:rPr>
        <w:t>服务要求</w:t>
      </w:r>
    </w:p>
    <w:p>
      <w:pPr>
        <w:pStyle w:val="3"/>
        <w:spacing w:before="41" w:line="312" w:lineRule="auto"/>
        <w:ind w:left="218" w:right="112" w:firstLine="47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4"/>
          <w:sz w:val="32"/>
          <w:szCs w:val="32"/>
        </w:rPr>
        <w:t>乡镇卫生院、村卫生室和社区卫生服务中心</w:t>
      </w:r>
      <w:r>
        <w:rPr>
          <w:rFonts w:hint="eastAsia" w:ascii="仿宋_GB2312" w:hAnsi="仿宋_GB2312" w:eastAsia="仿宋_GB2312" w:cs="仿宋_GB2312"/>
          <w:sz w:val="32"/>
          <w:szCs w:val="32"/>
        </w:rPr>
        <w:t>（站</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5"/>
          <w:sz w:val="32"/>
          <w:szCs w:val="32"/>
        </w:rPr>
        <w:t>应按照《中华人民</w:t>
      </w:r>
      <w:r>
        <w:rPr>
          <w:rFonts w:hint="eastAsia" w:ascii="仿宋_GB2312" w:hAnsi="仿宋_GB2312" w:eastAsia="仿宋_GB2312" w:cs="仿宋_GB2312"/>
          <w:spacing w:val="-17"/>
          <w:sz w:val="32"/>
          <w:szCs w:val="32"/>
        </w:rPr>
        <w:t>共和国传染病防治法》</w:t>
      </w:r>
      <w:r>
        <w:rPr>
          <w:rFonts w:hint="eastAsia" w:ascii="仿宋_GB2312" w:hAnsi="仿宋_GB2312" w:eastAsia="仿宋_GB2312" w:cs="仿宋_GB2312"/>
          <w:spacing w:val="-22"/>
          <w:sz w:val="32"/>
          <w:szCs w:val="32"/>
        </w:rPr>
        <w:t>、《突发公共卫生事件应急条例》</w:t>
      </w:r>
      <w:r>
        <w:rPr>
          <w:rFonts w:hint="eastAsia" w:ascii="仿宋_GB2312" w:hAnsi="仿宋_GB2312" w:eastAsia="仿宋_GB2312" w:cs="仿宋_GB2312"/>
          <w:spacing w:val="-16"/>
          <w:sz w:val="32"/>
          <w:szCs w:val="32"/>
        </w:rPr>
        <w:t>、《国家突发公共卫生事件</w:t>
      </w:r>
      <w:r>
        <w:rPr>
          <w:rFonts w:hint="eastAsia" w:ascii="仿宋_GB2312" w:hAnsi="仿宋_GB2312" w:eastAsia="仿宋_GB2312" w:cs="仿宋_GB2312"/>
          <w:spacing w:val="-18"/>
          <w:sz w:val="32"/>
          <w:szCs w:val="32"/>
        </w:rPr>
        <w:t>应急预案》等法律法规要求，建立健全传染病和突发公共卫生事件报告管理制度， 协助开展传染病和突发公共卫生事件的报告和处臵。</w:t>
      </w:r>
    </w:p>
    <w:p>
      <w:pPr>
        <w:pStyle w:val="3"/>
        <w:spacing w:before="2" w:line="312" w:lineRule="auto"/>
        <w:ind w:left="218" w:right="232" w:firstLine="479"/>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4"/>
          <w:sz w:val="32"/>
          <w:szCs w:val="32"/>
        </w:rPr>
        <w:t>乡镇卫生院、村卫生室和社区卫生服务中心</w:t>
      </w:r>
      <w:r>
        <w:rPr>
          <w:rFonts w:hint="eastAsia" w:ascii="仿宋_GB2312" w:hAnsi="仿宋_GB2312" w:eastAsia="仿宋_GB2312" w:cs="仿宋_GB2312"/>
          <w:sz w:val="32"/>
          <w:szCs w:val="32"/>
        </w:rPr>
        <w:t>（站</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4"/>
          <w:sz w:val="32"/>
          <w:szCs w:val="32"/>
        </w:rPr>
        <w:t>要配备专</w:t>
      </w:r>
      <w:r>
        <w:rPr>
          <w:rFonts w:hint="eastAsia" w:ascii="仿宋_GB2312" w:hAnsi="仿宋_GB2312" w:eastAsia="仿宋_GB2312" w:cs="仿宋_GB2312"/>
          <w:sz w:val="32"/>
          <w:szCs w:val="32"/>
        </w:rPr>
        <w:t>（兼</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z w:val="32"/>
          <w:szCs w:val="32"/>
        </w:rPr>
        <w:t>职</w:t>
      </w:r>
      <w:r>
        <w:rPr>
          <w:rFonts w:hint="eastAsia" w:ascii="仿宋_GB2312" w:hAnsi="仿宋_GB2312" w:eastAsia="仿宋_GB2312" w:cs="仿宋_GB2312"/>
          <w:spacing w:val="-4"/>
          <w:sz w:val="32"/>
          <w:szCs w:val="32"/>
        </w:rPr>
        <w:t>人员负责传染病疫情及突发公共卫生报告管理工作，定期对工作人员进行相关知识和技能的培训。</w:t>
      </w:r>
    </w:p>
    <w:p>
      <w:pPr>
        <w:pStyle w:val="3"/>
        <w:spacing w:line="312" w:lineRule="auto"/>
        <w:ind w:left="218" w:right="232" w:firstLine="47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pacing w:val="-5"/>
          <w:sz w:val="32"/>
          <w:szCs w:val="32"/>
        </w:rPr>
        <w:t>乡镇卫生院、村卫生室和社区卫生服务中心</w:t>
      </w:r>
      <w:r>
        <w:rPr>
          <w:rFonts w:hint="eastAsia" w:ascii="仿宋_GB2312" w:hAnsi="仿宋_GB2312" w:eastAsia="仿宋_GB2312" w:cs="仿宋_GB2312"/>
          <w:sz w:val="32"/>
          <w:szCs w:val="32"/>
        </w:rPr>
        <w:t>（站</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z w:val="32"/>
          <w:szCs w:val="32"/>
        </w:rPr>
        <w:t>要做好相关服务记</w:t>
      </w:r>
      <w:r>
        <w:rPr>
          <w:rFonts w:hint="eastAsia" w:ascii="仿宋_GB2312" w:hAnsi="仿宋_GB2312" w:eastAsia="仿宋_GB2312" w:cs="仿宋_GB2312"/>
          <w:spacing w:val="-22"/>
          <w:sz w:val="32"/>
          <w:szCs w:val="32"/>
        </w:rPr>
        <w:t xml:space="preserve">录，《传染病报告卡》和《突发公共卫生事件相关信息报告卡》应至少保留 </w:t>
      </w:r>
      <w:r>
        <w:rPr>
          <w:rFonts w:hint="eastAsia" w:ascii="仿宋_GB2312" w:hAnsi="仿宋_GB2312" w:eastAsia="仿宋_GB2312" w:cs="仿宋_GB2312"/>
          <w:sz w:val="32"/>
          <w:szCs w:val="32"/>
        </w:rPr>
        <w:t>3</w:t>
      </w:r>
      <w:r>
        <w:rPr>
          <w:rFonts w:hint="eastAsia" w:ascii="仿宋_GB2312" w:hAnsi="仿宋_GB2312" w:eastAsia="仿宋_GB2312" w:cs="仿宋_GB2312"/>
          <w:spacing w:val="-20"/>
          <w:sz w:val="32"/>
          <w:szCs w:val="32"/>
        </w:rPr>
        <w:t xml:space="preserve"> 年。</w:t>
      </w:r>
    </w:p>
    <w:p>
      <w:pPr>
        <w:spacing w:after="0"/>
        <w:rPr>
          <w:rFonts w:hint="eastAsia" w:ascii="仿宋_GB2312" w:hAnsi="仿宋_GB2312" w:eastAsia="仿宋_GB2312" w:cs="仿宋_GB2312"/>
          <w:sz w:val="32"/>
          <w:szCs w:val="32"/>
        </w:rPr>
      </w:pPr>
    </w:p>
    <w:p>
      <w:pPr>
        <w:spacing w:after="0"/>
        <w:rPr>
          <w:rFonts w:hint="eastAsia" w:ascii="仿宋_GB2312" w:hAnsi="仿宋_GB2312" w:eastAsia="仿宋_GB2312" w:cs="仿宋_GB2312"/>
          <w:sz w:val="32"/>
          <w:szCs w:val="32"/>
        </w:rPr>
      </w:pPr>
    </w:p>
    <w:p>
      <w:pPr>
        <w:numPr>
          <w:ilvl w:val="0"/>
          <w:numId w:val="6"/>
        </w:numPr>
        <w:ind w:left="64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投诉举报电话以及网上投诉渠道 </w:t>
      </w:r>
    </w:p>
    <w:p>
      <w:pPr>
        <w:spacing w:after="0"/>
        <w:rPr>
          <w:rFonts w:hint="default" w:ascii="黑体" w:hAnsi="黑体" w:eastAsia="黑体" w:cs="黑体"/>
          <w:sz w:val="32"/>
          <w:szCs w:val="32"/>
          <w:lang w:val="en-US" w:eastAsia="zh-CN"/>
        </w:rPr>
        <w:sectPr>
          <w:pgSz w:w="11910" w:h="16840"/>
          <w:pgMar w:top="1460" w:right="1560" w:bottom="1400" w:left="1580" w:header="0" w:footer="1201" w:gutter="0"/>
          <w:cols w:space="720" w:num="1"/>
        </w:sect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12320，022-25332908</w:t>
      </w:r>
    </w:p>
    <w:p>
      <w:pPr>
        <w:spacing w:after="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numPr>
          <w:ilvl w:val="0"/>
          <w:numId w:val="0"/>
        </w:num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20401"/>
    <w:multiLevelType w:val="singleLevel"/>
    <w:tmpl w:val="98F20401"/>
    <w:lvl w:ilvl="0" w:tentative="0">
      <w:start w:val="1"/>
      <w:numFmt w:val="decimal"/>
      <w:suff w:val="nothing"/>
      <w:lvlText w:val="（%1）"/>
      <w:lvlJc w:val="left"/>
      <w:pPr>
        <w:ind w:left="370" w:leftChars="0" w:firstLine="0" w:firstLineChars="0"/>
      </w:pPr>
    </w:lvl>
  </w:abstractNum>
  <w:abstractNum w:abstractNumId="1">
    <w:nsid w:val="D8D06394"/>
    <w:multiLevelType w:val="singleLevel"/>
    <w:tmpl w:val="D8D06394"/>
    <w:lvl w:ilvl="0" w:tentative="0">
      <w:start w:val="1"/>
      <w:numFmt w:val="decimal"/>
      <w:lvlText w:val="%1."/>
      <w:lvlJc w:val="left"/>
      <w:pPr>
        <w:tabs>
          <w:tab w:val="left" w:pos="312"/>
        </w:tabs>
      </w:pPr>
    </w:lvl>
  </w:abstractNum>
  <w:abstractNum w:abstractNumId="2">
    <w:nsid w:val="03E2909D"/>
    <w:multiLevelType w:val="singleLevel"/>
    <w:tmpl w:val="03E2909D"/>
    <w:lvl w:ilvl="0" w:tentative="0">
      <w:start w:val="1"/>
      <w:numFmt w:val="chineseCounting"/>
      <w:suff w:val="nothing"/>
      <w:lvlText w:val="%1、"/>
      <w:lvlJc w:val="left"/>
      <w:rPr>
        <w:rFonts w:hint="eastAsia" w:ascii="黑体" w:hAnsi="黑体" w:eastAsia="黑体" w:cs="黑体"/>
      </w:rPr>
    </w:lvl>
  </w:abstractNum>
  <w:abstractNum w:abstractNumId="3">
    <w:nsid w:val="4332E581"/>
    <w:multiLevelType w:val="singleLevel"/>
    <w:tmpl w:val="4332E581"/>
    <w:lvl w:ilvl="0" w:tentative="0">
      <w:start w:val="1"/>
      <w:numFmt w:val="decimal"/>
      <w:lvlText w:val="%1."/>
      <w:lvlJc w:val="left"/>
      <w:pPr>
        <w:tabs>
          <w:tab w:val="left" w:pos="312"/>
        </w:tabs>
        <w:ind w:left="320" w:leftChars="0" w:firstLine="0" w:firstLineChars="0"/>
      </w:pPr>
    </w:lvl>
  </w:abstractNum>
  <w:abstractNum w:abstractNumId="4">
    <w:nsid w:val="496798CE"/>
    <w:multiLevelType w:val="singleLevel"/>
    <w:tmpl w:val="496798CE"/>
    <w:lvl w:ilvl="0" w:tentative="0">
      <w:start w:val="1"/>
      <w:numFmt w:val="decimal"/>
      <w:lvlText w:val="%1."/>
      <w:lvlJc w:val="left"/>
      <w:pPr>
        <w:tabs>
          <w:tab w:val="left" w:pos="312"/>
        </w:tabs>
      </w:pPr>
    </w:lvl>
  </w:abstractNum>
  <w:abstractNum w:abstractNumId="5">
    <w:nsid w:val="534ECEA9"/>
    <w:multiLevelType w:val="singleLevel"/>
    <w:tmpl w:val="534ECEA9"/>
    <w:lvl w:ilvl="0" w:tentative="0">
      <w:start w:val="1"/>
      <w:numFmt w:val="decimal"/>
      <w:lvlText w:val="%1."/>
      <w:lvlJc w:val="left"/>
      <w:pPr>
        <w:tabs>
          <w:tab w:val="left" w:pos="312"/>
        </w:tabs>
        <w:ind w:left="641" w:leftChars="0" w:firstLine="0" w:firstLineChars="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06684"/>
    <w:rsid w:val="011D4EF2"/>
    <w:rsid w:val="0C49415E"/>
    <w:rsid w:val="20DD1932"/>
    <w:rsid w:val="3BEB14EF"/>
    <w:rsid w:val="404020A0"/>
    <w:rsid w:val="451145D5"/>
    <w:rsid w:val="5ABE4F4F"/>
    <w:rsid w:val="62306684"/>
    <w:rsid w:val="65D60C47"/>
    <w:rsid w:val="67685209"/>
    <w:rsid w:val="67D82F9B"/>
    <w:rsid w:val="76D0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54"/>
      <w:ind w:left="3206"/>
      <w:outlineLvl w:val="1"/>
    </w:pPr>
    <w:rPr>
      <w:rFonts w:ascii="宋体" w:hAnsi="宋体" w:eastAsia="宋体" w:cs="宋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24"/>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2021-09-22T01:09:00Z</dcterms:created>
  <dc:creator>Administrator</dc:creator>
  <cp:lastModifiedBy>Administrator</cp:lastModifiedBy>
  <dcterms:modified xsi:type="dcterms:W3CDTF">2021-09-22T08:51:12Z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CE885B3FF6A54E5FB0B0A6C2DDE1E0F0</vt:lpwstr>
  </property>
</Properties>
</file>