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F88" w:rsidRDefault="00087F88" w:rsidP="00BA36B5">
      <w:pPr>
        <w:ind w:leftChars="-100" w:left="-210" w:rightChars="-100" w:right="-210"/>
        <w:jc w:val="center"/>
        <w:rPr>
          <w:rFonts w:asciiTheme="majorEastAsia" w:eastAsiaTheme="majorEastAsia" w:hAnsiTheme="majorEastAsia" w:hint="eastAsia"/>
          <w:b/>
          <w:sz w:val="44"/>
          <w:szCs w:val="44"/>
        </w:rPr>
      </w:pPr>
    </w:p>
    <w:p w:rsidR="00087F88" w:rsidRDefault="00087F88" w:rsidP="00BA36B5">
      <w:pPr>
        <w:ind w:leftChars="-100" w:left="-210" w:rightChars="-100" w:right="-210"/>
        <w:jc w:val="center"/>
        <w:rPr>
          <w:rFonts w:asciiTheme="majorEastAsia" w:eastAsiaTheme="majorEastAsia" w:hAnsiTheme="majorEastAsia" w:hint="eastAsia"/>
          <w:b/>
          <w:sz w:val="44"/>
          <w:szCs w:val="44"/>
        </w:rPr>
      </w:pPr>
    </w:p>
    <w:p w:rsidR="00087F88" w:rsidRDefault="00087F88" w:rsidP="00BA36B5">
      <w:pPr>
        <w:ind w:leftChars="-100" w:left="-210" w:rightChars="-100" w:right="-210"/>
        <w:jc w:val="center"/>
        <w:rPr>
          <w:rFonts w:asciiTheme="majorEastAsia" w:eastAsiaTheme="majorEastAsia" w:hAnsiTheme="majorEastAsia" w:hint="eastAsia"/>
          <w:b/>
          <w:sz w:val="44"/>
          <w:szCs w:val="44"/>
        </w:rPr>
      </w:pPr>
    </w:p>
    <w:p w:rsidR="00087F88" w:rsidRDefault="00087F88" w:rsidP="00BA36B5">
      <w:pPr>
        <w:ind w:leftChars="-100" w:left="-210" w:rightChars="-100" w:right="-210"/>
        <w:jc w:val="center"/>
        <w:rPr>
          <w:rFonts w:asciiTheme="majorEastAsia" w:eastAsiaTheme="majorEastAsia" w:hAnsiTheme="majorEastAsia" w:hint="eastAsia"/>
          <w:b/>
          <w:sz w:val="44"/>
          <w:szCs w:val="44"/>
        </w:rPr>
      </w:pPr>
    </w:p>
    <w:p w:rsidR="00487C7D" w:rsidRDefault="00590C4B" w:rsidP="00BA36B5">
      <w:pPr>
        <w:ind w:leftChars="-100" w:left="-210" w:rightChars="-100" w:right="-210"/>
        <w:jc w:val="center"/>
        <w:rPr>
          <w:rFonts w:asciiTheme="majorEastAsia" w:eastAsiaTheme="majorEastAsia" w:hAnsiTheme="majorEastAsia" w:hint="eastAsia"/>
          <w:b/>
          <w:sz w:val="44"/>
          <w:szCs w:val="44"/>
        </w:rPr>
      </w:pPr>
      <w:r w:rsidRPr="00590C4B">
        <w:rPr>
          <w:rFonts w:asciiTheme="majorEastAsia" w:eastAsiaTheme="majorEastAsia" w:hAnsiTheme="majorEastAsia" w:hint="eastAsia"/>
          <w:b/>
          <w:sz w:val="44"/>
          <w:szCs w:val="44"/>
        </w:rPr>
        <w:t>天津市滨海新区中塘镇综合便民服务中心文件</w:t>
      </w:r>
    </w:p>
    <w:p w:rsidR="00BA36B5" w:rsidRPr="00590C4B" w:rsidRDefault="00BA36B5" w:rsidP="00BA36B5">
      <w:pPr>
        <w:ind w:leftChars="-100" w:left="-210" w:rightChars="-100" w:right="-210"/>
        <w:jc w:val="center"/>
        <w:rPr>
          <w:rFonts w:asciiTheme="majorEastAsia" w:eastAsiaTheme="majorEastAsia" w:hAnsiTheme="majorEastAsia" w:hint="eastAsia"/>
          <w:b/>
          <w:sz w:val="44"/>
          <w:szCs w:val="44"/>
        </w:rPr>
      </w:pPr>
    </w:p>
    <w:p w:rsidR="00590C4B" w:rsidRDefault="00590C4B" w:rsidP="00590C4B">
      <w:pPr>
        <w:jc w:val="center"/>
        <w:rPr>
          <w:rFonts w:asciiTheme="majorEastAsia" w:eastAsiaTheme="majorEastAsia" w:hAnsiTheme="majorEastAsia" w:hint="eastAsia"/>
          <w:sz w:val="32"/>
          <w:szCs w:val="32"/>
        </w:rPr>
      </w:pPr>
      <w:r w:rsidRPr="00590C4B">
        <w:rPr>
          <w:rFonts w:asciiTheme="majorEastAsia" w:eastAsiaTheme="majorEastAsia" w:hAnsiTheme="majorEastAsia" w:hint="eastAsia"/>
          <w:sz w:val="32"/>
          <w:szCs w:val="32"/>
        </w:rPr>
        <w:t>津滨</w:t>
      </w:r>
      <w:r>
        <w:rPr>
          <w:rFonts w:asciiTheme="majorEastAsia" w:eastAsiaTheme="majorEastAsia" w:hAnsiTheme="majorEastAsia" w:hint="eastAsia"/>
          <w:sz w:val="32"/>
          <w:szCs w:val="32"/>
        </w:rPr>
        <w:t>中塘环准[2019]4号</w:t>
      </w:r>
    </w:p>
    <w:p w:rsidR="00BA36B5" w:rsidRDefault="00BA36B5" w:rsidP="00590C4B">
      <w:pPr>
        <w:jc w:val="center"/>
        <w:rPr>
          <w:rFonts w:asciiTheme="majorEastAsia" w:eastAsiaTheme="majorEastAsia" w:hAnsiTheme="majorEastAsia" w:hint="eastAsia"/>
          <w:sz w:val="32"/>
          <w:szCs w:val="32"/>
        </w:rPr>
      </w:pPr>
      <w:r w:rsidRPr="00590C4B">
        <w:rPr>
          <w:rFonts w:asciiTheme="majorEastAsia" w:eastAsiaTheme="majorEastAsia" w:hAnsiTheme="majorEastAsia"/>
          <w:b/>
          <w:noProof/>
          <w:sz w:val="36"/>
          <w:szCs w:val="36"/>
        </w:rPr>
        <w:pict>
          <v:shapetype id="_x0000_t32" coordsize="21600,21600" o:spt="32" o:oned="t" path="m,l21600,21600e" filled="f">
            <v:path arrowok="t" fillok="f" o:connecttype="none"/>
            <o:lock v:ext="edit" shapetype="t"/>
          </v:shapetype>
          <v:shape id="_x0000_s2051" type="#_x0000_t32" style="position:absolute;left:0;text-align:left;margin-left:.75pt;margin-top:22.65pt;width:424.5pt;height:4.5pt;flip:y;z-index:251658240" o:connectortype="straight"/>
        </w:pict>
      </w:r>
    </w:p>
    <w:p w:rsidR="00087F88" w:rsidRPr="00087F88" w:rsidRDefault="00590C4B" w:rsidP="00DB1E30">
      <w:pPr>
        <w:spacing w:beforeLines="50" w:afterLines="50"/>
        <w:jc w:val="center"/>
        <w:rPr>
          <w:rFonts w:asciiTheme="majorEastAsia" w:eastAsiaTheme="majorEastAsia" w:hAnsiTheme="majorEastAsia" w:hint="eastAsia"/>
          <w:b/>
          <w:sz w:val="44"/>
          <w:szCs w:val="44"/>
        </w:rPr>
      </w:pPr>
      <w:r w:rsidRPr="00BA36B5">
        <w:rPr>
          <w:rFonts w:asciiTheme="majorEastAsia" w:eastAsiaTheme="majorEastAsia" w:hAnsiTheme="majorEastAsia" w:hint="eastAsia"/>
          <w:b/>
          <w:sz w:val="44"/>
          <w:szCs w:val="44"/>
        </w:rPr>
        <w:t>关于天津滨海永兴路（张港子）110千伏</w:t>
      </w:r>
    </w:p>
    <w:p w:rsidR="00590C4B" w:rsidRPr="00BA36B5" w:rsidRDefault="00590C4B" w:rsidP="00DB1E30">
      <w:pPr>
        <w:spacing w:beforeLines="50" w:afterLines="50"/>
        <w:jc w:val="center"/>
        <w:rPr>
          <w:rFonts w:asciiTheme="majorEastAsia" w:eastAsiaTheme="majorEastAsia" w:hAnsiTheme="majorEastAsia" w:hint="eastAsia"/>
          <w:b/>
          <w:sz w:val="44"/>
          <w:szCs w:val="44"/>
        </w:rPr>
      </w:pPr>
      <w:r w:rsidRPr="00BA36B5">
        <w:rPr>
          <w:rFonts w:asciiTheme="majorEastAsia" w:eastAsiaTheme="majorEastAsia" w:hAnsiTheme="majorEastAsia" w:hint="eastAsia"/>
          <w:b/>
          <w:sz w:val="44"/>
          <w:szCs w:val="44"/>
        </w:rPr>
        <w:t>输变电工程环境影响报告表的批复</w:t>
      </w:r>
    </w:p>
    <w:p w:rsidR="00590C4B" w:rsidRDefault="00590C4B" w:rsidP="00DB1E30">
      <w:pPr>
        <w:spacing w:beforeLines="50" w:afterLines="50"/>
        <w:jc w:val="left"/>
        <w:rPr>
          <w:rFonts w:asciiTheme="majorEastAsia" w:eastAsiaTheme="majorEastAsia" w:hAnsiTheme="majorEastAsia" w:hint="eastAsia"/>
          <w:sz w:val="32"/>
          <w:szCs w:val="32"/>
        </w:rPr>
      </w:pPr>
    </w:p>
    <w:p w:rsidR="00590C4B" w:rsidRDefault="00590C4B" w:rsidP="00590C4B">
      <w:pPr>
        <w:jc w:val="left"/>
        <w:rPr>
          <w:rFonts w:asciiTheme="majorEastAsia" w:eastAsiaTheme="majorEastAsia" w:hAnsiTheme="majorEastAsia" w:hint="eastAsia"/>
          <w:sz w:val="32"/>
          <w:szCs w:val="32"/>
        </w:rPr>
      </w:pPr>
      <w:r w:rsidRPr="00590C4B">
        <w:rPr>
          <w:rFonts w:asciiTheme="majorEastAsia" w:eastAsiaTheme="majorEastAsia" w:hAnsiTheme="majorEastAsia" w:hint="eastAsia"/>
          <w:sz w:val="32"/>
          <w:szCs w:val="32"/>
        </w:rPr>
        <w:t>国网</w:t>
      </w:r>
      <w:r>
        <w:rPr>
          <w:rFonts w:asciiTheme="majorEastAsia" w:eastAsiaTheme="majorEastAsia" w:hAnsiTheme="majorEastAsia" w:hint="eastAsia"/>
          <w:sz w:val="32"/>
          <w:szCs w:val="32"/>
        </w:rPr>
        <w:t>天津市电力公司滨海供电</w:t>
      </w:r>
      <w:r w:rsidR="006D570D">
        <w:rPr>
          <w:rFonts w:asciiTheme="majorEastAsia" w:eastAsiaTheme="majorEastAsia" w:hAnsiTheme="majorEastAsia" w:hint="eastAsia"/>
          <w:sz w:val="32"/>
          <w:szCs w:val="32"/>
        </w:rPr>
        <w:t>分公司：</w:t>
      </w:r>
    </w:p>
    <w:p w:rsidR="006D570D" w:rsidRDefault="006D570D" w:rsidP="006D570D">
      <w:pPr>
        <w:ind w:firstLine="630"/>
        <w:jc w:val="left"/>
        <w:rPr>
          <w:rFonts w:asciiTheme="majorEastAsia" w:eastAsiaTheme="majorEastAsia" w:hAnsiTheme="majorEastAsia" w:hint="eastAsia"/>
          <w:sz w:val="32"/>
          <w:szCs w:val="32"/>
        </w:rPr>
      </w:pPr>
      <w:r>
        <w:rPr>
          <w:rFonts w:asciiTheme="majorEastAsia" w:eastAsiaTheme="majorEastAsia" w:hAnsiTheme="majorEastAsia" w:hint="eastAsia"/>
          <w:sz w:val="32"/>
          <w:szCs w:val="32"/>
        </w:rPr>
        <w:t>你公司呈报的《天津滨海永兴路（张港子）110千伏输变电工程环境影响报告表》（以下简称“报告表”）及相关附件收悉。经研究，现批复如下：</w:t>
      </w:r>
    </w:p>
    <w:p w:rsidR="006D570D" w:rsidRDefault="006D570D" w:rsidP="006D570D">
      <w:pPr>
        <w:ind w:firstLine="630"/>
        <w:jc w:val="left"/>
        <w:rPr>
          <w:rFonts w:asciiTheme="majorEastAsia" w:eastAsiaTheme="majorEastAsia" w:hAnsiTheme="majorEastAsia" w:hint="eastAsia"/>
          <w:sz w:val="32"/>
          <w:szCs w:val="32"/>
        </w:rPr>
      </w:pPr>
      <w:r>
        <w:rPr>
          <w:rFonts w:asciiTheme="majorEastAsia" w:eastAsiaTheme="majorEastAsia" w:hAnsiTheme="majorEastAsia" w:hint="eastAsia"/>
          <w:sz w:val="32"/>
          <w:szCs w:val="32"/>
        </w:rPr>
        <w:t>一、你公司拟在</w:t>
      </w:r>
      <w:r w:rsidR="002A743D">
        <w:rPr>
          <w:rFonts w:asciiTheme="majorEastAsia" w:eastAsiaTheme="majorEastAsia" w:hAnsiTheme="majorEastAsia" w:hint="eastAsia"/>
          <w:sz w:val="32"/>
          <w:szCs w:val="32"/>
        </w:rPr>
        <w:t>中塘工业园鹏翎西路与中福路交口东南侧建设一座无人值班的天津滨海永兴路（张港子）110千伏输变电站，用地面积</w:t>
      </w:r>
      <w:r w:rsidR="00BA36B5">
        <w:rPr>
          <w:rFonts w:asciiTheme="majorEastAsia" w:eastAsiaTheme="majorEastAsia" w:hAnsiTheme="majorEastAsia" w:hint="eastAsia"/>
          <w:sz w:val="32"/>
          <w:szCs w:val="32"/>
        </w:rPr>
        <w:t xml:space="preserve"> </w:t>
      </w:r>
      <w:r w:rsidR="002A743D" w:rsidRPr="00BA36B5">
        <w:rPr>
          <w:rFonts w:asciiTheme="minorEastAsia" w:hAnsiTheme="minorEastAsia" w:hint="eastAsia"/>
          <w:sz w:val="32"/>
          <w:szCs w:val="32"/>
        </w:rPr>
        <w:t>3031.06</w:t>
      </w:r>
      <w:r w:rsidR="00BA36B5">
        <w:rPr>
          <w:rFonts w:asciiTheme="minorEastAsia" w:hAnsiTheme="minorEastAsia" w:hint="eastAsia"/>
          <w:sz w:val="32"/>
          <w:szCs w:val="32"/>
        </w:rPr>
        <w:t xml:space="preserve"> </w:t>
      </w:r>
      <w:r w:rsidR="002A743D" w:rsidRPr="00BA36B5">
        <w:rPr>
          <w:rFonts w:asciiTheme="minorEastAsia" w:hAnsiTheme="minorEastAsia" w:hint="eastAsia"/>
          <w:sz w:val="32"/>
          <w:szCs w:val="32"/>
        </w:rPr>
        <w:t>m</w:t>
      </w:r>
      <w:r w:rsidR="00BA36B5" w:rsidRPr="00BA36B5">
        <w:rPr>
          <w:rFonts w:asciiTheme="minorEastAsia" w:hAnsiTheme="minorEastAsia" w:hint="eastAsia"/>
          <w:sz w:val="32"/>
          <w:szCs w:val="32"/>
        </w:rPr>
        <w:t xml:space="preserve"> </w:t>
      </w:r>
      <w:r w:rsidR="002A743D" w:rsidRPr="00BA36B5">
        <w:rPr>
          <w:rFonts w:asciiTheme="minorEastAsia" w:hAnsiTheme="minorEastAsia" w:hint="eastAsia"/>
          <w:sz w:val="32"/>
          <w:szCs w:val="32"/>
        </w:rPr>
        <w:t>2</w:t>
      </w:r>
      <w:r w:rsidR="002A743D">
        <w:rPr>
          <w:rFonts w:asciiTheme="majorEastAsia" w:eastAsiaTheme="majorEastAsia" w:hAnsiTheme="majorEastAsia" w:hint="eastAsia"/>
          <w:sz w:val="32"/>
          <w:szCs w:val="32"/>
        </w:rPr>
        <w:t>，建筑面积</w:t>
      </w:r>
      <w:r w:rsidR="00BA36B5">
        <w:rPr>
          <w:rFonts w:asciiTheme="majorEastAsia" w:eastAsiaTheme="majorEastAsia" w:hAnsiTheme="majorEastAsia" w:hint="eastAsia"/>
          <w:sz w:val="32"/>
          <w:szCs w:val="32"/>
        </w:rPr>
        <w:t xml:space="preserve"> </w:t>
      </w:r>
      <w:r w:rsidR="002A743D">
        <w:rPr>
          <w:rFonts w:asciiTheme="majorEastAsia" w:eastAsiaTheme="majorEastAsia" w:hAnsiTheme="majorEastAsia" w:hint="eastAsia"/>
          <w:sz w:val="32"/>
          <w:szCs w:val="32"/>
        </w:rPr>
        <w:t>2357.74</w:t>
      </w:r>
      <w:r w:rsidR="00BA36B5">
        <w:rPr>
          <w:rFonts w:asciiTheme="majorEastAsia" w:eastAsiaTheme="majorEastAsia" w:hAnsiTheme="majorEastAsia" w:hint="eastAsia"/>
          <w:sz w:val="32"/>
          <w:szCs w:val="32"/>
        </w:rPr>
        <w:t xml:space="preserve"> </w:t>
      </w:r>
      <w:r w:rsidR="002A743D">
        <w:rPr>
          <w:rFonts w:asciiTheme="majorEastAsia" w:eastAsiaTheme="majorEastAsia" w:hAnsiTheme="majorEastAsia" w:hint="eastAsia"/>
          <w:sz w:val="32"/>
          <w:szCs w:val="32"/>
        </w:rPr>
        <w:t>m</w:t>
      </w:r>
      <w:r w:rsidR="00BA36B5">
        <w:rPr>
          <w:rFonts w:asciiTheme="majorEastAsia" w:eastAsiaTheme="majorEastAsia" w:hAnsiTheme="majorEastAsia" w:hint="eastAsia"/>
          <w:sz w:val="32"/>
          <w:szCs w:val="32"/>
        </w:rPr>
        <w:t xml:space="preserve"> </w:t>
      </w:r>
      <w:r w:rsidR="002A743D">
        <w:rPr>
          <w:rFonts w:asciiTheme="majorEastAsia" w:eastAsiaTheme="majorEastAsia" w:hAnsiTheme="majorEastAsia" w:hint="eastAsia"/>
          <w:sz w:val="32"/>
          <w:szCs w:val="32"/>
        </w:rPr>
        <w:t>2，主要建</w:t>
      </w:r>
      <w:r w:rsidR="00F56253">
        <w:rPr>
          <w:rFonts w:asciiTheme="majorEastAsia" w:eastAsiaTheme="majorEastAsia" w:hAnsiTheme="majorEastAsia" w:hint="eastAsia"/>
          <w:sz w:val="32"/>
          <w:szCs w:val="32"/>
        </w:rPr>
        <w:t>构</w:t>
      </w:r>
      <w:r w:rsidR="002A743D">
        <w:rPr>
          <w:rFonts w:asciiTheme="majorEastAsia" w:eastAsiaTheme="majorEastAsia" w:hAnsiTheme="majorEastAsia" w:hint="eastAsia"/>
          <w:sz w:val="32"/>
          <w:szCs w:val="32"/>
        </w:rPr>
        <w:t>筑物包括变电楼、事故油池等。最终规模主变容量</w:t>
      </w:r>
      <w:r w:rsidR="00F56253">
        <w:rPr>
          <w:rFonts w:asciiTheme="majorEastAsia" w:eastAsiaTheme="majorEastAsia" w:hAnsiTheme="majorEastAsia" w:hint="eastAsia"/>
          <w:sz w:val="32"/>
          <w:szCs w:val="32"/>
        </w:rPr>
        <w:t>为3</w:t>
      </w:r>
      <w:r w:rsidR="00F56253" w:rsidRPr="00F56253">
        <w:rPr>
          <w:rFonts w:asciiTheme="majorEastAsia" w:eastAsiaTheme="majorEastAsia" w:hAnsiTheme="majorEastAsia" w:hint="eastAsia"/>
          <w:sz w:val="32"/>
          <w:szCs w:val="32"/>
        </w:rPr>
        <w:t>×</w:t>
      </w:r>
      <w:r w:rsidR="00F56253">
        <w:rPr>
          <w:rFonts w:asciiTheme="majorEastAsia" w:eastAsiaTheme="majorEastAsia" w:hAnsiTheme="majorEastAsia" w:hint="eastAsia"/>
          <w:sz w:val="32"/>
          <w:szCs w:val="32"/>
        </w:rPr>
        <w:t>50MVA，本期规模主变容量2</w:t>
      </w:r>
      <w:r w:rsidR="00F56253" w:rsidRPr="00F56253">
        <w:rPr>
          <w:rFonts w:asciiTheme="majorEastAsia" w:eastAsiaTheme="majorEastAsia" w:hAnsiTheme="majorEastAsia" w:hint="eastAsia"/>
          <w:sz w:val="32"/>
          <w:szCs w:val="32"/>
        </w:rPr>
        <w:t>×</w:t>
      </w:r>
      <w:r w:rsidR="00F56253">
        <w:rPr>
          <w:rFonts w:asciiTheme="majorEastAsia" w:eastAsiaTheme="majorEastAsia" w:hAnsiTheme="majorEastAsia" w:hint="eastAsia"/>
          <w:sz w:val="32"/>
          <w:szCs w:val="32"/>
        </w:rPr>
        <w:t>50MVA，电压等级为110/10KV。新建110KV双回电缆线路，路径长度为1.55</w:t>
      </w:r>
      <w:r w:rsidR="00040B06">
        <w:rPr>
          <w:rFonts w:asciiTheme="majorEastAsia" w:eastAsiaTheme="majorEastAsia" w:hAnsiTheme="majorEastAsia" w:hint="eastAsia"/>
          <w:sz w:val="32"/>
          <w:szCs w:val="32"/>
        </w:rPr>
        <w:t xml:space="preserve"> </w:t>
      </w:r>
      <w:r w:rsidR="00F56253">
        <w:rPr>
          <w:rFonts w:asciiTheme="majorEastAsia" w:eastAsiaTheme="majorEastAsia" w:hAnsiTheme="majorEastAsia" w:hint="eastAsia"/>
          <w:sz w:val="32"/>
          <w:szCs w:val="32"/>
        </w:rPr>
        <w:t>km（</w:t>
      </w:r>
      <w:r w:rsidR="00040B06">
        <w:rPr>
          <w:rFonts w:asciiTheme="majorEastAsia" w:eastAsiaTheme="majorEastAsia" w:hAnsiTheme="majorEastAsia" w:hint="eastAsia"/>
          <w:sz w:val="32"/>
          <w:szCs w:val="32"/>
        </w:rPr>
        <w:t xml:space="preserve"> </w:t>
      </w:r>
      <w:r w:rsidR="00F56253">
        <w:rPr>
          <w:rFonts w:asciiTheme="majorEastAsia" w:eastAsiaTheme="majorEastAsia" w:hAnsiTheme="majorEastAsia" w:hint="eastAsia"/>
          <w:sz w:val="32"/>
          <w:szCs w:val="32"/>
        </w:rPr>
        <w:t>折单3.1km</w:t>
      </w:r>
      <w:r w:rsidR="00040B06">
        <w:rPr>
          <w:rFonts w:asciiTheme="majorEastAsia" w:eastAsiaTheme="majorEastAsia" w:hAnsiTheme="majorEastAsia" w:hint="eastAsia"/>
          <w:sz w:val="32"/>
          <w:szCs w:val="32"/>
        </w:rPr>
        <w:t xml:space="preserve"> </w:t>
      </w:r>
      <w:r w:rsidR="00F56253">
        <w:rPr>
          <w:rFonts w:asciiTheme="majorEastAsia" w:eastAsiaTheme="majorEastAsia" w:hAnsiTheme="majorEastAsia" w:hint="eastAsia"/>
          <w:sz w:val="32"/>
          <w:szCs w:val="32"/>
        </w:rPr>
        <w:t>），双回电源线</w:t>
      </w:r>
      <w:r w:rsidR="00F56253">
        <w:rPr>
          <w:rFonts w:asciiTheme="majorEastAsia" w:eastAsiaTheme="majorEastAsia" w:hAnsiTheme="majorEastAsia" w:hint="eastAsia"/>
          <w:sz w:val="32"/>
          <w:szCs w:val="32"/>
        </w:rPr>
        <w:lastRenderedPageBreak/>
        <w:t>均引自金角西220KV变电站。</w:t>
      </w:r>
      <w:r w:rsidR="00DC753C">
        <w:rPr>
          <w:rFonts w:asciiTheme="majorEastAsia" w:eastAsiaTheme="majorEastAsia" w:hAnsiTheme="majorEastAsia" w:hint="eastAsia"/>
          <w:sz w:val="32"/>
          <w:szCs w:val="32"/>
        </w:rPr>
        <w:t xml:space="preserve"> </w:t>
      </w:r>
      <w:r w:rsidR="00F56253">
        <w:rPr>
          <w:rFonts w:asciiTheme="majorEastAsia" w:eastAsiaTheme="majorEastAsia" w:hAnsiTheme="majorEastAsia" w:hint="eastAsia"/>
          <w:sz w:val="32"/>
          <w:szCs w:val="32"/>
        </w:rPr>
        <w:t>线路工程总投资为7212.67万元，环保投资42万元，约占总投资的0.6%。</w:t>
      </w:r>
    </w:p>
    <w:p w:rsidR="00F56253" w:rsidRDefault="00F56253" w:rsidP="006D570D">
      <w:pPr>
        <w:ind w:firstLine="630"/>
        <w:jc w:val="left"/>
        <w:rPr>
          <w:rFonts w:asciiTheme="majorEastAsia" w:eastAsiaTheme="majorEastAsia" w:hAnsiTheme="majorEastAsia" w:hint="eastAsia"/>
          <w:sz w:val="32"/>
          <w:szCs w:val="32"/>
        </w:rPr>
      </w:pPr>
      <w:r>
        <w:rPr>
          <w:rFonts w:asciiTheme="majorEastAsia" w:eastAsiaTheme="majorEastAsia" w:hAnsiTheme="majorEastAsia" w:hint="eastAsia"/>
          <w:sz w:val="32"/>
          <w:szCs w:val="32"/>
        </w:rPr>
        <w:t>2019年11月8日至11月21日，我中心将该工程环评报告的受理情况进行了公示；11月27日至12月3日，将环评报告拟批复情况进行了公示；</w:t>
      </w:r>
      <w:r w:rsidR="00DC753C">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根据公众反馈意见情况及环评报告结论，在严格落实环评报告所提出的各项污染防治措施、确保各类污染物稳定达标的前提下，同意该工程建设。</w:t>
      </w:r>
    </w:p>
    <w:p w:rsidR="009E5F36" w:rsidRDefault="009E5F36" w:rsidP="006D570D">
      <w:pPr>
        <w:ind w:firstLine="630"/>
        <w:jc w:val="left"/>
        <w:rPr>
          <w:rFonts w:asciiTheme="majorEastAsia" w:eastAsiaTheme="majorEastAsia" w:hAnsiTheme="majorEastAsia" w:hint="eastAsia"/>
          <w:sz w:val="32"/>
          <w:szCs w:val="32"/>
        </w:rPr>
      </w:pPr>
      <w:r>
        <w:rPr>
          <w:rFonts w:asciiTheme="majorEastAsia" w:eastAsiaTheme="majorEastAsia" w:hAnsiTheme="majorEastAsia" w:hint="eastAsia"/>
          <w:sz w:val="32"/>
          <w:szCs w:val="32"/>
        </w:rPr>
        <w:t>二、在工程建设和运营期间，你公司应重点做好以下工作：</w:t>
      </w:r>
    </w:p>
    <w:p w:rsidR="00F56253" w:rsidRDefault="009E5F36" w:rsidP="006D570D">
      <w:pPr>
        <w:ind w:firstLine="630"/>
        <w:jc w:val="left"/>
        <w:rPr>
          <w:rFonts w:asciiTheme="majorEastAsia" w:eastAsiaTheme="majorEastAsia" w:hAnsiTheme="majorEastAsia" w:hint="eastAsia"/>
          <w:sz w:val="32"/>
          <w:szCs w:val="32"/>
        </w:rPr>
      </w:pPr>
      <w:r>
        <w:rPr>
          <w:rFonts w:asciiTheme="majorEastAsia" w:eastAsiaTheme="majorEastAsia" w:hAnsiTheme="majorEastAsia" w:hint="eastAsia"/>
          <w:sz w:val="32"/>
          <w:szCs w:val="32"/>
        </w:rPr>
        <w:t>1、施工期间应严格执行国家相关环保法律法规和落实环评报告中提出的污染防治措施：施工现场采取</w:t>
      </w:r>
      <w:r w:rsidR="00F8356F">
        <w:rPr>
          <w:rFonts w:asciiTheme="majorEastAsia" w:eastAsiaTheme="majorEastAsia" w:hAnsiTheme="majorEastAsia" w:hint="eastAsia"/>
          <w:sz w:val="32"/>
          <w:szCs w:val="32"/>
        </w:rPr>
        <w:t>有效措施减少扬尘污染，妥善处理施工产生的弃土、建筑垃圾和施工废水；合理安排施工时间，加强对高噪声机械的管理。</w:t>
      </w:r>
    </w:p>
    <w:p w:rsidR="00F8356F" w:rsidRDefault="00F8356F" w:rsidP="006D570D">
      <w:pPr>
        <w:ind w:firstLine="630"/>
        <w:jc w:val="left"/>
        <w:rPr>
          <w:rFonts w:asciiTheme="majorEastAsia" w:eastAsiaTheme="majorEastAsia" w:hAnsiTheme="majorEastAsia" w:hint="eastAsia"/>
          <w:sz w:val="32"/>
          <w:szCs w:val="32"/>
        </w:rPr>
      </w:pPr>
      <w:r>
        <w:rPr>
          <w:rFonts w:asciiTheme="majorEastAsia" w:eastAsiaTheme="majorEastAsia" w:hAnsiTheme="majorEastAsia" w:hint="eastAsia"/>
          <w:sz w:val="32"/>
          <w:szCs w:val="32"/>
        </w:rPr>
        <w:t>2、本项目输变电站及输电线路建设均不涉及永久性保护生态区域及生态保护红线区。临时堆土和临时料场设置在现有道路及两侧绿化带等区域内，做到缩短施工工期，并在施工结束后按照修复方案及时开展植被修复工作，减轻对现有道路及两侧绿化带等区域的影响。</w:t>
      </w:r>
    </w:p>
    <w:p w:rsidR="00077761" w:rsidRDefault="00077761" w:rsidP="006D570D">
      <w:pPr>
        <w:ind w:firstLine="630"/>
        <w:jc w:val="left"/>
        <w:rPr>
          <w:rFonts w:asciiTheme="majorEastAsia" w:eastAsiaTheme="majorEastAsia" w:hAnsiTheme="majorEastAsia" w:hint="eastAsia"/>
          <w:sz w:val="32"/>
          <w:szCs w:val="32"/>
        </w:rPr>
      </w:pPr>
      <w:r>
        <w:rPr>
          <w:rFonts w:asciiTheme="majorEastAsia" w:eastAsiaTheme="majorEastAsia" w:hAnsiTheme="majorEastAsia" w:hint="eastAsia"/>
          <w:sz w:val="32"/>
          <w:szCs w:val="32"/>
        </w:rPr>
        <w:t>3、认真执行输变电站行业设计与建筑技术规范，落实电磁辐射防护措施，控制电磁辐射环境影响。</w:t>
      </w:r>
    </w:p>
    <w:p w:rsidR="00077761" w:rsidRDefault="00077761" w:rsidP="006D570D">
      <w:pPr>
        <w:ind w:firstLine="630"/>
        <w:jc w:val="left"/>
        <w:rPr>
          <w:rFonts w:asciiTheme="majorEastAsia" w:eastAsiaTheme="majorEastAsia" w:hAnsiTheme="majorEastAsia" w:hint="eastAsia"/>
          <w:sz w:val="32"/>
          <w:szCs w:val="32"/>
        </w:rPr>
      </w:pPr>
      <w:r>
        <w:rPr>
          <w:rFonts w:asciiTheme="majorEastAsia" w:eastAsiaTheme="majorEastAsia" w:hAnsiTheme="majorEastAsia" w:hint="eastAsia"/>
          <w:sz w:val="32"/>
          <w:szCs w:val="32"/>
        </w:rPr>
        <w:t>4、选用低噪声设备</w:t>
      </w:r>
      <w:r w:rsidR="00DB1E30">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采用隔声降噪措施，确保输变电站厂界噪声排放达标。</w:t>
      </w:r>
    </w:p>
    <w:p w:rsidR="00077761" w:rsidRDefault="00077761" w:rsidP="006D570D">
      <w:pPr>
        <w:ind w:firstLine="630"/>
        <w:jc w:val="left"/>
        <w:rPr>
          <w:rFonts w:asciiTheme="majorEastAsia" w:eastAsiaTheme="majorEastAsia" w:hAnsiTheme="majorEastAsia" w:hint="eastAsia"/>
          <w:sz w:val="32"/>
          <w:szCs w:val="32"/>
        </w:rPr>
      </w:pPr>
      <w:r>
        <w:rPr>
          <w:rFonts w:asciiTheme="majorEastAsia" w:eastAsiaTheme="majorEastAsia" w:hAnsiTheme="majorEastAsia" w:hint="eastAsia"/>
          <w:sz w:val="32"/>
          <w:szCs w:val="32"/>
        </w:rPr>
        <w:t>5、输变电站建成后为无人值班、有人值守站，值守人员仅1</w:t>
      </w:r>
      <w:r>
        <w:rPr>
          <w:rFonts w:asciiTheme="majorEastAsia" w:eastAsiaTheme="majorEastAsia" w:hAnsiTheme="majorEastAsia" w:hint="eastAsia"/>
          <w:sz w:val="32"/>
          <w:szCs w:val="32"/>
        </w:rPr>
        <w:lastRenderedPageBreak/>
        <w:t>人，运行期的用水主要为巡检、值守人员冲厕所等用水，产生量极少，暂存化粪池内，经化粪池预处理后排至市政污水管网，最终排入中塘污水处理厂进一步处理。</w:t>
      </w:r>
    </w:p>
    <w:p w:rsidR="00077761" w:rsidRDefault="00B33577" w:rsidP="006D570D">
      <w:pPr>
        <w:ind w:firstLine="630"/>
        <w:jc w:val="left"/>
        <w:rPr>
          <w:rFonts w:asciiTheme="majorEastAsia" w:eastAsiaTheme="majorEastAsia" w:hAnsiTheme="majorEastAsia" w:hint="eastAsia"/>
          <w:sz w:val="32"/>
          <w:szCs w:val="32"/>
        </w:rPr>
      </w:pPr>
      <w:r>
        <w:rPr>
          <w:rFonts w:asciiTheme="majorEastAsia" w:eastAsiaTheme="majorEastAsia" w:hAnsiTheme="majorEastAsia" w:hint="eastAsia"/>
          <w:sz w:val="32"/>
          <w:szCs w:val="32"/>
        </w:rPr>
        <w:t>6、做好各类固体废物的收集、</w:t>
      </w:r>
      <w:r w:rsidR="00242F95">
        <w:rPr>
          <w:rFonts w:asciiTheme="majorEastAsia" w:eastAsiaTheme="majorEastAsia" w:hAnsiTheme="majorEastAsia" w:hint="eastAsia"/>
          <w:sz w:val="32"/>
          <w:szCs w:val="32"/>
        </w:rPr>
        <w:t>贮存、运输和处置，做到资源化、减量化、无害化。废蓄电池和</w:t>
      </w:r>
      <w:r>
        <w:rPr>
          <w:rFonts w:asciiTheme="majorEastAsia" w:eastAsiaTheme="majorEastAsia" w:hAnsiTheme="majorEastAsia" w:hint="eastAsia"/>
          <w:sz w:val="32"/>
          <w:szCs w:val="32"/>
        </w:rPr>
        <w:t>废变压器等</w:t>
      </w:r>
      <w:r w:rsidR="00B671B3">
        <w:rPr>
          <w:rFonts w:asciiTheme="majorEastAsia" w:eastAsiaTheme="majorEastAsia" w:hAnsiTheme="majorEastAsia" w:hint="eastAsia"/>
          <w:sz w:val="32"/>
          <w:szCs w:val="32"/>
        </w:rPr>
        <w:t>危险废物须按照《危险废物收集贮存运输定期技术规范》（HJ2025-2012）进行收集、贮存及运输，并交由有相应资质的单位进行运输、处置；危险废物暂存库应按《危险废物贮存污染控制标准》（GB18597-2001）进行建设和管理；严格按照《工业危险废物产生单位规范化管理指标及抽查表》</w:t>
      </w:r>
      <w:r w:rsidR="004355D5">
        <w:rPr>
          <w:rFonts w:asciiTheme="majorEastAsia" w:eastAsiaTheme="majorEastAsia" w:hAnsiTheme="majorEastAsia" w:hint="eastAsia"/>
          <w:sz w:val="32"/>
          <w:szCs w:val="32"/>
        </w:rPr>
        <w:t>做好危险废物规范化管理工作。生活垃圾交由城管委部门清运。</w:t>
      </w:r>
    </w:p>
    <w:p w:rsidR="00E46C24" w:rsidRDefault="00E46C24" w:rsidP="006D570D">
      <w:pPr>
        <w:ind w:firstLine="630"/>
        <w:jc w:val="left"/>
        <w:rPr>
          <w:rFonts w:asciiTheme="majorEastAsia" w:eastAsiaTheme="majorEastAsia" w:hAnsiTheme="majorEastAsia" w:hint="eastAsia"/>
          <w:sz w:val="32"/>
          <w:szCs w:val="32"/>
        </w:rPr>
      </w:pPr>
      <w:r>
        <w:rPr>
          <w:rFonts w:asciiTheme="majorEastAsia" w:eastAsiaTheme="majorEastAsia" w:hAnsiTheme="majorEastAsia" w:hint="eastAsia"/>
          <w:sz w:val="32"/>
          <w:szCs w:val="32"/>
        </w:rPr>
        <w:t>7</w:t>
      </w:r>
      <w:r w:rsidR="00242F95">
        <w:rPr>
          <w:rFonts w:asciiTheme="majorEastAsia" w:eastAsiaTheme="majorEastAsia" w:hAnsiTheme="majorEastAsia" w:hint="eastAsia"/>
          <w:sz w:val="32"/>
          <w:szCs w:val="32"/>
        </w:rPr>
        <w:t>、完善环境风险应急预案， 设置</w:t>
      </w:r>
      <w:r>
        <w:rPr>
          <w:rFonts w:asciiTheme="majorEastAsia" w:eastAsiaTheme="majorEastAsia" w:hAnsiTheme="majorEastAsia" w:hint="eastAsia"/>
          <w:sz w:val="32"/>
          <w:szCs w:val="32"/>
        </w:rPr>
        <w:t>具有防渗措施的事故储油池，池容量应满足收纳变压器的事故漏油量。</w:t>
      </w:r>
    </w:p>
    <w:p w:rsidR="00F2152B" w:rsidRDefault="00F2152B" w:rsidP="006D570D">
      <w:pPr>
        <w:ind w:firstLine="630"/>
        <w:jc w:val="left"/>
        <w:rPr>
          <w:rFonts w:asciiTheme="majorEastAsia" w:eastAsiaTheme="majorEastAsia" w:hAnsiTheme="majorEastAsia" w:hint="eastAsia"/>
          <w:sz w:val="32"/>
          <w:szCs w:val="32"/>
        </w:rPr>
      </w:pPr>
      <w:r>
        <w:rPr>
          <w:rFonts w:asciiTheme="majorEastAsia" w:eastAsiaTheme="majorEastAsia" w:hAnsiTheme="majorEastAsia" w:hint="eastAsia"/>
          <w:sz w:val="32"/>
          <w:szCs w:val="32"/>
        </w:rPr>
        <w:t>三、工程建设应严格执行环境保护设施与主体工程同时设计、同时施工、同时投产使用的“三同时”管理制度。工程竣工后你公司应按规定的标准和程序开展环境保护验收，经验收合格后方可正式投入使用。</w:t>
      </w:r>
    </w:p>
    <w:p w:rsidR="00F2152B" w:rsidRDefault="00F2152B" w:rsidP="006D570D">
      <w:pPr>
        <w:ind w:firstLine="630"/>
        <w:jc w:val="left"/>
        <w:rPr>
          <w:rFonts w:asciiTheme="majorEastAsia" w:eastAsiaTheme="majorEastAsia" w:hAnsiTheme="majorEastAsia" w:hint="eastAsia"/>
          <w:sz w:val="32"/>
          <w:szCs w:val="32"/>
        </w:rPr>
      </w:pPr>
      <w:r>
        <w:rPr>
          <w:rFonts w:asciiTheme="majorEastAsia" w:eastAsiaTheme="majorEastAsia" w:hAnsiTheme="majorEastAsia" w:hint="eastAsia"/>
          <w:sz w:val="32"/>
          <w:szCs w:val="32"/>
        </w:rPr>
        <w:t>四、若工程的性质、规模、地点、生产工艺或防治污染的措施发生重大变动，要重新报批环境影响评价文件。</w:t>
      </w:r>
    </w:p>
    <w:p w:rsidR="00F2152B" w:rsidRDefault="00F2152B" w:rsidP="006D570D">
      <w:pPr>
        <w:ind w:firstLine="630"/>
        <w:jc w:val="left"/>
        <w:rPr>
          <w:rFonts w:asciiTheme="majorEastAsia" w:eastAsiaTheme="majorEastAsia" w:hAnsiTheme="majorEastAsia" w:hint="eastAsia"/>
          <w:sz w:val="32"/>
          <w:szCs w:val="32"/>
        </w:rPr>
      </w:pPr>
      <w:r>
        <w:rPr>
          <w:rFonts w:asciiTheme="majorEastAsia" w:eastAsiaTheme="majorEastAsia" w:hAnsiTheme="majorEastAsia" w:hint="eastAsia"/>
          <w:sz w:val="32"/>
          <w:szCs w:val="32"/>
        </w:rPr>
        <w:t>五、工程应执行以下标准：</w:t>
      </w:r>
    </w:p>
    <w:p w:rsidR="00F2152B" w:rsidRDefault="00F2152B" w:rsidP="006D570D">
      <w:pPr>
        <w:ind w:firstLine="630"/>
        <w:jc w:val="left"/>
        <w:rPr>
          <w:rFonts w:asciiTheme="majorEastAsia" w:eastAsiaTheme="majorEastAsia" w:hAnsiTheme="majorEastAsia" w:hint="eastAsia"/>
          <w:sz w:val="32"/>
          <w:szCs w:val="32"/>
        </w:rPr>
      </w:pPr>
      <w:r>
        <w:rPr>
          <w:rFonts w:asciiTheme="majorEastAsia" w:eastAsiaTheme="majorEastAsia" w:hAnsiTheme="majorEastAsia" w:hint="eastAsia"/>
          <w:sz w:val="32"/>
          <w:szCs w:val="32"/>
        </w:rPr>
        <w:t>1.《环境空气质量标准》</w:t>
      </w:r>
      <w:r w:rsidR="00C274EF">
        <w:rPr>
          <w:rFonts w:asciiTheme="majorEastAsia" w:eastAsiaTheme="majorEastAsia" w:hAnsiTheme="majorEastAsia" w:hint="eastAsia"/>
          <w:sz w:val="32"/>
          <w:szCs w:val="32"/>
        </w:rPr>
        <w:t>（GB3095-2012）二级；</w:t>
      </w:r>
    </w:p>
    <w:p w:rsidR="00C274EF" w:rsidRDefault="00C274EF" w:rsidP="006D570D">
      <w:pPr>
        <w:ind w:firstLine="630"/>
        <w:jc w:val="left"/>
        <w:rPr>
          <w:rFonts w:asciiTheme="majorEastAsia" w:eastAsiaTheme="majorEastAsia" w:hAnsiTheme="majorEastAsia" w:hint="eastAsia"/>
          <w:sz w:val="32"/>
          <w:szCs w:val="32"/>
        </w:rPr>
      </w:pPr>
      <w:r>
        <w:rPr>
          <w:rFonts w:asciiTheme="majorEastAsia" w:eastAsiaTheme="majorEastAsia" w:hAnsiTheme="majorEastAsia" w:hint="eastAsia"/>
          <w:sz w:val="32"/>
          <w:szCs w:val="32"/>
        </w:rPr>
        <w:t>2.《声环境质量标准》（GB3096-2008）2类、4a类；</w:t>
      </w:r>
    </w:p>
    <w:p w:rsidR="00C274EF" w:rsidRDefault="00C274EF" w:rsidP="006D570D">
      <w:pPr>
        <w:ind w:firstLine="630"/>
        <w:jc w:val="left"/>
        <w:rPr>
          <w:rFonts w:asciiTheme="majorEastAsia" w:eastAsiaTheme="majorEastAsia" w:hAnsiTheme="majorEastAsia" w:hint="eastAsia"/>
          <w:sz w:val="32"/>
          <w:szCs w:val="32"/>
        </w:rPr>
      </w:pPr>
      <w:r>
        <w:rPr>
          <w:rFonts w:asciiTheme="majorEastAsia" w:eastAsiaTheme="majorEastAsia" w:hAnsiTheme="majorEastAsia" w:hint="eastAsia"/>
          <w:sz w:val="32"/>
          <w:szCs w:val="32"/>
        </w:rPr>
        <w:lastRenderedPageBreak/>
        <w:t>3.《电磁环境控制限值》（GB8702-2014）；</w:t>
      </w:r>
    </w:p>
    <w:p w:rsidR="00C274EF" w:rsidRDefault="00C274EF" w:rsidP="006D570D">
      <w:pPr>
        <w:ind w:firstLine="630"/>
        <w:jc w:val="left"/>
        <w:rPr>
          <w:rFonts w:asciiTheme="majorEastAsia" w:eastAsiaTheme="majorEastAsia" w:hAnsiTheme="majorEastAsia" w:hint="eastAsia"/>
          <w:sz w:val="32"/>
          <w:szCs w:val="32"/>
        </w:rPr>
      </w:pPr>
      <w:r>
        <w:rPr>
          <w:rFonts w:asciiTheme="majorEastAsia" w:eastAsiaTheme="majorEastAsia" w:hAnsiTheme="majorEastAsia" w:hint="eastAsia"/>
          <w:sz w:val="32"/>
          <w:szCs w:val="32"/>
        </w:rPr>
        <w:t>4《工业企业厂界环境噪声排放标准》</w:t>
      </w:r>
      <w:r w:rsidR="002A4B82">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（GB12348-2008）2类、4类；</w:t>
      </w:r>
    </w:p>
    <w:p w:rsidR="00C274EF" w:rsidRDefault="00C274EF" w:rsidP="006D570D">
      <w:pPr>
        <w:ind w:firstLine="630"/>
        <w:jc w:val="left"/>
        <w:rPr>
          <w:rFonts w:asciiTheme="majorEastAsia" w:eastAsiaTheme="majorEastAsia" w:hAnsiTheme="majorEastAsia" w:hint="eastAsia"/>
          <w:sz w:val="32"/>
          <w:szCs w:val="32"/>
        </w:rPr>
      </w:pPr>
      <w:r>
        <w:rPr>
          <w:rFonts w:asciiTheme="majorEastAsia" w:eastAsiaTheme="majorEastAsia" w:hAnsiTheme="majorEastAsia" w:hint="eastAsia"/>
          <w:sz w:val="32"/>
          <w:szCs w:val="32"/>
        </w:rPr>
        <w:t>5.《建设施工场界环境噪声排放标准》（GB12523-2011）；</w:t>
      </w:r>
    </w:p>
    <w:p w:rsidR="00C274EF" w:rsidRDefault="00C274EF" w:rsidP="006D570D">
      <w:pPr>
        <w:ind w:firstLine="630"/>
        <w:jc w:val="left"/>
        <w:rPr>
          <w:rFonts w:asciiTheme="majorEastAsia" w:eastAsiaTheme="majorEastAsia" w:hAnsiTheme="majorEastAsia" w:hint="eastAsia"/>
          <w:sz w:val="32"/>
          <w:szCs w:val="32"/>
        </w:rPr>
      </w:pPr>
      <w:r>
        <w:rPr>
          <w:rFonts w:asciiTheme="majorEastAsia" w:eastAsiaTheme="majorEastAsia" w:hAnsiTheme="majorEastAsia" w:hint="eastAsia"/>
          <w:sz w:val="32"/>
          <w:szCs w:val="32"/>
        </w:rPr>
        <w:t>6.《污水综合排放标准》（DB12/356-2018）三级；</w:t>
      </w:r>
    </w:p>
    <w:p w:rsidR="00C274EF" w:rsidRDefault="00C274EF" w:rsidP="006D570D">
      <w:pPr>
        <w:ind w:firstLine="630"/>
        <w:jc w:val="left"/>
        <w:rPr>
          <w:rFonts w:asciiTheme="majorEastAsia" w:eastAsiaTheme="majorEastAsia" w:hAnsiTheme="majorEastAsia" w:hint="eastAsia"/>
          <w:sz w:val="32"/>
          <w:szCs w:val="32"/>
        </w:rPr>
      </w:pPr>
      <w:r>
        <w:rPr>
          <w:rFonts w:asciiTheme="majorEastAsia" w:eastAsiaTheme="majorEastAsia" w:hAnsiTheme="majorEastAsia" w:hint="eastAsia"/>
          <w:sz w:val="32"/>
          <w:szCs w:val="32"/>
        </w:rPr>
        <w:t>7.《危险废物收集 贮存 运输技术规范》（HJ2025-2012）</w:t>
      </w:r>
    </w:p>
    <w:p w:rsidR="00C274EF" w:rsidRDefault="00C274EF" w:rsidP="006D570D">
      <w:pPr>
        <w:ind w:firstLine="630"/>
        <w:jc w:val="left"/>
        <w:rPr>
          <w:rFonts w:asciiTheme="majorEastAsia" w:eastAsiaTheme="majorEastAsia" w:hAnsiTheme="majorEastAsia" w:hint="eastAsia"/>
          <w:sz w:val="32"/>
          <w:szCs w:val="32"/>
        </w:rPr>
      </w:pPr>
      <w:r>
        <w:rPr>
          <w:rFonts w:asciiTheme="majorEastAsia" w:eastAsiaTheme="majorEastAsia" w:hAnsiTheme="majorEastAsia" w:hint="eastAsia"/>
          <w:sz w:val="32"/>
          <w:szCs w:val="32"/>
        </w:rPr>
        <w:t>此复</w:t>
      </w:r>
    </w:p>
    <w:p w:rsidR="00C274EF" w:rsidRDefault="00C274EF" w:rsidP="006D570D">
      <w:pPr>
        <w:ind w:firstLine="630"/>
        <w:jc w:val="left"/>
        <w:rPr>
          <w:rFonts w:asciiTheme="majorEastAsia" w:eastAsiaTheme="majorEastAsia" w:hAnsiTheme="majorEastAsia" w:hint="eastAsia"/>
          <w:sz w:val="32"/>
          <w:szCs w:val="32"/>
        </w:rPr>
      </w:pPr>
    </w:p>
    <w:p w:rsidR="00C274EF" w:rsidRDefault="00C274EF" w:rsidP="006D570D">
      <w:pPr>
        <w:ind w:firstLine="630"/>
        <w:jc w:val="left"/>
        <w:rPr>
          <w:rFonts w:asciiTheme="majorEastAsia" w:eastAsiaTheme="majorEastAsia" w:hAnsiTheme="majorEastAsia" w:hint="eastAsia"/>
          <w:sz w:val="32"/>
          <w:szCs w:val="32"/>
        </w:rPr>
      </w:pPr>
    </w:p>
    <w:p w:rsidR="00C274EF" w:rsidRDefault="00C274EF" w:rsidP="006D570D">
      <w:pPr>
        <w:ind w:firstLine="630"/>
        <w:jc w:val="left"/>
        <w:rPr>
          <w:rFonts w:asciiTheme="majorEastAsia" w:eastAsiaTheme="majorEastAsia" w:hAnsiTheme="majorEastAsia" w:hint="eastAsia"/>
          <w:sz w:val="32"/>
          <w:szCs w:val="32"/>
        </w:rPr>
      </w:pPr>
    </w:p>
    <w:p w:rsidR="00C274EF" w:rsidRDefault="00C274EF" w:rsidP="008553C0">
      <w:pPr>
        <w:jc w:val="left"/>
        <w:rPr>
          <w:rFonts w:asciiTheme="majorEastAsia" w:eastAsiaTheme="majorEastAsia" w:hAnsiTheme="majorEastAsia" w:hint="eastAsia"/>
          <w:sz w:val="32"/>
          <w:szCs w:val="32"/>
        </w:rPr>
      </w:pPr>
    </w:p>
    <w:p w:rsidR="00C274EF" w:rsidRDefault="00C274EF" w:rsidP="006D570D">
      <w:pPr>
        <w:ind w:firstLine="630"/>
        <w:jc w:val="left"/>
        <w:rPr>
          <w:rFonts w:asciiTheme="majorEastAsia" w:eastAsiaTheme="majorEastAsia" w:hAnsiTheme="majorEastAsia" w:hint="eastAsia"/>
          <w:sz w:val="32"/>
          <w:szCs w:val="32"/>
        </w:rPr>
      </w:pPr>
    </w:p>
    <w:p w:rsidR="00C274EF" w:rsidRDefault="00C274EF" w:rsidP="006D570D">
      <w:pPr>
        <w:ind w:firstLine="630"/>
        <w:jc w:val="left"/>
        <w:rPr>
          <w:rFonts w:asciiTheme="majorEastAsia" w:eastAsiaTheme="majorEastAsia" w:hAnsiTheme="majorEastAsia" w:hint="eastAsia"/>
          <w:sz w:val="32"/>
          <w:szCs w:val="32"/>
        </w:rPr>
      </w:pPr>
      <w:r>
        <w:rPr>
          <w:rFonts w:asciiTheme="majorEastAsia" w:eastAsiaTheme="majorEastAsia" w:hAnsiTheme="majorEastAsia" w:hint="eastAsia"/>
          <w:sz w:val="32"/>
          <w:szCs w:val="32"/>
        </w:rPr>
        <w:t xml:space="preserve">                          2019年12月4日</w:t>
      </w:r>
    </w:p>
    <w:p w:rsidR="00C274EF" w:rsidRDefault="00C274EF" w:rsidP="006D570D">
      <w:pPr>
        <w:ind w:firstLine="630"/>
        <w:jc w:val="left"/>
        <w:rPr>
          <w:rFonts w:asciiTheme="majorEastAsia" w:eastAsiaTheme="majorEastAsia" w:hAnsiTheme="majorEastAsia" w:hint="eastAsia"/>
          <w:sz w:val="32"/>
          <w:szCs w:val="32"/>
        </w:rPr>
      </w:pPr>
    </w:p>
    <w:p w:rsidR="00C274EF" w:rsidRDefault="00C274EF" w:rsidP="006D570D">
      <w:pPr>
        <w:ind w:firstLine="630"/>
        <w:jc w:val="left"/>
        <w:rPr>
          <w:rFonts w:asciiTheme="majorEastAsia" w:eastAsiaTheme="majorEastAsia" w:hAnsiTheme="majorEastAsia" w:hint="eastAsia"/>
          <w:sz w:val="32"/>
          <w:szCs w:val="32"/>
        </w:rPr>
      </w:pPr>
    </w:p>
    <w:p w:rsidR="00C274EF" w:rsidRDefault="00C274EF" w:rsidP="006D570D">
      <w:pPr>
        <w:ind w:firstLine="630"/>
        <w:jc w:val="left"/>
        <w:rPr>
          <w:rFonts w:asciiTheme="majorEastAsia" w:eastAsiaTheme="majorEastAsia" w:hAnsiTheme="majorEastAsia" w:hint="eastAsia"/>
          <w:sz w:val="32"/>
          <w:szCs w:val="32"/>
        </w:rPr>
      </w:pPr>
    </w:p>
    <w:p w:rsidR="002E2015" w:rsidRDefault="002E2015" w:rsidP="006D570D">
      <w:pPr>
        <w:ind w:firstLine="630"/>
        <w:jc w:val="left"/>
        <w:rPr>
          <w:rFonts w:asciiTheme="majorEastAsia" w:eastAsiaTheme="majorEastAsia" w:hAnsiTheme="majorEastAsia" w:hint="eastAsia"/>
          <w:sz w:val="32"/>
          <w:szCs w:val="32"/>
        </w:rPr>
      </w:pPr>
    </w:p>
    <w:p w:rsidR="002E2015" w:rsidRDefault="002E2015" w:rsidP="006D570D">
      <w:pPr>
        <w:ind w:firstLine="630"/>
        <w:jc w:val="left"/>
        <w:rPr>
          <w:rFonts w:asciiTheme="majorEastAsia" w:eastAsiaTheme="majorEastAsia" w:hAnsiTheme="majorEastAsia" w:hint="eastAsia"/>
          <w:sz w:val="32"/>
          <w:szCs w:val="32"/>
        </w:rPr>
      </w:pPr>
    </w:p>
    <w:p w:rsidR="002E2015" w:rsidRDefault="002E2015" w:rsidP="008553C0">
      <w:pPr>
        <w:jc w:val="left"/>
        <w:rPr>
          <w:rFonts w:asciiTheme="majorEastAsia" w:eastAsiaTheme="majorEastAsia" w:hAnsiTheme="majorEastAsia" w:hint="eastAsia"/>
          <w:sz w:val="32"/>
          <w:szCs w:val="32"/>
        </w:rPr>
      </w:pPr>
    </w:p>
    <w:p w:rsidR="002E2015" w:rsidRDefault="002E2015" w:rsidP="008553C0">
      <w:pPr>
        <w:jc w:val="left"/>
        <w:rPr>
          <w:rFonts w:asciiTheme="majorEastAsia" w:eastAsiaTheme="majorEastAsia" w:hAnsiTheme="majorEastAsia" w:hint="eastAsia"/>
          <w:sz w:val="32"/>
          <w:szCs w:val="32"/>
        </w:rPr>
      </w:pPr>
      <w:r>
        <w:rPr>
          <w:rFonts w:asciiTheme="majorEastAsia" w:eastAsiaTheme="majorEastAsia" w:hAnsiTheme="majorEastAsia"/>
          <w:noProof/>
          <w:sz w:val="32"/>
          <w:szCs w:val="32"/>
        </w:rPr>
        <w:pict>
          <v:shape id="_x0000_s2052" type="#_x0000_t32" style="position:absolute;margin-left:.3pt;margin-top:24.6pt;width:446.25pt;height:3pt;flip:y;z-index:251659264" o:connectortype="straight"/>
        </w:pict>
      </w:r>
      <w:r>
        <w:rPr>
          <w:rFonts w:asciiTheme="majorEastAsia" w:eastAsiaTheme="majorEastAsia" w:hAnsiTheme="majorEastAsia" w:hint="eastAsia"/>
          <w:sz w:val="32"/>
          <w:szCs w:val="32"/>
        </w:rPr>
        <w:t>主题词：环境影响  报告表  批复       （共印4份）</w:t>
      </w:r>
    </w:p>
    <w:p w:rsidR="002E2015" w:rsidRDefault="002E2015" w:rsidP="008553C0">
      <w:pPr>
        <w:jc w:val="left"/>
        <w:rPr>
          <w:rFonts w:asciiTheme="majorEastAsia" w:eastAsiaTheme="majorEastAsia" w:hAnsiTheme="majorEastAsia" w:hint="eastAsia"/>
          <w:sz w:val="32"/>
          <w:szCs w:val="32"/>
        </w:rPr>
      </w:pPr>
      <w:r>
        <w:rPr>
          <w:rFonts w:asciiTheme="majorEastAsia" w:eastAsiaTheme="majorEastAsia" w:hAnsiTheme="majorEastAsia" w:hint="eastAsia"/>
          <w:noProof/>
          <w:sz w:val="32"/>
          <w:szCs w:val="32"/>
        </w:rPr>
        <w:pict>
          <v:shape id="_x0000_s2053" type="#_x0000_t32" style="position:absolute;margin-left:4.05pt;margin-top:26.4pt;width:442.5pt;height:4.5pt;flip:y;z-index:251660288" o:connectortype="straight"/>
        </w:pict>
      </w:r>
      <w:r>
        <w:rPr>
          <w:rFonts w:asciiTheme="majorEastAsia" w:eastAsiaTheme="majorEastAsia" w:hAnsiTheme="majorEastAsia" w:hint="eastAsia"/>
          <w:sz w:val="32"/>
          <w:szCs w:val="32"/>
        </w:rPr>
        <w:t>抄送：天津市滨海新区生态环境局</w:t>
      </w:r>
    </w:p>
    <w:p w:rsidR="002E2015" w:rsidRDefault="002E2015" w:rsidP="006D570D">
      <w:pPr>
        <w:ind w:firstLine="630"/>
        <w:jc w:val="left"/>
        <w:rPr>
          <w:rFonts w:asciiTheme="majorEastAsia" w:eastAsiaTheme="majorEastAsia" w:hAnsiTheme="majorEastAsia"/>
          <w:sz w:val="32"/>
          <w:szCs w:val="32"/>
        </w:rPr>
      </w:pPr>
      <w:r>
        <w:rPr>
          <w:rFonts w:asciiTheme="majorEastAsia" w:eastAsiaTheme="majorEastAsia" w:hAnsiTheme="majorEastAsia" w:hint="eastAsia"/>
          <w:sz w:val="32"/>
          <w:szCs w:val="32"/>
        </w:rPr>
        <w:t>中塘镇综合便民服务中心         2019年12月4日印发</w:t>
      </w:r>
    </w:p>
    <w:p w:rsidR="002E2015" w:rsidRPr="002E2015" w:rsidRDefault="002E2015" w:rsidP="002E2015">
      <w:pPr>
        <w:tabs>
          <w:tab w:val="left" w:pos="2875"/>
        </w:tabs>
        <w:rPr>
          <w:rFonts w:asciiTheme="majorEastAsia" w:eastAsiaTheme="majorEastAsia" w:hAnsiTheme="majorEastAsia"/>
          <w:sz w:val="32"/>
          <w:szCs w:val="32"/>
        </w:rPr>
      </w:pPr>
      <w:r>
        <w:rPr>
          <w:rFonts w:asciiTheme="majorEastAsia" w:eastAsiaTheme="majorEastAsia" w:hAnsiTheme="majorEastAsia"/>
          <w:sz w:val="32"/>
          <w:szCs w:val="32"/>
        </w:rPr>
        <w:lastRenderedPageBreak/>
        <w:tab/>
      </w:r>
    </w:p>
    <w:sectPr w:rsidR="002E2015" w:rsidRPr="002E2015" w:rsidSect="00242F95">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F54" w:rsidRDefault="00B14F54" w:rsidP="00590C4B">
      <w:r>
        <w:separator/>
      </w:r>
    </w:p>
  </w:endnote>
  <w:endnote w:type="continuationSeparator" w:id="0">
    <w:p w:rsidR="00B14F54" w:rsidRDefault="00B14F54" w:rsidP="00590C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F54" w:rsidRDefault="00B14F54" w:rsidP="00590C4B">
      <w:r>
        <w:separator/>
      </w:r>
    </w:p>
  </w:footnote>
  <w:footnote w:type="continuationSeparator" w:id="0">
    <w:p w:rsidR="00B14F54" w:rsidRDefault="00B14F54" w:rsidP="00590C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0C4B"/>
    <w:rsid w:val="00040B06"/>
    <w:rsid w:val="00077761"/>
    <w:rsid w:val="00087F88"/>
    <w:rsid w:val="00242F95"/>
    <w:rsid w:val="002A4B82"/>
    <w:rsid w:val="002A743D"/>
    <w:rsid w:val="002E2015"/>
    <w:rsid w:val="004355D5"/>
    <w:rsid w:val="00487C7D"/>
    <w:rsid w:val="004A7907"/>
    <w:rsid w:val="00590C4B"/>
    <w:rsid w:val="006D570D"/>
    <w:rsid w:val="008553C0"/>
    <w:rsid w:val="009E5F36"/>
    <w:rsid w:val="00B14F54"/>
    <w:rsid w:val="00B33577"/>
    <w:rsid w:val="00B671B3"/>
    <w:rsid w:val="00BA36B5"/>
    <w:rsid w:val="00C274EF"/>
    <w:rsid w:val="00DB1E30"/>
    <w:rsid w:val="00DC753C"/>
    <w:rsid w:val="00E46C24"/>
    <w:rsid w:val="00F2152B"/>
    <w:rsid w:val="00F56253"/>
    <w:rsid w:val="00F835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4" type="connector" idref="#_x0000_s2051"/>
        <o:r id="V:Rule6" type="connector" idref="#_x0000_s2052"/>
        <o:r id="V:Rule8" type="connector" idref="#_x0000_s2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C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0C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0C4B"/>
    <w:rPr>
      <w:sz w:val="18"/>
      <w:szCs w:val="18"/>
    </w:rPr>
  </w:style>
  <w:style w:type="paragraph" w:styleId="a4">
    <w:name w:val="footer"/>
    <w:basedOn w:val="a"/>
    <w:link w:val="Char0"/>
    <w:uiPriority w:val="99"/>
    <w:semiHidden/>
    <w:unhideWhenUsed/>
    <w:rsid w:val="00590C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90C4B"/>
    <w:rPr>
      <w:sz w:val="18"/>
      <w:szCs w:val="18"/>
    </w:rPr>
  </w:style>
  <w:style w:type="character" w:styleId="a5">
    <w:name w:val="Placeholder Text"/>
    <w:basedOn w:val="a0"/>
    <w:uiPriority w:val="99"/>
    <w:semiHidden/>
    <w:rsid w:val="00F56253"/>
    <w:rPr>
      <w:color w:val="808080"/>
    </w:rPr>
  </w:style>
  <w:style w:type="paragraph" w:styleId="a6">
    <w:name w:val="Balloon Text"/>
    <w:basedOn w:val="a"/>
    <w:link w:val="Char1"/>
    <w:uiPriority w:val="99"/>
    <w:semiHidden/>
    <w:unhideWhenUsed/>
    <w:rsid w:val="00F56253"/>
    <w:rPr>
      <w:sz w:val="18"/>
      <w:szCs w:val="18"/>
    </w:rPr>
  </w:style>
  <w:style w:type="character" w:customStyle="1" w:styleId="Char1">
    <w:name w:val="批注框文本 Char"/>
    <w:basedOn w:val="a0"/>
    <w:link w:val="a6"/>
    <w:uiPriority w:val="99"/>
    <w:semiHidden/>
    <w:rsid w:val="00F56253"/>
    <w:rPr>
      <w:sz w:val="18"/>
      <w:szCs w:val="18"/>
    </w:rPr>
  </w:style>
  <w:style w:type="paragraph" w:styleId="a7">
    <w:name w:val="List Paragraph"/>
    <w:basedOn w:val="a"/>
    <w:uiPriority w:val="34"/>
    <w:qFormat/>
    <w:rsid w:val="00F56253"/>
    <w:pPr>
      <w:ind w:firstLineChars="200" w:firstLine="420"/>
    </w:pPr>
  </w:style>
  <w:style w:type="paragraph" w:styleId="a8">
    <w:name w:val="Date"/>
    <w:basedOn w:val="a"/>
    <w:next w:val="a"/>
    <w:link w:val="Char2"/>
    <w:uiPriority w:val="99"/>
    <w:semiHidden/>
    <w:unhideWhenUsed/>
    <w:rsid w:val="00C274EF"/>
    <w:pPr>
      <w:ind w:leftChars="2500" w:left="100"/>
    </w:pPr>
  </w:style>
  <w:style w:type="character" w:customStyle="1" w:styleId="Char2">
    <w:name w:val="日期 Char"/>
    <w:basedOn w:val="a0"/>
    <w:link w:val="a8"/>
    <w:uiPriority w:val="99"/>
    <w:semiHidden/>
    <w:rsid w:val="00C274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7AF99-8B7A-4CE0-AFAE-B5903E538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2021-09-09T11:14:00Z</dcterms:created>
  <dcterms:modified xsi:type="dcterms:W3CDTF">2021-09-09T13:42:00Z</dcterms:modified>
</cp:coreProperties>
</file>