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汉沽街道办事处2019年</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ind w:firstLine="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一、总体情况</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2019年汉沽街道</w:t>
      </w:r>
      <w:r>
        <w:rPr>
          <w:rFonts w:hint="eastAsia" w:ascii="仿宋_GB2312" w:hAnsi="仿宋_GB2312" w:eastAsia="仿宋_GB2312" w:cs="仿宋_GB2312"/>
          <w:sz w:val="34"/>
          <w:szCs w:val="34"/>
        </w:rPr>
        <w:t>严格按照《中华人民共和国政府信息公开条例》</w:t>
      </w:r>
      <w:r>
        <w:rPr>
          <w:rFonts w:hint="eastAsia" w:ascii="仿宋_GB2312" w:hAnsi="仿宋_GB2312" w:eastAsia="仿宋_GB2312" w:cs="仿宋_GB2312"/>
          <w:sz w:val="34"/>
          <w:szCs w:val="34"/>
          <w:lang w:val="en-US" w:eastAsia="zh-CN"/>
        </w:rPr>
        <w:t>（以下简称《条例》）</w:t>
      </w:r>
      <w:r>
        <w:rPr>
          <w:rFonts w:hint="eastAsia" w:ascii="仿宋_GB2312" w:hAnsi="仿宋_GB2312" w:eastAsia="仿宋_GB2312" w:cs="仿宋_GB2312"/>
          <w:sz w:val="34"/>
          <w:szCs w:val="34"/>
          <w:lang w:eastAsia="zh-CN"/>
        </w:rPr>
        <w:t>的各项要求</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紧紧围绕区委、区政府统一部署，大力推进政府信息公开工作。汉沽街道不断</w:t>
      </w:r>
      <w:r>
        <w:rPr>
          <w:rFonts w:hint="eastAsia" w:ascii="仿宋_GB2312" w:hAnsi="仿宋_GB2312" w:eastAsia="仿宋_GB2312" w:cs="仿宋_GB2312"/>
          <w:sz w:val="34"/>
          <w:szCs w:val="34"/>
        </w:rPr>
        <w:t>加强街道门户网站</w:t>
      </w:r>
      <w:r>
        <w:rPr>
          <w:rFonts w:hint="eastAsia" w:ascii="仿宋_GB2312" w:hAnsi="仿宋_GB2312" w:eastAsia="仿宋_GB2312" w:cs="仿宋_GB2312"/>
          <w:sz w:val="34"/>
          <w:szCs w:val="34"/>
          <w:lang w:eastAsia="zh-CN"/>
        </w:rPr>
        <w:t>的</w:t>
      </w:r>
      <w:r>
        <w:rPr>
          <w:rFonts w:hint="eastAsia" w:ascii="仿宋_GB2312" w:hAnsi="仿宋_GB2312" w:eastAsia="仿宋_GB2312" w:cs="仿宋_GB2312"/>
          <w:sz w:val="34"/>
          <w:szCs w:val="34"/>
        </w:rPr>
        <w:t>管理运用，充分发挥门户网站信息公开主渠道作用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努力推进政府信息公开工作的有序开展。</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一是把握重点，明确原则。2019年汉沽街道根据《条例》及政府信息公开有关文件要求，将编制、公布及更新《政府信息公开指南》作为重点工作，进一步明确政府信息公开工作指导思想及基本原则。全面梳理各类信息，规范化、系统化政府信息公开内容并及时公开发布。</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二是加强领导，巩固成果。建立政府信息公开工作领导小组，健全工作机制，加大投入力度，完善信息管理，突出政务公开重点，规范政务公开内容，提高政务公开水平，进一步巩固政府信息公开工作成果。</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3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三是强化学习，提高认识。在全街范围内强化《条例》及街道信息公开工作相关文件学习，认真领会实质，严格把握要求，增强街道广大干部职工积极推进政务公开的历史使命感和政治责任感。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80" w:firstLineChars="200"/>
        <w:jc w:val="left"/>
        <w:textAlignment w:val="auto"/>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kern w:val="0"/>
          <w:sz w:val="34"/>
          <w:szCs w:val="34"/>
          <w:lang w:val="en-US" w:eastAsia="zh-CN" w:bidi="ar"/>
        </w:rPr>
        <w:t>截至2019年12月31日，汉沽街道主动公开政府信息1350条。其中，通知公告类信息19条；工作动态类信息1329条；财政类信息2条。依申请公开信息1条。</w:t>
      </w:r>
    </w:p>
    <w:p>
      <w:pPr>
        <w:keepNext w:val="0"/>
        <w:keepLines w:val="0"/>
        <w:pageBreakBefore w:val="0"/>
        <w:numPr>
          <w:numId w:val="0"/>
        </w:numPr>
        <w:kinsoku/>
        <w:wordWrap/>
        <w:overflowPunct/>
        <w:topLinePunct w:val="0"/>
        <w:autoSpaceDE/>
        <w:autoSpaceDN/>
        <w:bidi w:val="0"/>
        <w:adjustRightInd/>
        <w:snapToGrid/>
        <w:spacing w:beforeAutospacing="0" w:afterAutospacing="0"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lang w:eastAsia="zh-CN"/>
        </w:rPr>
        <w:t>二、</w:t>
      </w:r>
      <w:r>
        <w:rPr>
          <w:rFonts w:hint="eastAsia" w:ascii="黑体" w:hAnsi="黑体" w:eastAsia="黑体" w:cs="黑体"/>
          <w:b w:val="0"/>
          <w:bCs w:val="0"/>
          <w:sz w:val="34"/>
          <w:szCs w:val="34"/>
        </w:rPr>
        <w:t>主动公开政府信息情况</w:t>
      </w:r>
    </w:p>
    <w:tbl>
      <w:tblPr>
        <w:tblStyle w:val="3"/>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本年新</w:t>
            </w:r>
            <w:r>
              <w:rPr>
                <w:rFonts w:hint="eastAsia" w:ascii="宋体" w:hAnsi="宋体" w:eastAsia="宋体" w:cs="宋体"/>
                <w:color w:val="000000"/>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19</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19</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19</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color w:val="000000"/>
                <w:kern w:val="0"/>
                <w:sz w:val="24"/>
                <w:szCs w:val="24"/>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宋体" w:hAnsi="宋体" w:eastAsia="宋体" w:cs="宋体"/>
                <w:color w:val="000000"/>
                <w:kern w:val="0"/>
                <w:sz w:val="24"/>
                <w:szCs w:val="24"/>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spacing w:line="600" w:lineRule="exac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23"/>
        <w:gridCol w:w="798"/>
        <w:gridCol w:w="742"/>
        <w:gridCol w:w="742"/>
        <w:gridCol w:w="798"/>
        <w:gridCol w:w="951"/>
        <w:gridCol w:w="701"/>
        <w:gridCol w:w="6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kern w:val="0"/>
                <w:sz w:val="24"/>
                <w:szCs w:val="24"/>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Calibri" w:hAnsi="Calibri" w:cs="Calibri"/>
                <w:kern w:val="0"/>
                <w:sz w:val="24"/>
                <w:szCs w:val="24"/>
                <w:lang w:val="en-US" w:eastAsia="zh-CN" w:bidi="ar"/>
              </w:rPr>
              <w:t>1</w:t>
            </w:r>
            <w:r>
              <w:rPr>
                <w:rFonts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default" w:ascii="Calibri" w:hAnsi="Calibri" w:cs="Calibri" w:eastAsiaTheme="minorEastAsia"/>
                <w:kern w:val="0"/>
                <w:sz w:val="24"/>
                <w:szCs w:val="24"/>
                <w:lang w:val="en-US" w:eastAsia="zh-CN" w:bidi="ar"/>
              </w:rPr>
              <w:t> </w:t>
            </w:r>
            <w:r>
              <w:rPr>
                <w:rFonts w:hint="eastAsia" w:ascii="Calibri" w:hAnsi="Calibri" w:cs="Calibr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kern w:val="0"/>
                <w:sz w:val="24"/>
                <w:szCs w:val="24"/>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ascii="楷体" w:hAnsi="楷体" w:eastAsia="楷体" w:cs="楷体"/>
                <w:kern w:val="0"/>
                <w:sz w:val="24"/>
                <w:szCs w:val="24"/>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default" w:ascii="Calibri" w:hAnsi="Calibri" w:cs="Calibri" w:eastAsiaTheme="minorEastAsia"/>
                <w:kern w:val="0"/>
                <w:sz w:val="24"/>
                <w:szCs w:val="24"/>
                <w:lang w:val="en-US" w:eastAsia="zh-CN" w:bidi="ar"/>
              </w:rPr>
              <w:t> </w:t>
            </w:r>
            <w:r>
              <w:rPr>
                <w:rFonts w:hint="eastAsia" w:ascii="Calibri" w:hAnsi="Calibri" w:cs="Calibri"/>
                <w:kern w:val="0"/>
                <w:sz w:val="24"/>
                <w:szCs w:val="24"/>
                <w:lang w:val="en-US" w:eastAsia="zh-CN" w:bidi="ar"/>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Calibri" w:hAnsi="Calibri" w:cs="Calibri"/>
                <w:kern w:val="0"/>
                <w:sz w:val="24"/>
                <w:szCs w:val="24"/>
                <w:lang w:val="en-US" w:eastAsia="zh-CN" w:bidi="ar"/>
              </w:rPr>
              <w:t>1</w:t>
            </w: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楷体" w:hAnsi="楷体" w:eastAsia="楷体" w:cs="楷体"/>
                <w:kern w:val="0"/>
                <w:sz w:val="24"/>
                <w:szCs w:val="24"/>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Calibri" w:hAnsi="Calibri" w:cs="Calibri"/>
                <w:kern w:val="0"/>
                <w:sz w:val="24"/>
                <w:szCs w:val="24"/>
                <w:lang w:val="en-US" w:eastAsia="zh-CN" w:bidi="ar"/>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sz w:val="24"/>
                <w:szCs w:val="24"/>
                <w:lang w:val="en-US"/>
              </w:rPr>
            </w:pPr>
            <w:r>
              <w:rPr>
                <w:rFonts w:hint="eastAsia" w:ascii="Calibri" w:hAnsi="Calibri" w:cs="Calibri"/>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sz w:val="24"/>
                <w:szCs w:val="24"/>
              </w:rPr>
            </w:pPr>
            <w:r>
              <w:rPr>
                <w:rFonts w:hint="eastAsia" w:ascii="宋体" w:hAnsi="宋体" w:eastAsia="宋体" w:cs="宋体"/>
                <w:kern w:val="0"/>
                <w:sz w:val="24"/>
                <w:szCs w:val="24"/>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Calibri" w:hAnsi="Calibri" w:cs="Calibri"/>
                <w:kern w:val="0"/>
                <w:sz w:val="24"/>
                <w:szCs w:val="24"/>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spacing w:line="600" w:lineRule="exact"/>
        <w:rPr>
          <w:rFonts w:hint="eastAsia" w:asciiTheme="minorEastAsia" w:hAnsiTheme="minorEastAsia" w:eastAsiaTheme="minorEastAsia" w:cstheme="minorEastAsia"/>
          <w:b/>
          <w:bCs/>
          <w:sz w:val="24"/>
          <w:szCs w:val="24"/>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rPr>
        <w:t>四、政府信息公开行政复议、行政诉讼情况</w:t>
      </w:r>
    </w:p>
    <w:p>
      <w:pPr>
        <w:spacing w:line="600" w:lineRule="exact"/>
        <w:rPr>
          <w:rFonts w:hint="eastAsia" w:asciiTheme="minorEastAsia" w:hAnsiTheme="minorEastAsia" w:eastAsiaTheme="minorEastAsia" w:cstheme="minorEastAsia"/>
          <w:b/>
          <w:bCs/>
          <w:sz w:val="24"/>
          <w:szCs w:val="24"/>
        </w:rPr>
      </w:pP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textAlignment w:val="auto"/>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default" w:ascii="Calibri" w:hAnsi="Calibri" w:cs="Calibri" w:eastAsiaTheme="minorEastAsia"/>
                <w:kern w:val="0"/>
                <w:sz w:val="24"/>
                <w:szCs w:val="24"/>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color w:val="000000"/>
                <w:kern w:val="0"/>
                <w:sz w:val="24"/>
                <w:szCs w:val="24"/>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sz w:val="24"/>
                <w:szCs w:val="24"/>
              </w:rPr>
            </w:pPr>
            <w:r>
              <w:rPr>
                <w:rFonts w:hint="eastAsia" w:ascii="宋体" w:hAnsi="宋体" w:eastAsia="宋体" w:cs="宋体"/>
                <w:kern w:val="0"/>
                <w:sz w:val="24"/>
                <w:szCs w:val="24"/>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after="0"/>
              <w:jc w:val="center"/>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spacing w:line="600" w:lineRule="exact"/>
        <w:rPr>
          <w:rFonts w:hint="eastAsia" w:asciiTheme="minorEastAsia" w:hAnsiTheme="minorEastAsia" w:eastAsiaTheme="minorEastAsia" w:cstheme="minorEastAsia"/>
          <w:b/>
          <w:bCs/>
          <w:sz w:val="24"/>
          <w:szCs w:val="24"/>
        </w:rPr>
      </w:pPr>
    </w:p>
    <w:p>
      <w:pPr>
        <w:keepNext w:val="0"/>
        <w:keepLines w:val="0"/>
        <w:pageBreakBefore w:val="0"/>
        <w:numPr>
          <w:numId w:val="0"/>
        </w:numPr>
        <w:kinsoku/>
        <w:wordWrap/>
        <w:overflowPunct/>
        <w:topLinePunct w:val="0"/>
        <w:autoSpaceDE/>
        <w:autoSpaceDN/>
        <w:bidi w:val="0"/>
        <w:adjustRightInd/>
        <w:snapToGrid/>
        <w:spacing w:beforeAutospacing="0" w:afterAutospacing="0" w:line="600" w:lineRule="exact"/>
        <w:ind w:firstLine="680" w:firstLineChars="200"/>
        <w:textAlignment w:val="auto"/>
        <w:rPr>
          <w:rFonts w:hint="eastAsia" w:ascii="黑体" w:hAnsi="黑体" w:eastAsia="黑体" w:cs="黑体"/>
          <w:b w:val="0"/>
          <w:bCs w:val="0"/>
          <w:sz w:val="34"/>
          <w:szCs w:val="34"/>
        </w:rPr>
      </w:pPr>
      <w:r>
        <w:rPr>
          <w:rFonts w:hint="eastAsia" w:ascii="黑体" w:hAnsi="黑体" w:eastAsia="黑体" w:cs="黑体"/>
          <w:b w:val="0"/>
          <w:bCs w:val="0"/>
          <w:sz w:val="34"/>
          <w:szCs w:val="34"/>
          <w:lang w:eastAsia="zh-CN"/>
        </w:rPr>
        <w:t>五、</w:t>
      </w:r>
      <w:r>
        <w:rPr>
          <w:rFonts w:hint="eastAsia" w:ascii="黑体" w:hAnsi="黑体" w:eastAsia="黑体" w:cs="黑体"/>
          <w:b w:val="0"/>
          <w:bCs w:val="0"/>
          <w:sz w:val="34"/>
          <w:szCs w:val="34"/>
        </w:rPr>
        <w:t>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80" w:firstLineChars="200"/>
        <w:jc w:val="left"/>
        <w:textAlignment w:val="auto"/>
        <w:rPr>
          <w:rFonts w:hint="eastAsia" w:ascii="仿宋_GB2312" w:hAnsi="仿宋_GB2312" w:eastAsia="仿宋_GB2312" w:cs="仿宋_GB2312"/>
          <w:kern w:val="2"/>
          <w:sz w:val="34"/>
          <w:szCs w:val="34"/>
          <w:lang w:val="en-US" w:eastAsia="zh-CN" w:bidi="ar"/>
        </w:rPr>
      </w:pPr>
      <w:r>
        <w:rPr>
          <w:rFonts w:hint="eastAsia" w:ascii="仿宋_GB2312" w:hAnsi="仿宋_GB2312" w:eastAsia="仿宋_GB2312" w:cs="仿宋_GB2312"/>
          <w:kern w:val="2"/>
          <w:sz w:val="34"/>
          <w:szCs w:val="34"/>
          <w:lang w:val="en-US" w:eastAsia="zh-CN" w:bidi="ar"/>
        </w:rPr>
        <w:t>2019年汉沽街道</w:t>
      </w:r>
      <w:bookmarkStart w:id="0" w:name="_GoBack"/>
      <w:bookmarkEnd w:id="0"/>
      <w:r>
        <w:rPr>
          <w:rFonts w:hint="eastAsia" w:ascii="仿宋_GB2312" w:hAnsi="仿宋_GB2312" w:eastAsia="仿宋_GB2312" w:cs="仿宋_GB2312"/>
          <w:kern w:val="2"/>
          <w:sz w:val="34"/>
          <w:szCs w:val="34"/>
          <w:lang w:val="en-US" w:eastAsia="zh-CN" w:bidi="ar"/>
        </w:rPr>
        <w:t>信息公开工作取得了一些成绩，但也存在不足：一是各科室工作人员信息公开意识不强，信息公开内容广度和深度不够；二是部分信息公布不够及时、更新较慢。信息数量、质量亟待提升。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80" w:firstLineChars="200"/>
        <w:jc w:val="left"/>
        <w:textAlignment w:val="auto"/>
        <w:rPr>
          <w:rFonts w:hint="eastAsia" w:ascii="仿宋_GB2312" w:hAnsi="仿宋_GB2312" w:eastAsia="仿宋_GB2312" w:cs="仿宋_GB2312"/>
          <w:kern w:val="2"/>
          <w:sz w:val="34"/>
          <w:szCs w:val="34"/>
          <w:lang w:val="en-US" w:eastAsia="zh-CN" w:bidi="ar"/>
        </w:rPr>
      </w:pPr>
      <w:r>
        <w:rPr>
          <w:rFonts w:hint="eastAsia" w:ascii="仿宋_GB2312" w:hAnsi="仿宋_GB2312" w:eastAsia="仿宋_GB2312" w:cs="仿宋_GB2312"/>
          <w:kern w:val="2"/>
          <w:sz w:val="34"/>
          <w:szCs w:val="34"/>
          <w:lang w:val="en-US" w:eastAsia="zh-CN" w:bidi="ar"/>
        </w:rPr>
        <w:t>针对街道信息公开工作中存在问题，2020年汉沽街道将根据上级的统一部署，认真整改，努力克服和解决困难，有序有效推进街道信息公开工作开展。一是加强信息公开工作人员与业务科室的衔接与沟通，将信息收集与公开同步进行，确保政府信息公开的及时性、准确性；二是加大学习培训力度，抓好领导干部学习培训，提高领导干部驾驭信息公开工作的能力，并广泛开展政府信息公开基本规范培训，提高各科室工作人员的信息公开意识和水平，充分调动干部职工参与信息公开工作的主动性和积极性。三是加大信息采集和发布力度，提高信息质量，丰富公开内容。广泛听取群众的意见和建议，重点公开人民群众普遍关心的热点、焦点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02C70"/>
    <w:rsid w:val="0C810A9A"/>
    <w:rsid w:val="2E8413C8"/>
    <w:rsid w:val="3D912B9A"/>
    <w:rsid w:val="45603D63"/>
    <w:rsid w:val="59CC4311"/>
    <w:rsid w:val="63AE410C"/>
    <w:rsid w:val="6C602C70"/>
    <w:rsid w:val="7F3C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ht1"/>
    <w:basedOn w:val="4"/>
    <w:uiPriority w:val="0"/>
    <w:rPr>
      <w:rFonts w:ascii="黑体" w:eastAsia="黑体"/>
      <w:b/>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2020-01-21T07:57:00Z</dcterms:created>
  <dc:creator>prefect day</dc:creator>
  <cp:lastModifiedBy>Administrator</cp:lastModifiedBy>
  <dcterms:modified xsi:type="dcterms:W3CDTF">2021-02-07T02:59:42Z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