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F6" w:rsidRPr="002047F6" w:rsidRDefault="002047F6" w:rsidP="002047F6">
      <w:pPr>
        <w:widowControl/>
        <w:shd w:val="clear" w:color="auto" w:fill="FFFFFF"/>
        <w:spacing w:line="840" w:lineRule="atLeast"/>
        <w:jc w:val="center"/>
        <w:outlineLvl w:val="0"/>
        <w:rPr>
          <w:rFonts w:ascii="微软雅黑" w:eastAsia="微软雅黑" w:hAnsi="微软雅黑" w:cs="宋体"/>
          <w:color w:val="333333"/>
          <w:kern w:val="36"/>
          <w:sz w:val="40"/>
          <w:szCs w:val="57"/>
        </w:rPr>
      </w:pPr>
      <w:r w:rsidRPr="002047F6">
        <w:rPr>
          <w:rFonts w:ascii="微软雅黑" w:eastAsia="微软雅黑" w:hAnsi="微软雅黑" w:cs="宋体" w:hint="eastAsia"/>
          <w:color w:val="333333"/>
          <w:kern w:val="36"/>
          <w:sz w:val="40"/>
          <w:szCs w:val="57"/>
        </w:rPr>
        <w:t>中共中央办公厅 国务院办公厅印发《关于进一步减轻义务教育阶段学生作业负担和校外培训负担的意见》</w:t>
      </w:r>
    </w:p>
    <w:p w:rsidR="002047F6" w:rsidRPr="002047F6" w:rsidRDefault="002047F6" w:rsidP="002047F6">
      <w:pPr>
        <w:widowControl/>
        <w:shd w:val="clear" w:color="auto" w:fill="FFFFFF"/>
        <w:jc w:val="center"/>
        <w:rPr>
          <w:rFonts w:ascii="宋体" w:eastAsia="宋体" w:hAnsi="宋体" w:cs="宋体" w:hint="eastAsia"/>
          <w:color w:val="898989"/>
          <w:kern w:val="0"/>
          <w:szCs w:val="21"/>
        </w:rPr>
      </w:pPr>
      <w:r w:rsidRPr="002047F6">
        <w:rPr>
          <w:rFonts w:ascii="宋体" w:eastAsia="宋体" w:hAnsi="宋体" w:cs="宋体" w:hint="eastAsia"/>
          <w:color w:val="898989"/>
          <w:kern w:val="0"/>
          <w:szCs w:val="21"/>
        </w:rPr>
        <w:t> </w:t>
      </w:r>
    </w:p>
    <w:p w:rsidR="002047F6" w:rsidRPr="002047F6" w:rsidRDefault="002047F6" w:rsidP="002047F6">
      <w:pPr>
        <w:widowControl/>
        <w:shd w:val="clear" w:color="auto" w:fill="FFFFFF"/>
        <w:jc w:val="center"/>
        <w:rPr>
          <w:rFonts w:ascii="宋体" w:eastAsia="宋体" w:hAnsi="宋体" w:cs="宋体" w:hint="eastAsia"/>
          <w:color w:val="898989"/>
          <w:kern w:val="0"/>
          <w:szCs w:val="21"/>
        </w:rPr>
      </w:pPr>
      <w:r w:rsidRPr="002047F6">
        <w:rPr>
          <w:rFonts w:ascii="宋体" w:eastAsia="宋体" w:hAnsi="宋体" w:cs="宋体" w:hint="eastAsia"/>
          <w:color w:val="898989"/>
          <w:kern w:val="0"/>
          <w:szCs w:val="21"/>
        </w:rPr>
        <w:t>    </w:t>
      </w:r>
      <w:r w:rsidRPr="002047F6">
        <w:rPr>
          <w:rFonts w:ascii="宋体" w:eastAsia="宋体" w:hAnsi="宋体" w:cs="宋体" w:hint="eastAsia"/>
          <w:color w:val="898989"/>
          <w:kern w:val="0"/>
        </w:rPr>
        <w:t> </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为深入贯彻党的十九大和十九届五中全会精神，切实提升学校育人水平，持续规范校外培训（包括线上培训和线下培训），有效减轻义务教育阶段学生过重作业负担和校外培训负担（以下简称“双减”），现提出如下意见。</w:t>
      </w:r>
    </w:p>
    <w:p w:rsidR="002047F6" w:rsidRPr="002047F6" w:rsidRDefault="002047F6" w:rsidP="002047F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b/>
          <w:bCs/>
          <w:color w:val="333333"/>
          <w:kern w:val="0"/>
          <w:sz w:val="24"/>
          <w:szCs w:val="24"/>
        </w:rPr>
        <w:t>一、总体要求</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rsidR="002047F6" w:rsidRPr="002047F6" w:rsidRDefault="002047F6" w:rsidP="002047F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b/>
          <w:bCs/>
          <w:color w:val="333333"/>
          <w:kern w:val="0"/>
          <w:sz w:val="24"/>
          <w:szCs w:val="24"/>
        </w:rPr>
        <w:t>二、全面压减作业总量和时长，减轻学生过重作业负担</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lastRenderedPageBreak/>
        <w:t>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5.分类明确作业总量。学校要确保小学一、二年级不布置家庭书面作业，可在校内适当安排巩固练习；小学三至六年级书面作业平均完成时间不超过60分钟，初中书面作业平均完成时间不超过90分钟。</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7.加强作业完成指导。教师要指导小学生在校内基本完成书面作业，初中生在校内完成大部分书面作业。教师要认真批改作业，及时做好反馈，加强面批讲解，认真分析学情，做好答疑辅导。不得要求学生自批自改作业。</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rsidR="002047F6" w:rsidRPr="002047F6" w:rsidRDefault="002047F6" w:rsidP="002047F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b/>
          <w:bCs/>
          <w:color w:val="333333"/>
          <w:kern w:val="0"/>
          <w:sz w:val="24"/>
          <w:szCs w:val="24"/>
        </w:rPr>
        <w:t>三、提升学校课后服务水平，满足学生多样化需求</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10.提高课后服务质量。学校要制定课后服务实施方案，增强课后服务的吸引力。充分用好课后服务时间，指导学生认真完成作业，对学习有困难的学生进</w:t>
      </w:r>
      <w:r w:rsidRPr="002047F6">
        <w:rPr>
          <w:rFonts w:ascii="宋体" w:eastAsia="宋体" w:hAnsi="宋体" w:cs="宋体" w:hint="eastAsia"/>
          <w:color w:val="333333"/>
          <w:kern w:val="0"/>
          <w:sz w:val="24"/>
          <w:szCs w:val="24"/>
        </w:rPr>
        <w:lastRenderedPageBreak/>
        <w:t>行补习辅导与答疑，为学有余力的学生拓展学习空间，开展丰富多彩的科普、文体、艺术、劳动、阅读、兴趣小组及社团活动。不得利用课后服务时间讲新课。</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rsidR="002047F6" w:rsidRPr="002047F6" w:rsidRDefault="002047F6" w:rsidP="002047F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b/>
          <w:bCs/>
          <w:color w:val="333333"/>
          <w:kern w:val="0"/>
          <w:sz w:val="24"/>
          <w:szCs w:val="24"/>
        </w:rPr>
        <w:t>四、坚持从严治理，全面规范校外培训行为</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w:t>
      </w:r>
      <w:r w:rsidRPr="002047F6">
        <w:rPr>
          <w:rFonts w:ascii="宋体" w:eastAsia="宋体" w:hAnsi="宋体" w:cs="宋体" w:hint="eastAsia"/>
          <w:color w:val="333333"/>
          <w:kern w:val="0"/>
          <w:sz w:val="24"/>
          <w:szCs w:val="24"/>
        </w:rPr>
        <w:lastRenderedPageBreak/>
        <w:t>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rsidR="002047F6" w:rsidRPr="002047F6" w:rsidRDefault="002047F6" w:rsidP="002047F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b/>
          <w:bCs/>
          <w:color w:val="333333"/>
          <w:kern w:val="0"/>
          <w:sz w:val="24"/>
          <w:szCs w:val="24"/>
        </w:rPr>
        <w:t>五、大力提升教育教学质量，确保学生在校内学足学好</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18.深化高中招生改革。各地要积极完善基于初中学业水平考试成绩、结合综合素质评价的高中阶段学校招生录取模式，依据不同科目特点，完善考试方式</w:t>
      </w:r>
      <w:r w:rsidRPr="002047F6">
        <w:rPr>
          <w:rFonts w:ascii="宋体" w:eastAsia="宋体" w:hAnsi="宋体" w:cs="宋体" w:hint="eastAsia"/>
          <w:color w:val="333333"/>
          <w:kern w:val="0"/>
          <w:sz w:val="24"/>
          <w:szCs w:val="24"/>
        </w:rPr>
        <w:lastRenderedPageBreak/>
        <w:t>和成绩呈现方式。坚持以学定考，进一步提升中考命题质量，防止偏题、怪题、超过课程标准的难题。逐步提高优质普通高中招生指标分配到区域内初中的比例，规范普通高中招生秩序，杜绝违规招生、恶性竞争。</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rsidR="002047F6" w:rsidRPr="002047F6" w:rsidRDefault="002047F6" w:rsidP="002047F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b/>
          <w:bCs/>
          <w:color w:val="333333"/>
          <w:kern w:val="0"/>
          <w:sz w:val="24"/>
          <w:szCs w:val="24"/>
        </w:rPr>
        <w:t>六、强化配套治理，提升支撑保障能力</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rsidR="002047F6" w:rsidRPr="002047F6" w:rsidRDefault="002047F6" w:rsidP="002047F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b/>
          <w:bCs/>
          <w:color w:val="333333"/>
          <w:kern w:val="0"/>
          <w:sz w:val="24"/>
          <w:szCs w:val="24"/>
        </w:rPr>
        <w:t>七、扎实做好试点探索，确保治理工作稳妥推进</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lastRenderedPageBreak/>
        <w:t>23.明确试点工作要求。在全面开展治理工作的同时，确定北京市、上海市、沈阳市、广州市、成都市、郑州市、长治市、威海市、南通市为全国试点，其他省份至少选择1个地市开展试点，试点内容为第24、25、26条所列内容。</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24.坚决压减学科类校外培训。对现有学科类培训机构重新审核登记，逐步大大压减，解决过多过滥问题；依法依规严肃查处存在不符合资质、管理混乱、借机敛财、虚假宣传、与学校勾连牟利等严重问题的机构。</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25.合理利用校内外资源。鼓励有条件的学校在课余时间向学生提供兴趣类课后服务活动，供学生自主选择参加。课后服务不能满足部分学生发展兴趣特长等特殊需要的，可适当引进非学科类校外培训机构参与课后服务，由教育部门负责组织遴选，供学校选择使用，并建立评估退出机制，对出现服务水平低下、恶意在校招揽生源、不按规定提供服务、扰乱学校教育教学和招生秩序等问题的培训机构，坚决取消培训资质。</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26.强化培训收费监管。坚持校外培训公益属性，充分考虑其涉及重大民生的特点，将义务教育阶段学科类校外培训收费纳入政府指导价管理，科学合理确定计价办法，明确收费标准，坚决遏制过高收费和过度逐利行为。通过第三方托管、风险储备金等方式，对校外培训机构预收费进行风险管控，加强对培训领域贷款的监管，有效预防“退费难”、“卷钱跑路”等问题发生。</w:t>
      </w:r>
    </w:p>
    <w:p w:rsidR="002047F6" w:rsidRPr="002047F6" w:rsidRDefault="002047F6" w:rsidP="002047F6">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b/>
          <w:bCs/>
          <w:color w:val="333333"/>
          <w:kern w:val="0"/>
          <w:sz w:val="24"/>
          <w:szCs w:val="24"/>
        </w:rPr>
        <w:t>八、精心组织实施，务求取得实效</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27.全面系统做好部署。加强党对“双减”工作的领导，各省（自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28.明确部门工作责任。教育部门要抓好统筹协调，会同有关部门加强对校外培训机构日常监管，指导学校做好“双减”有关工作；宣传、网信部门要加强舆论宣传引导，网信部门要配合教育、工业和信息化部门做好线上校外培训监管工作；机构编制部门要及时为中小学校补齐补足教师编制；发展改革部门要会同</w:t>
      </w:r>
      <w:r w:rsidRPr="002047F6">
        <w:rPr>
          <w:rFonts w:ascii="宋体" w:eastAsia="宋体" w:hAnsi="宋体" w:cs="宋体" w:hint="eastAsia"/>
          <w:color w:val="333333"/>
          <w:kern w:val="0"/>
          <w:sz w:val="24"/>
          <w:szCs w:val="24"/>
        </w:rPr>
        <w:lastRenderedPageBreak/>
        <w:t>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研判和预警预防，做好相关涉稳事件应急处置工作；人民银行、银保监、证监部门负责指导银行等机构做好校外培训机构预收费风险管控工作，清理整顿培训机构融资、上市等行为；其他相关部门按照各自职责负起责任、抓好落实。</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30.强化督促检查和宣传引导。将落实“双减”工作情况及实际成效，作为督查督办、漠视群众利益专项整治和政府履行教育职责督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验好做法，并做好宣传推广。新闻媒体要坚持正确舆论导向，营造良好社会氛围。</w:t>
      </w:r>
    </w:p>
    <w:p w:rsidR="002047F6" w:rsidRPr="002047F6" w:rsidRDefault="002047F6" w:rsidP="002047F6">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047F6">
        <w:rPr>
          <w:rFonts w:ascii="宋体" w:eastAsia="宋体" w:hAnsi="宋体" w:cs="宋体" w:hint="eastAsia"/>
          <w:color w:val="333333"/>
          <w:kern w:val="0"/>
          <w:sz w:val="24"/>
          <w:szCs w:val="24"/>
        </w:rPr>
        <w:t>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本意见有关规定执行。</w:t>
      </w:r>
    </w:p>
    <w:p w:rsidR="00235E4F" w:rsidRDefault="007735DF"/>
    <w:sectPr w:rsidR="00235E4F" w:rsidSect="00EA42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47F6"/>
    <w:rsid w:val="000B5340"/>
    <w:rsid w:val="000D5133"/>
    <w:rsid w:val="002047F6"/>
    <w:rsid w:val="00246E46"/>
    <w:rsid w:val="00320A81"/>
    <w:rsid w:val="007735DF"/>
    <w:rsid w:val="007A79E5"/>
    <w:rsid w:val="00E960CE"/>
    <w:rsid w:val="00EA42BD"/>
    <w:rsid w:val="00F133A1"/>
    <w:rsid w:val="00F20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2BD"/>
    <w:pPr>
      <w:widowControl w:val="0"/>
      <w:jc w:val="both"/>
    </w:pPr>
  </w:style>
  <w:style w:type="paragraph" w:styleId="1">
    <w:name w:val="heading 1"/>
    <w:basedOn w:val="a"/>
    <w:link w:val="1Char"/>
    <w:uiPriority w:val="9"/>
    <w:qFormat/>
    <w:rsid w:val="002047F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047F6"/>
    <w:rPr>
      <w:rFonts w:ascii="宋体" w:eastAsia="宋体" w:hAnsi="宋体" w:cs="宋体"/>
      <w:b/>
      <w:bCs/>
      <w:kern w:val="36"/>
      <w:sz w:val="48"/>
      <w:szCs w:val="48"/>
    </w:rPr>
  </w:style>
  <w:style w:type="character" w:customStyle="1" w:styleId="font">
    <w:name w:val="font"/>
    <w:basedOn w:val="a0"/>
    <w:rsid w:val="002047F6"/>
  </w:style>
  <w:style w:type="character" w:customStyle="1" w:styleId="bigger">
    <w:name w:val="bigger"/>
    <w:basedOn w:val="a0"/>
    <w:rsid w:val="002047F6"/>
  </w:style>
  <w:style w:type="character" w:customStyle="1" w:styleId="medium">
    <w:name w:val="medium"/>
    <w:basedOn w:val="a0"/>
    <w:rsid w:val="002047F6"/>
  </w:style>
  <w:style w:type="character" w:customStyle="1" w:styleId="smaller">
    <w:name w:val="smaller"/>
    <w:basedOn w:val="a0"/>
    <w:rsid w:val="002047F6"/>
  </w:style>
  <w:style w:type="character" w:customStyle="1" w:styleId="gwdsmore">
    <w:name w:val="gwds_more"/>
    <w:basedOn w:val="a0"/>
    <w:rsid w:val="002047F6"/>
  </w:style>
  <w:style w:type="paragraph" w:styleId="a3">
    <w:name w:val="Normal (Web)"/>
    <w:basedOn w:val="a"/>
    <w:uiPriority w:val="99"/>
    <w:semiHidden/>
    <w:unhideWhenUsed/>
    <w:rsid w:val="002047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18593419">
      <w:bodyDiv w:val="1"/>
      <w:marLeft w:val="0"/>
      <w:marRight w:val="0"/>
      <w:marTop w:val="0"/>
      <w:marBottom w:val="0"/>
      <w:divBdr>
        <w:top w:val="none" w:sz="0" w:space="0" w:color="auto"/>
        <w:left w:val="none" w:sz="0" w:space="0" w:color="auto"/>
        <w:bottom w:val="none" w:sz="0" w:space="0" w:color="auto"/>
        <w:right w:val="none" w:sz="0" w:space="0" w:color="auto"/>
      </w:divBdr>
      <w:divsChild>
        <w:div w:id="771052183">
          <w:marLeft w:val="0"/>
          <w:marRight w:val="0"/>
          <w:marTop w:val="0"/>
          <w:marBottom w:val="0"/>
          <w:divBdr>
            <w:top w:val="none" w:sz="0" w:space="0" w:color="auto"/>
            <w:left w:val="none" w:sz="0" w:space="0" w:color="auto"/>
            <w:bottom w:val="single" w:sz="6" w:space="0" w:color="DCDCDC"/>
            <w:right w:val="none" w:sz="0" w:space="0" w:color="auto"/>
          </w:divBdr>
          <w:divsChild>
            <w:div w:id="187569124">
              <w:marLeft w:val="0"/>
              <w:marRight w:val="0"/>
              <w:marTop w:val="0"/>
              <w:marBottom w:val="0"/>
              <w:divBdr>
                <w:top w:val="none" w:sz="0" w:space="0" w:color="auto"/>
                <w:left w:val="none" w:sz="0" w:space="0" w:color="auto"/>
                <w:bottom w:val="none" w:sz="0" w:space="0" w:color="auto"/>
                <w:right w:val="none" w:sz="0" w:space="0" w:color="auto"/>
              </w:divBdr>
              <w:divsChild>
                <w:div w:id="18746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914</Words>
  <Characters>5215</Characters>
  <Application>Microsoft Office Word</Application>
  <DocSecurity>0</DocSecurity>
  <Lines>43</Lines>
  <Paragraphs>12</Paragraphs>
  <ScaleCrop>false</ScaleCrop>
  <Company>Hewlett-Packard Company</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2021-10-29T08:30:00Z</dcterms:created>
  <dcterms:modified xsi:type="dcterms:W3CDTF">2021-10-29T08:31:00Z</dcterms:modified>
</cp:coreProperties>
</file>