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pPr>
      <w:r>
        <w:rPr>
          <w:rFonts w:hint="eastAsia"/>
        </w:rPr>
        <w:t>预案编号：</w:t>
      </w:r>
      <w:r>
        <w:t>TJBHXQXBJ/YJYA-001</w:t>
      </w:r>
    </w:p>
    <w:p>
      <w:pPr>
        <w:ind w:firstLine="560"/>
      </w:pPr>
    </w:p>
    <w:p>
      <w:pPr>
        <w:ind w:firstLine="560"/>
      </w:pPr>
    </w:p>
    <w:p>
      <w:pPr>
        <w:ind w:firstLine="560"/>
      </w:pPr>
    </w:p>
    <w:p>
      <w:pPr>
        <w:ind w:firstLine="560"/>
      </w:pPr>
    </w:p>
    <w:p>
      <w:pPr>
        <w:ind w:firstLine="560"/>
      </w:pPr>
    </w:p>
    <w:p>
      <w:pPr>
        <w:pStyle w:val="97"/>
        <w:rPr>
          <w:color w:val="auto"/>
        </w:rPr>
      </w:pPr>
      <w:r>
        <w:rPr>
          <w:rFonts w:hint="eastAsia"/>
          <w:color w:val="auto"/>
        </w:rPr>
        <w:t>天津市滨海新区人民政府</w:t>
      </w:r>
    </w:p>
    <w:p>
      <w:pPr>
        <w:pStyle w:val="97"/>
      </w:pPr>
      <w:r>
        <w:rPr>
          <w:rFonts w:hint="eastAsia"/>
        </w:rPr>
        <w:t>新北街道办事处</w:t>
      </w:r>
    </w:p>
    <w:p>
      <w:pPr>
        <w:pStyle w:val="97"/>
        <w:rPr>
          <w:color w:val="auto"/>
        </w:rPr>
      </w:pPr>
      <w:r>
        <w:rPr>
          <w:rFonts w:hint="eastAsia"/>
          <w:color w:val="auto"/>
        </w:rPr>
        <w:t>突发事件总体应急预案</w:t>
      </w:r>
    </w:p>
    <w:p>
      <w:pPr>
        <w:pStyle w:val="97"/>
        <w:rPr>
          <w:color w:val="auto"/>
        </w:rPr>
      </w:pPr>
    </w:p>
    <w:p>
      <w:pPr>
        <w:pStyle w:val="97"/>
        <w:rPr>
          <w:color w:val="auto"/>
        </w:rPr>
      </w:pPr>
    </w:p>
    <w:p>
      <w:pPr>
        <w:pStyle w:val="97"/>
        <w:rPr>
          <w:color w:val="auto"/>
        </w:rPr>
      </w:pPr>
    </w:p>
    <w:p>
      <w:pPr>
        <w:pStyle w:val="97"/>
        <w:rPr>
          <w:color w:val="auto"/>
        </w:rPr>
      </w:pPr>
    </w:p>
    <w:p>
      <w:pPr>
        <w:pStyle w:val="97"/>
        <w:rPr>
          <w:color w:val="auto"/>
        </w:rPr>
      </w:pPr>
    </w:p>
    <w:p>
      <w:pPr>
        <w:pStyle w:val="99"/>
      </w:pPr>
      <w:r>
        <w:rPr>
          <w:rFonts w:hint="eastAsia"/>
        </w:rPr>
        <w:t>编制：天津市滨海新区新北街道办事处</w:t>
      </w:r>
    </w:p>
    <w:p>
      <w:pPr>
        <w:pStyle w:val="99"/>
      </w:pPr>
      <w:r>
        <w:rPr>
          <w:rFonts w:hint="eastAsia"/>
        </w:rPr>
        <w:t>2020年9月颁布实施</w:t>
      </w:r>
    </w:p>
    <w:p>
      <w:pPr>
        <w:pStyle w:val="101"/>
        <w:spacing w:before="120" w:after="120"/>
      </w:pPr>
    </w:p>
    <w:p>
      <w:pPr>
        <w:pStyle w:val="101"/>
        <w:spacing w:before="120" w:after="120"/>
        <w:sectPr>
          <w:headerReference r:id="rId5" w:type="first"/>
          <w:footerReference r:id="rId8" w:type="first"/>
          <w:headerReference r:id="rId3" w:type="default"/>
          <w:footerReference r:id="rId6" w:type="default"/>
          <w:headerReference r:id="rId4" w:type="even"/>
          <w:footerReference r:id="rId7" w:type="even"/>
          <w:type w:val="nextColumn"/>
          <w:pgSz w:w="11906" w:h="16840"/>
          <w:pgMar w:top="1418" w:right="1134" w:bottom="1247" w:left="1588" w:header="851" w:footer="851" w:gutter="0"/>
          <w:paperSrc w:first="7" w:other="7"/>
          <w:cols w:space="720" w:num="1"/>
          <w:docGrid w:linePitch="536" w:charSpace="0"/>
        </w:sectPr>
      </w:pPr>
    </w:p>
    <w:p>
      <w:pPr>
        <w:spacing w:before="120" w:beforeLines="50" w:after="120" w:afterLines="50"/>
        <w:ind w:firstLine="0" w:firstLineChars="0"/>
        <w:jc w:val="center"/>
        <w:rPr>
          <w:b/>
          <w:sz w:val="32"/>
          <w:szCs w:val="32"/>
        </w:rPr>
      </w:pPr>
      <w:r>
        <w:rPr>
          <w:rFonts w:hint="eastAsia"/>
          <w:b/>
          <w:sz w:val="32"/>
          <w:szCs w:val="32"/>
        </w:rPr>
        <w:t>目  录</w:t>
      </w:r>
    </w:p>
    <w:p>
      <w:pPr>
        <w:pStyle w:val="24"/>
        <w:tabs>
          <w:tab w:val="right" w:leader="dot" w:pos="9174"/>
        </w:tabs>
        <w:ind w:firstLine="180"/>
        <w:rPr>
          <w:rFonts w:asciiTheme="minorHAnsi" w:hAnsiTheme="minorHAnsi" w:eastAsiaTheme="minorEastAsia" w:cstheme="minorBidi"/>
          <w:b w:val="0"/>
          <w:bCs w:val="0"/>
          <w:caps w:val="0"/>
          <w:sz w:val="21"/>
          <w:szCs w:val="22"/>
        </w:rPr>
      </w:pPr>
      <w:r>
        <w:rPr>
          <w:b w:val="0"/>
          <w:bCs w:val="0"/>
          <w:sz w:val="36"/>
          <w:szCs w:val="21"/>
        </w:rPr>
        <w:fldChar w:fldCharType="begin"/>
      </w:r>
      <w:r>
        <w:rPr>
          <w:b w:val="0"/>
          <w:bCs w:val="0"/>
          <w:sz w:val="36"/>
          <w:szCs w:val="21"/>
        </w:rPr>
        <w:instrText xml:space="preserve"> TOC \o "1-2" \h \z \u </w:instrText>
      </w:r>
      <w:r>
        <w:rPr>
          <w:b w:val="0"/>
          <w:bCs w:val="0"/>
          <w:sz w:val="36"/>
          <w:szCs w:val="21"/>
        </w:rPr>
        <w:fldChar w:fldCharType="separate"/>
      </w:r>
      <w:r>
        <w:fldChar w:fldCharType="begin"/>
      </w:r>
      <w:r>
        <w:instrText xml:space="preserve"> HYPERLINK \l "_Toc51575297" </w:instrText>
      </w:r>
      <w:r>
        <w:fldChar w:fldCharType="separate"/>
      </w:r>
      <w:r>
        <w:rPr>
          <w:rStyle w:val="43"/>
        </w:rPr>
        <w:t>1</w:t>
      </w:r>
      <w:r>
        <w:rPr>
          <w:rStyle w:val="43"/>
          <w:rFonts w:hint="eastAsia"/>
        </w:rPr>
        <w:t>总则</w:t>
      </w:r>
      <w:r>
        <w:tab/>
      </w:r>
      <w:r>
        <w:fldChar w:fldCharType="begin"/>
      </w:r>
      <w:r>
        <w:instrText xml:space="preserve"> PAGEREF _Toc51575297 \h </w:instrText>
      </w:r>
      <w:r>
        <w:fldChar w:fldCharType="separate"/>
      </w:r>
      <w:r>
        <w:t>1</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"_Toc51575298" </w:instrText>
      </w:r>
      <w:r>
        <w:fldChar w:fldCharType="separate"/>
      </w:r>
      <w:r>
        <w:rPr>
          <w:rStyle w:val="43"/>
        </w:rPr>
        <w:t>1.1</w:t>
      </w:r>
      <w:r>
        <w:rPr>
          <w:rStyle w:val="43"/>
          <w:rFonts w:hint="eastAsia"/>
        </w:rPr>
        <w:t>编制目的</w:t>
      </w:r>
      <w:r>
        <w:tab/>
      </w:r>
      <w:r>
        <w:fldChar w:fldCharType="begin"/>
      </w:r>
      <w:r>
        <w:instrText xml:space="preserve"> PAGEREF _Toc51575298 \h </w:instrText>
      </w:r>
      <w:r>
        <w:fldChar w:fldCharType="separate"/>
      </w:r>
      <w:r>
        <w:t>1</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"_Toc51575299" </w:instrText>
      </w:r>
      <w:r>
        <w:fldChar w:fldCharType="separate"/>
      </w:r>
      <w:r>
        <w:rPr>
          <w:rStyle w:val="43"/>
        </w:rPr>
        <w:t>1.2</w:t>
      </w:r>
      <w:r>
        <w:rPr>
          <w:rStyle w:val="43"/>
          <w:rFonts w:hint="eastAsia"/>
        </w:rPr>
        <w:t>编制依据</w:t>
      </w:r>
      <w:r>
        <w:tab/>
      </w:r>
      <w:r>
        <w:fldChar w:fldCharType="begin"/>
      </w:r>
      <w:r>
        <w:instrText xml:space="preserve"> PAGEREF _Toc51575299 \h </w:instrText>
      </w:r>
      <w:r>
        <w:fldChar w:fldCharType="separate"/>
      </w:r>
      <w:r>
        <w:t>1</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"_Toc51575300" </w:instrText>
      </w:r>
      <w:r>
        <w:fldChar w:fldCharType="separate"/>
      </w:r>
      <w:r>
        <w:rPr>
          <w:rStyle w:val="43"/>
        </w:rPr>
        <w:t>1.3</w:t>
      </w:r>
      <w:r>
        <w:rPr>
          <w:rStyle w:val="43"/>
          <w:rFonts w:hint="eastAsia"/>
        </w:rPr>
        <w:t>工作原则</w:t>
      </w:r>
      <w:r>
        <w:tab/>
      </w:r>
      <w:r>
        <w:fldChar w:fldCharType="begin"/>
      </w:r>
      <w:r>
        <w:instrText xml:space="preserve"> PAGEREF _Toc51575300 \h </w:instrText>
      </w:r>
      <w:r>
        <w:fldChar w:fldCharType="separate"/>
      </w:r>
      <w:r>
        <w:t>3</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"_Toc51575301" </w:instrText>
      </w:r>
      <w:r>
        <w:fldChar w:fldCharType="separate"/>
      </w:r>
      <w:r>
        <w:rPr>
          <w:rStyle w:val="43"/>
        </w:rPr>
        <w:t>1.4</w:t>
      </w:r>
      <w:r>
        <w:rPr>
          <w:rStyle w:val="43"/>
          <w:rFonts w:hint="eastAsia"/>
        </w:rPr>
        <w:t>适用范围</w:t>
      </w:r>
      <w:r>
        <w:tab/>
      </w:r>
      <w:r>
        <w:fldChar w:fldCharType="begin"/>
      </w:r>
      <w:r>
        <w:instrText xml:space="preserve"> PAGEREF _Toc51575301 \h </w:instrText>
      </w:r>
      <w:r>
        <w:fldChar w:fldCharType="separate"/>
      </w:r>
      <w:r>
        <w:t>3</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"_Toc51575302" </w:instrText>
      </w:r>
      <w:r>
        <w:fldChar w:fldCharType="separate"/>
      </w:r>
      <w:r>
        <w:rPr>
          <w:rStyle w:val="43"/>
        </w:rPr>
        <w:t>1.5</w:t>
      </w:r>
      <w:r>
        <w:rPr>
          <w:rStyle w:val="43"/>
          <w:rFonts w:hint="eastAsia"/>
        </w:rPr>
        <w:t>预案体系</w:t>
      </w:r>
      <w:r>
        <w:tab/>
      </w:r>
      <w:r>
        <w:fldChar w:fldCharType="begin"/>
      </w:r>
      <w:r>
        <w:instrText xml:space="preserve"> PAGEREF _Toc51575302 \h </w:instrText>
      </w:r>
      <w:r>
        <w:fldChar w:fldCharType="separate"/>
      </w:r>
      <w:r>
        <w:t>3</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"_Toc51575303" </w:instrText>
      </w:r>
      <w:r>
        <w:fldChar w:fldCharType="separate"/>
      </w:r>
      <w:r>
        <w:rPr>
          <w:rStyle w:val="43"/>
        </w:rPr>
        <w:t>1.6</w:t>
      </w:r>
      <w:r>
        <w:rPr>
          <w:rStyle w:val="43"/>
          <w:rFonts w:hint="eastAsia"/>
        </w:rPr>
        <w:t>分类分级</w:t>
      </w:r>
      <w:r>
        <w:tab/>
      </w:r>
      <w:r>
        <w:fldChar w:fldCharType="begin"/>
      </w:r>
      <w:r>
        <w:instrText xml:space="preserve"> PAGEREF _Toc51575303 \h </w:instrText>
      </w:r>
      <w:r>
        <w:fldChar w:fldCharType="separate"/>
      </w:r>
      <w:r>
        <w:t>4</w:t>
      </w:r>
      <w:r>
        <w:fldChar w:fldCharType="end"/>
      </w:r>
      <w:r>
        <w:fldChar w:fldCharType="end"/>
      </w:r>
    </w:p>
    <w:p>
      <w:pPr>
        <w:pStyle w:val="24"/>
        <w:tabs>
          <w:tab w:val="right" w:leader="dot" w:pos="9174"/>
        </w:tabs>
        <w:ind w:firstLine="141"/>
        <w:rPr>
          <w:rFonts w:asciiTheme="minorHAnsi" w:hAnsiTheme="minorHAnsi" w:eastAsiaTheme="minorEastAsia" w:cstheme="minorBidi"/>
          <w:b w:val="0"/>
          <w:bCs w:val="0"/>
          <w:caps w:val="0"/>
          <w:sz w:val="21"/>
          <w:szCs w:val="22"/>
        </w:rPr>
      </w:pPr>
      <w:r>
        <w:fldChar w:fldCharType="begin"/>
      </w:r>
      <w:r>
        <w:instrText xml:space="preserve"> HYPERLINK \l "_Toc51575304" </w:instrText>
      </w:r>
      <w:r>
        <w:fldChar w:fldCharType="separate"/>
      </w:r>
      <w:r>
        <w:rPr>
          <w:rStyle w:val="43"/>
        </w:rPr>
        <w:t>2</w:t>
      </w:r>
      <w:r>
        <w:rPr>
          <w:rStyle w:val="43"/>
          <w:rFonts w:hint="eastAsia"/>
        </w:rPr>
        <w:t>应急指挥体系</w:t>
      </w:r>
      <w:r>
        <w:tab/>
      </w:r>
      <w:r>
        <w:fldChar w:fldCharType="begin"/>
      </w:r>
      <w:r>
        <w:instrText xml:space="preserve"> PAGEREF _Toc51575304 \h </w:instrText>
      </w:r>
      <w:r>
        <w:fldChar w:fldCharType="separate"/>
      </w:r>
      <w:r>
        <w:t>5</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"_Toc51575305" </w:instrText>
      </w:r>
      <w:r>
        <w:fldChar w:fldCharType="separate"/>
      </w:r>
      <w:r>
        <w:rPr>
          <w:rStyle w:val="43"/>
        </w:rPr>
        <w:t>2.1</w:t>
      </w:r>
      <w:r>
        <w:rPr>
          <w:rStyle w:val="43"/>
          <w:rFonts w:hint="eastAsia"/>
        </w:rPr>
        <w:t>领导机构</w:t>
      </w:r>
      <w:r>
        <w:tab/>
      </w:r>
      <w:r>
        <w:fldChar w:fldCharType="begin"/>
      </w:r>
      <w:r>
        <w:instrText xml:space="preserve"> PAGEREF _Toc51575305 \h </w:instrText>
      </w:r>
      <w:r>
        <w:fldChar w:fldCharType="separate"/>
      </w:r>
      <w:r>
        <w:t>5</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"_Toc51575306" </w:instrText>
      </w:r>
      <w:r>
        <w:fldChar w:fldCharType="separate"/>
      </w:r>
      <w:r>
        <w:rPr>
          <w:rStyle w:val="43"/>
        </w:rPr>
        <w:t>2.2</w:t>
      </w:r>
      <w:r>
        <w:rPr>
          <w:rStyle w:val="43"/>
          <w:rFonts w:hint="eastAsia"/>
        </w:rPr>
        <w:t>办事机构</w:t>
      </w:r>
      <w:r>
        <w:tab/>
      </w:r>
      <w:r>
        <w:fldChar w:fldCharType="begin"/>
      </w:r>
      <w:r>
        <w:instrText xml:space="preserve"> PAGEREF _Toc51575306 \h </w:instrText>
      </w:r>
      <w:r>
        <w:fldChar w:fldCharType="separate"/>
      </w:r>
      <w:r>
        <w:t>5</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"_Toc51575307" </w:instrText>
      </w:r>
      <w:r>
        <w:fldChar w:fldCharType="separate"/>
      </w:r>
      <w:r>
        <w:rPr>
          <w:rStyle w:val="43"/>
        </w:rPr>
        <w:t>2.3</w:t>
      </w:r>
      <w:r>
        <w:rPr>
          <w:rStyle w:val="43"/>
          <w:rFonts w:hint="eastAsia"/>
        </w:rPr>
        <w:t>专项应急指挥部</w:t>
      </w:r>
      <w:r>
        <w:tab/>
      </w:r>
      <w:r>
        <w:fldChar w:fldCharType="begin"/>
      </w:r>
      <w:r>
        <w:instrText xml:space="preserve"> PAGEREF _Toc51575307 \h </w:instrText>
      </w:r>
      <w:r>
        <w:fldChar w:fldCharType="separate"/>
      </w:r>
      <w:r>
        <w:t>6</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"_Toc51575308" </w:instrText>
      </w:r>
      <w:r>
        <w:fldChar w:fldCharType="separate"/>
      </w:r>
      <w:r>
        <w:rPr>
          <w:rStyle w:val="43"/>
        </w:rPr>
        <w:t>2.4</w:t>
      </w:r>
      <w:r>
        <w:rPr>
          <w:rStyle w:val="43"/>
          <w:rFonts w:hint="eastAsia"/>
        </w:rPr>
        <w:t>现场应急指挥部</w:t>
      </w:r>
      <w:r>
        <w:tab/>
      </w:r>
      <w:r>
        <w:fldChar w:fldCharType="begin"/>
      </w:r>
      <w:r>
        <w:instrText xml:space="preserve"> PAGEREF _Toc51575308 \h </w:instrText>
      </w:r>
      <w:r>
        <w:fldChar w:fldCharType="separate"/>
      </w:r>
      <w:r>
        <w:t>6</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"_Toc51575309" </w:instrText>
      </w:r>
      <w:r>
        <w:fldChar w:fldCharType="separate"/>
      </w:r>
      <w:r>
        <w:rPr>
          <w:rStyle w:val="43"/>
        </w:rPr>
        <w:t>2.5</w:t>
      </w:r>
      <w:r>
        <w:rPr>
          <w:rStyle w:val="43"/>
          <w:rFonts w:hint="eastAsia"/>
        </w:rPr>
        <w:t>基层应急指挥机构</w:t>
      </w:r>
      <w:r>
        <w:tab/>
      </w:r>
      <w:r>
        <w:fldChar w:fldCharType="begin"/>
      </w:r>
      <w:r>
        <w:instrText xml:space="preserve"> PAGEREF _Toc51575309 \h </w:instrText>
      </w:r>
      <w:r>
        <w:fldChar w:fldCharType="separate"/>
      </w:r>
      <w:r>
        <w:t>7</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"_Toc51575310" </w:instrText>
      </w:r>
      <w:r>
        <w:fldChar w:fldCharType="separate"/>
      </w:r>
      <w:r>
        <w:rPr>
          <w:rStyle w:val="43"/>
        </w:rPr>
        <w:t>2.6</w:t>
      </w:r>
      <w:r>
        <w:rPr>
          <w:rStyle w:val="43"/>
          <w:rFonts w:hint="eastAsia"/>
        </w:rPr>
        <w:t>应急专家组</w:t>
      </w:r>
      <w:r>
        <w:tab/>
      </w:r>
      <w:r>
        <w:fldChar w:fldCharType="begin"/>
      </w:r>
      <w:r>
        <w:instrText xml:space="preserve"> PAGEREF _Toc51575310 \h </w:instrText>
      </w:r>
      <w:r>
        <w:fldChar w:fldCharType="separate"/>
      </w:r>
      <w:r>
        <w:t>8</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"_Toc51575311" </w:instrText>
      </w:r>
      <w:r>
        <w:fldChar w:fldCharType="separate"/>
      </w:r>
      <w:r>
        <w:rPr>
          <w:rStyle w:val="43"/>
        </w:rPr>
        <w:t>2.7</w:t>
      </w:r>
      <w:r>
        <w:rPr>
          <w:rStyle w:val="43"/>
          <w:rFonts w:hint="eastAsia"/>
        </w:rPr>
        <w:t>应急联动</w:t>
      </w:r>
      <w:r>
        <w:tab/>
      </w:r>
      <w:r>
        <w:fldChar w:fldCharType="begin"/>
      </w:r>
      <w:r>
        <w:instrText xml:space="preserve"> PAGEREF _Toc51575311 \h </w:instrText>
      </w:r>
      <w:r>
        <w:fldChar w:fldCharType="separate"/>
      </w:r>
      <w:r>
        <w:t>8</w:t>
      </w:r>
      <w:r>
        <w:fldChar w:fldCharType="end"/>
      </w:r>
      <w:r>
        <w:fldChar w:fldCharType="end"/>
      </w:r>
    </w:p>
    <w:p>
      <w:pPr>
        <w:pStyle w:val="24"/>
        <w:tabs>
          <w:tab w:val="right" w:leader="dot" w:pos="9174"/>
        </w:tabs>
        <w:ind w:firstLine="141"/>
        <w:rPr>
          <w:rFonts w:asciiTheme="minorHAnsi" w:hAnsiTheme="minorHAnsi" w:eastAsiaTheme="minorEastAsia" w:cstheme="minorBidi"/>
          <w:b w:val="0"/>
          <w:bCs w:val="0"/>
          <w:caps w:val="0"/>
          <w:sz w:val="21"/>
          <w:szCs w:val="22"/>
        </w:rPr>
      </w:pPr>
      <w:r>
        <w:fldChar w:fldCharType="begin"/>
      </w:r>
      <w:r>
        <w:instrText xml:space="preserve"> HYPERLINK \l "_Toc51575312" </w:instrText>
      </w:r>
      <w:r>
        <w:fldChar w:fldCharType="separate"/>
      </w:r>
      <w:r>
        <w:rPr>
          <w:rStyle w:val="43"/>
        </w:rPr>
        <w:t>3</w:t>
      </w:r>
      <w:r>
        <w:rPr>
          <w:rStyle w:val="43"/>
          <w:rFonts w:hint="eastAsia"/>
        </w:rPr>
        <w:t>应急信息与预警的启动</w:t>
      </w:r>
      <w:r>
        <w:tab/>
      </w:r>
      <w:r>
        <w:fldChar w:fldCharType="begin"/>
      </w:r>
      <w:r>
        <w:instrText xml:space="preserve"> PAGEREF _Toc51575312 \h </w:instrText>
      </w:r>
      <w:r>
        <w:fldChar w:fldCharType="separate"/>
      </w:r>
      <w:r>
        <w:t>9</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"_Toc51575313" </w:instrText>
      </w:r>
      <w:r>
        <w:fldChar w:fldCharType="separate"/>
      </w:r>
      <w:r>
        <w:rPr>
          <w:rStyle w:val="43"/>
        </w:rPr>
        <w:t>3.1</w:t>
      </w:r>
      <w:r>
        <w:rPr>
          <w:rStyle w:val="43"/>
          <w:rFonts w:hint="eastAsia"/>
        </w:rPr>
        <w:t>监测信息</w:t>
      </w:r>
      <w:r>
        <w:tab/>
      </w:r>
      <w:r>
        <w:fldChar w:fldCharType="begin"/>
      </w:r>
      <w:r>
        <w:instrText xml:space="preserve"> PAGEREF _Toc51575313 \h </w:instrText>
      </w:r>
      <w:r>
        <w:fldChar w:fldCharType="separate"/>
      </w:r>
      <w:r>
        <w:t>9</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"_Toc51575314" </w:instrText>
      </w:r>
      <w:r>
        <w:fldChar w:fldCharType="separate"/>
      </w:r>
      <w:r>
        <w:rPr>
          <w:rStyle w:val="43"/>
        </w:rPr>
        <w:t>3.2</w:t>
      </w:r>
      <w:r>
        <w:rPr>
          <w:rStyle w:val="43"/>
          <w:rFonts w:hint="eastAsia"/>
        </w:rPr>
        <w:t>信息报告</w:t>
      </w:r>
      <w:r>
        <w:tab/>
      </w:r>
      <w:r>
        <w:fldChar w:fldCharType="begin"/>
      </w:r>
      <w:r>
        <w:instrText xml:space="preserve"> PAGEREF _Toc51575314 \h </w:instrText>
      </w:r>
      <w:r>
        <w:fldChar w:fldCharType="separate"/>
      </w:r>
      <w:r>
        <w:t>9</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"_Toc51575315" </w:instrText>
      </w:r>
      <w:r>
        <w:fldChar w:fldCharType="separate"/>
      </w:r>
      <w:r>
        <w:rPr>
          <w:rStyle w:val="43"/>
        </w:rPr>
        <w:t>3.3</w:t>
      </w:r>
      <w:r>
        <w:rPr>
          <w:rStyle w:val="43"/>
          <w:rFonts w:hint="eastAsia"/>
        </w:rPr>
        <w:t>预警</w:t>
      </w:r>
      <w:r>
        <w:tab/>
      </w:r>
      <w:r>
        <w:fldChar w:fldCharType="begin"/>
      </w:r>
      <w:r>
        <w:instrText xml:space="preserve"> PAGEREF _Toc51575315 \h </w:instrText>
      </w:r>
      <w:r>
        <w:fldChar w:fldCharType="separate"/>
      </w:r>
      <w:r>
        <w:t>10</w:t>
      </w:r>
      <w:r>
        <w:fldChar w:fldCharType="end"/>
      </w:r>
      <w:r>
        <w:fldChar w:fldCharType="end"/>
      </w:r>
    </w:p>
    <w:p>
      <w:pPr>
        <w:pStyle w:val="24"/>
        <w:tabs>
          <w:tab w:val="right" w:leader="dot" w:pos="9174"/>
        </w:tabs>
        <w:ind w:firstLine="141"/>
        <w:rPr>
          <w:rFonts w:asciiTheme="minorHAnsi" w:hAnsiTheme="minorHAnsi" w:eastAsiaTheme="minorEastAsia" w:cstheme="minorBidi"/>
          <w:b w:val="0"/>
          <w:bCs w:val="0"/>
          <w:caps w:val="0"/>
          <w:sz w:val="21"/>
          <w:szCs w:val="22"/>
        </w:rPr>
      </w:pPr>
      <w:r>
        <w:fldChar w:fldCharType="begin"/>
      </w:r>
      <w:r>
        <w:instrText xml:space="preserve"> HYPERLINK \l "_Toc51575316" </w:instrText>
      </w:r>
      <w:r>
        <w:fldChar w:fldCharType="separate"/>
      </w:r>
      <w:r>
        <w:rPr>
          <w:rStyle w:val="43"/>
        </w:rPr>
        <w:t>4</w:t>
      </w:r>
      <w:r>
        <w:rPr>
          <w:rStyle w:val="43"/>
          <w:rFonts w:hint="eastAsia"/>
        </w:rPr>
        <w:t>应急处置</w:t>
      </w:r>
      <w:r>
        <w:tab/>
      </w:r>
      <w:r>
        <w:fldChar w:fldCharType="begin"/>
      </w:r>
      <w:r>
        <w:instrText xml:space="preserve"> PAGEREF _Toc51575316 \h </w:instrText>
      </w:r>
      <w:r>
        <w:fldChar w:fldCharType="separate"/>
      </w:r>
      <w:r>
        <w:t>13</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"_Toc51575317" </w:instrText>
      </w:r>
      <w:r>
        <w:fldChar w:fldCharType="separate"/>
      </w:r>
      <w:r>
        <w:rPr>
          <w:rStyle w:val="43"/>
        </w:rPr>
        <w:t>4.1</w:t>
      </w:r>
      <w:r>
        <w:rPr>
          <w:rStyle w:val="43"/>
          <w:rFonts w:hint="eastAsia"/>
        </w:rPr>
        <w:t>先期处置</w:t>
      </w:r>
      <w:r>
        <w:tab/>
      </w:r>
      <w:r>
        <w:fldChar w:fldCharType="begin"/>
      </w:r>
      <w:r>
        <w:instrText xml:space="preserve"> PAGEREF _Toc51575317 \h </w:instrText>
      </w:r>
      <w:r>
        <w:fldChar w:fldCharType="separate"/>
      </w:r>
      <w:r>
        <w:t>13</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"_Toc51575318" </w:instrText>
      </w:r>
      <w:r>
        <w:fldChar w:fldCharType="separate"/>
      </w:r>
      <w:r>
        <w:rPr>
          <w:rStyle w:val="43"/>
        </w:rPr>
        <w:t>4.2</w:t>
      </w:r>
      <w:r>
        <w:rPr>
          <w:rStyle w:val="43"/>
          <w:rFonts w:hint="eastAsia"/>
        </w:rPr>
        <w:t>响应等级</w:t>
      </w:r>
      <w:r>
        <w:tab/>
      </w:r>
      <w:r>
        <w:fldChar w:fldCharType="begin"/>
      </w:r>
      <w:r>
        <w:instrText xml:space="preserve"> PAGEREF _Toc51575318 \h </w:instrText>
      </w:r>
      <w:r>
        <w:fldChar w:fldCharType="separate"/>
      </w:r>
      <w:r>
        <w:t>13</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"_Toc51575319" </w:instrText>
      </w:r>
      <w:r>
        <w:fldChar w:fldCharType="separate"/>
      </w:r>
      <w:r>
        <w:rPr>
          <w:rStyle w:val="43"/>
        </w:rPr>
        <w:t>4.3</w:t>
      </w:r>
      <w:r>
        <w:rPr>
          <w:rStyle w:val="43"/>
          <w:rFonts w:hint="eastAsia"/>
        </w:rPr>
        <w:t>应急响应的指挥机构</w:t>
      </w:r>
      <w:r>
        <w:tab/>
      </w:r>
      <w:r>
        <w:fldChar w:fldCharType="begin"/>
      </w:r>
      <w:r>
        <w:instrText xml:space="preserve"> PAGEREF _Toc51575319 \h </w:instrText>
      </w:r>
      <w:r>
        <w:fldChar w:fldCharType="separate"/>
      </w:r>
      <w:r>
        <w:t>14</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"_Toc51575320" </w:instrText>
      </w:r>
      <w:r>
        <w:fldChar w:fldCharType="separate"/>
      </w:r>
      <w:r>
        <w:rPr>
          <w:rStyle w:val="43"/>
        </w:rPr>
        <w:t>4.4</w:t>
      </w:r>
      <w:r>
        <w:rPr>
          <w:rStyle w:val="43"/>
          <w:rFonts w:hint="eastAsia"/>
        </w:rPr>
        <w:t>处置措施</w:t>
      </w:r>
      <w:r>
        <w:tab/>
      </w:r>
      <w:r>
        <w:fldChar w:fldCharType="begin"/>
      </w:r>
      <w:r>
        <w:instrText xml:space="preserve"> PAGEREF _Toc51575320 \h </w:instrText>
      </w:r>
      <w:r>
        <w:fldChar w:fldCharType="separate"/>
      </w:r>
      <w:r>
        <w:t>15</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"_Toc51575321" </w:instrText>
      </w:r>
      <w:r>
        <w:fldChar w:fldCharType="separate"/>
      </w:r>
      <w:r>
        <w:rPr>
          <w:rStyle w:val="43"/>
        </w:rPr>
        <w:t>4.5</w:t>
      </w:r>
      <w:r>
        <w:rPr>
          <w:rStyle w:val="43"/>
          <w:rFonts w:hint="eastAsia"/>
        </w:rPr>
        <w:t>响应的升级</w:t>
      </w:r>
      <w:r>
        <w:tab/>
      </w:r>
      <w:r>
        <w:fldChar w:fldCharType="begin"/>
      </w:r>
      <w:r>
        <w:instrText xml:space="preserve"> PAGEREF _Toc51575321 \h </w:instrText>
      </w:r>
      <w:r>
        <w:fldChar w:fldCharType="separate"/>
      </w:r>
      <w:r>
        <w:t>16</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"_Toc51575322" </w:instrText>
      </w:r>
      <w:r>
        <w:fldChar w:fldCharType="separate"/>
      </w:r>
      <w:r>
        <w:rPr>
          <w:rStyle w:val="43"/>
        </w:rPr>
        <w:t>4.6</w:t>
      </w:r>
      <w:r>
        <w:rPr>
          <w:rStyle w:val="43"/>
          <w:rFonts w:hint="eastAsia"/>
        </w:rPr>
        <w:t>新闻发布</w:t>
      </w:r>
      <w:r>
        <w:tab/>
      </w:r>
      <w:r>
        <w:fldChar w:fldCharType="begin"/>
      </w:r>
      <w:r>
        <w:instrText xml:space="preserve"> PAGEREF _Toc51575322 \h </w:instrText>
      </w:r>
      <w:r>
        <w:fldChar w:fldCharType="separate"/>
      </w:r>
      <w:r>
        <w:t>17</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"_Toc51575323" </w:instrText>
      </w:r>
      <w:r>
        <w:fldChar w:fldCharType="separate"/>
      </w:r>
      <w:r>
        <w:rPr>
          <w:rStyle w:val="43"/>
        </w:rPr>
        <w:t>4.7</w:t>
      </w:r>
      <w:r>
        <w:rPr>
          <w:rStyle w:val="43"/>
          <w:rFonts w:hint="eastAsia"/>
        </w:rPr>
        <w:t>应急结束</w:t>
      </w:r>
      <w:r>
        <w:tab/>
      </w:r>
      <w:r>
        <w:fldChar w:fldCharType="begin"/>
      </w:r>
      <w:r>
        <w:instrText xml:space="preserve"> PAGEREF _Toc51575323 \h </w:instrText>
      </w:r>
      <w:r>
        <w:fldChar w:fldCharType="separate"/>
      </w:r>
      <w:r>
        <w:t>17</w:t>
      </w:r>
      <w:r>
        <w:fldChar w:fldCharType="end"/>
      </w:r>
      <w:r>
        <w:fldChar w:fldCharType="end"/>
      </w:r>
    </w:p>
    <w:p>
      <w:pPr>
        <w:pStyle w:val="24"/>
        <w:tabs>
          <w:tab w:val="right" w:leader="dot" w:pos="9174"/>
        </w:tabs>
        <w:ind w:firstLine="141"/>
        <w:rPr>
          <w:rFonts w:asciiTheme="minorHAnsi" w:hAnsiTheme="minorHAnsi" w:eastAsiaTheme="minorEastAsia" w:cstheme="minorBidi"/>
          <w:b w:val="0"/>
          <w:bCs w:val="0"/>
          <w:caps w:val="0"/>
          <w:sz w:val="21"/>
          <w:szCs w:val="22"/>
        </w:rPr>
      </w:pPr>
      <w:r>
        <w:fldChar w:fldCharType="begin"/>
      </w:r>
      <w:r>
        <w:instrText xml:space="preserve"> HYPERLINK \l "_Toc51575324" </w:instrText>
      </w:r>
      <w:r>
        <w:fldChar w:fldCharType="separate"/>
      </w:r>
      <w:r>
        <w:rPr>
          <w:rStyle w:val="43"/>
        </w:rPr>
        <w:t>5</w:t>
      </w:r>
      <w:r>
        <w:rPr>
          <w:rStyle w:val="43"/>
          <w:rFonts w:hint="eastAsia"/>
        </w:rPr>
        <w:t>恢复与重建</w:t>
      </w:r>
      <w:r>
        <w:tab/>
      </w:r>
      <w:r>
        <w:fldChar w:fldCharType="begin"/>
      </w:r>
      <w:r>
        <w:instrText xml:space="preserve"> PAGEREF _Toc51575324 \h </w:instrText>
      </w:r>
      <w:r>
        <w:fldChar w:fldCharType="separate"/>
      </w:r>
      <w:r>
        <w:t>18</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"_Toc51575325" </w:instrText>
      </w:r>
      <w:r>
        <w:fldChar w:fldCharType="separate"/>
      </w:r>
      <w:r>
        <w:rPr>
          <w:rStyle w:val="43"/>
        </w:rPr>
        <w:t>5.1</w:t>
      </w:r>
      <w:r>
        <w:rPr>
          <w:rStyle w:val="43"/>
          <w:rFonts w:hint="eastAsia"/>
        </w:rPr>
        <w:t>善后措施</w:t>
      </w:r>
      <w:r>
        <w:tab/>
      </w:r>
      <w:r>
        <w:fldChar w:fldCharType="begin"/>
      </w:r>
      <w:r>
        <w:instrText xml:space="preserve"> PAGEREF _Toc51575325 \h </w:instrText>
      </w:r>
      <w:r>
        <w:fldChar w:fldCharType="separate"/>
      </w:r>
      <w:r>
        <w:t>18</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"_Toc51575326" </w:instrText>
      </w:r>
      <w:r>
        <w:fldChar w:fldCharType="separate"/>
      </w:r>
      <w:r>
        <w:rPr>
          <w:rStyle w:val="43"/>
        </w:rPr>
        <w:t>5.2</w:t>
      </w:r>
      <w:r>
        <w:rPr>
          <w:rStyle w:val="43"/>
          <w:rFonts w:hint="eastAsia"/>
        </w:rPr>
        <w:t>社会救助</w:t>
      </w:r>
      <w:r>
        <w:tab/>
      </w:r>
      <w:r>
        <w:fldChar w:fldCharType="begin"/>
      </w:r>
      <w:r>
        <w:instrText xml:space="preserve"> PAGEREF _Toc51575326 \h </w:instrText>
      </w:r>
      <w:r>
        <w:fldChar w:fldCharType="separate"/>
      </w:r>
      <w:r>
        <w:t>18</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"_Toc51575327" </w:instrText>
      </w:r>
      <w:r>
        <w:fldChar w:fldCharType="separate"/>
      </w:r>
      <w:r>
        <w:rPr>
          <w:rStyle w:val="43"/>
        </w:rPr>
        <w:t>5.3</w:t>
      </w:r>
      <w:r>
        <w:rPr>
          <w:rStyle w:val="43"/>
          <w:rFonts w:hint="eastAsia"/>
        </w:rPr>
        <w:t>调查与评估</w:t>
      </w:r>
      <w:r>
        <w:tab/>
      </w:r>
      <w:r>
        <w:fldChar w:fldCharType="begin"/>
      </w:r>
      <w:r>
        <w:instrText xml:space="preserve"> PAGEREF _Toc51575327 \h </w:instrText>
      </w:r>
      <w:r>
        <w:fldChar w:fldCharType="separate"/>
      </w:r>
      <w:r>
        <w:t>18</w:t>
      </w:r>
      <w:r>
        <w:fldChar w:fldCharType="end"/>
      </w:r>
      <w:r>
        <w:fldChar w:fldCharType="end"/>
      </w:r>
    </w:p>
    <w:p>
      <w:pPr>
        <w:pStyle w:val="24"/>
        <w:tabs>
          <w:tab w:val="right" w:leader="dot" w:pos="9174"/>
        </w:tabs>
        <w:ind w:firstLine="141"/>
        <w:rPr>
          <w:rFonts w:asciiTheme="minorHAnsi" w:hAnsiTheme="minorHAnsi" w:eastAsiaTheme="minorEastAsia" w:cstheme="minorBidi"/>
          <w:b w:val="0"/>
          <w:bCs w:val="0"/>
          <w:caps w:val="0"/>
          <w:sz w:val="21"/>
          <w:szCs w:val="22"/>
        </w:rPr>
      </w:pPr>
      <w:r>
        <w:fldChar w:fldCharType="begin"/>
      </w:r>
      <w:r>
        <w:instrText xml:space="preserve"> HYPERLINK \l "_Toc51575328" </w:instrText>
      </w:r>
      <w:r>
        <w:fldChar w:fldCharType="separate"/>
      </w:r>
      <w:r>
        <w:rPr>
          <w:rStyle w:val="43"/>
        </w:rPr>
        <w:t>6</w:t>
      </w:r>
      <w:r>
        <w:rPr>
          <w:rStyle w:val="43"/>
          <w:rFonts w:hint="eastAsia"/>
        </w:rPr>
        <w:t>应急保障</w:t>
      </w:r>
      <w:r>
        <w:tab/>
      </w:r>
      <w:r>
        <w:fldChar w:fldCharType="begin"/>
      </w:r>
      <w:r>
        <w:instrText xml:space="preserve"> PAGEREF _Toc51575328 \h </w:instrText>
      </w:r>
      <w:r>
        <w:fldChar w:fldCharType="separate"/>
      </w:r>
      <w:r>
        <w:t>20</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"_Toc51575329" </w:instrText>
      </w:r>
      <w:r>
        <w:fldChar w:fldCharType="separate"/>
      </w:r>
      <w:r>
        <w:rPr>
          <w:rStyle w:val="43"/>
        </w:rPr>
        <w:t>6.1</w:t>
      </w:r>
      <w:r>
        <w:rPr>
          <w:rStyle w:val="43"/>
          <w:rFonts w:hint="eastAsia"/>
        </w:rPr>
        <w:t>应急队伍保障</w:t>
      </w:r>
      <w:r>
        <w:tab/>
      </w:r>
      <w:r>
        <w:fldChar w:fldCharType="begin"/>
      </w:r>
      <w:r>
        <w:instrText xml:space="preserve"> PAGEREF _Toc51575329 \h </w:instrText>
      </w:r>
      <w:r>
        <w:fldChar w:fldCharType="separate"/>
      </w:r>
      <w:r>
        <w:t>20</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"_Toc51575330" </w:instrText>
      </w:r>
      <w:r>
        <w:fldChar w:fldCharType="separate"/>
      </w:r>
      <w:r>
        <w:rPr>
          <w:rStyle w:val="43"/>
        </w:rPr>
        <w:t>6.2</w:t>
      </w:r>
      <w:r>
        <w:rPr>
          <w:rStyle w:val="43"/>
          <w:rFonts w:hint="eastAsia"/>
        </w:rPr>
        <w:t>应急物资及运输保障</w:t>
      </w:r>
      <w:r>
        <w:tab/>
      </w:r>
      <w:r>
        <w:fldChar w:fldCharType="begin"/>
      </w:r>
      <w:r>
        <w:instrText xml:space="preserve"> PAGEREF _Toc51575330 \h </w:instrText>
      </w:r>
      <w:r>
        <w:fldChar w:fldCharType="separate"/>
      </w:r>
      <w:r>
        <w:t>20</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"_Toc51575331" </w:instrText>
      </w:r>
      <w:r>
        <w:fldChar w:fldCharType="separate"/>
      </w:r>
      <w:r>
        <w:rPr>
          <w:rStyle w:val="43"/>
        </w:rPr>
        <w:t>6.3</w:t>
      </w:r>
      <w:r>
        <w:rPr>
          <w:rStyle w:val="43"/>
          <w:rFonts w:hint="eastAsia"/>
        </w:rPr>
        <w:t>资金保障</w:t>
      </w:r>
      <w:r>
        <w:tab/>
      </w:r>
      <w:r>
        <w:fldChar w:fldCharType="begin"/>
      </w:r>
      <w:r>
        <w:instrText xml:space="preserve"> PAGEREF _Toc51575331 \h </w:instrText>
      </w:r>
      <w:r>
        <w:fldChar w:fldCharType="separate"/>
      </w:r>
      <w:r>
        <w:t>21</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"_Toc51575332" </w:instrText>
      </w:r>
      <w:r>
        <w:fldChar w:fldCharType="separate"/>
      </w:r>
      <w:r>
        <w:rPr>
          <w:rStyle w:val="43"/>
        </w:rPr>
        <w:t>6.4</w:t>
      </w:r>
      <w:r>
        <w:rPr>
          <w:rStyle w:val="43"/>
          <w:rFonts w:hint="eastAsia"/>
        </w:rPr>
        <w:t>医疗卫生保障</w:t>
      </w:r>
      <w:r>
        <w:tab/>
      </w:r>
      <w:r>
        <w:fldChar w:fldCharType="begin"/>
      </w:r>
      <w:r>
        <w:instrText xml:space="preserve"> PAGEREF _Toc51575332 \h </w:instrText>
      </w:r>
      <w:r>
        <w:fldChar w:fldCharType="separate"/>
      </w:r>
      <w:r>
        <w:t>21</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"_Toc51575333" </w:instrText>
      </w:r>
      <w:r>
        <w:fldChar w:fldCharType="separate"/>
      </w:r>
      <w:r>
        <w:rPr>
          <w:rStyle w:val="43"/>
        </w:rPr>
        <w:t>6.5</w:t>
      </w:r>
      <w:r>
        <w:rPr>
          <w:rStyle w:val="43"/>
          <w:rFonts w:hint="eastAsia"/>
        </w:rPr>
        <w:t>治安保障</w:t>
      </w:r>
      <w:r>
        <w:tab/>
      </w:r>
      <w:r>
        <w:fldChar w:fldCharType="begin"/>
      </w:r>
      <w:r>
        <w:instrText xml:space="preserve"> PAGEREF _Toc51575333 \h </w:instrText>
      </w:r>
      <w:r>
        <w:fldChar w:fldCharType="separate"/>
      </w:r>
      <w:r>
        <w:t>21</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"_Toc51575334" </w:instrText>
      </w:r>
      <w:r>
        <w:fldChar w:fldCharType="separate"/>
      </w:r>
      <w:r>
        <w:rPr>
          <w:rStyle w:val="43"/>
        </w:rPr>
        <w:t>6.6</w:t>
      </w:r>
      <w:r>
        <w:rPr>
          <w:rStyle w:val="43"/>
          <w:rFonts w:hint="eastAsia"/>
        </w:rPr>
        <w:t>通信保障</w:t>
      </w:r>
      <w:r>
        <w:tab/>
      </w:r>
      <w:r>
        <w:fldChar w:fldCharType="begin"/>
      </w:r>
      <w:r>
        <w:instrText xml:space="preserve"> PAGEREF _Toc51575334 \h </w:instrText>
      </w:r>
      <w:r>
        <w:fldChar w:fldCharType="separate"/>
      </w:r>
      <w:r>
        <w:t>22</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"_Toc51575335" </w:instrText>
      </w:r>
      <w:r>
        <w:fldChar w:fldCharType="separate"/>
      </w:r>
      <w:r>
        <w:rPr>
          <w:rStyle w:val="43"/>
        </w:rPr>
        <w:t>6.7</w:t>
      </w:r>
      <w:r>
        <w:rPr>
          <w:rStyle w:val="43"/>
          <w:rFonts w:hint="eastAsia"/>
        </w:rPr>
        <w:t>应急避难场所保障</w:t>
      </w:r>
      <w:r>
        <w:tab/>
      </w:r>
      <w:r>
        <w:fldChar w:fldCharType="begin"/>
      </w:r>
      <w:r>
        <w:instrText xml:space="preserve"> PAGEREF _Toc51575335 \h </w:instrText>
      </w:r>
      <w:r>
        <w:fldChar w:fldCharType="separate"/>
      </w:r>
      <w:r>
        <w:t>22</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"_Toc51575336" </w:instrText>
      </w:r>
      <w:r>
        <w:fldChar w:fldCharType="separate"/>
      </w:r>
      <w:r>
        <w:rPr>
          <w:rStyle w:val="43"/>
        </w:rPr>
        <w:t>6.8</w:t>
      </w:r>
      <w:r>
        <w:rPr>
          <w:rStyle w:val="43"/>
          <w:rFonts w:hint="eastAsia"/>
        </w:rPr>
        <w:t>人员防护保障</w:t>
      </w:r>
      <w:r>
        <w:tab/>
      </w:r>
      <w:r>
        <w:fldChar w:fldCharType="begin"/>
      </w:r>
      <w:r>
        <w:instrText xml:space="preserve"> PAGEREF _Toc51575336 \h </w:instrText>
      </w:r>
      <w:r>
        <w:fldChar w:fldCharType="separate"/>
      </w:r>
      <w:r>
        <w:t>22</w:t>
      </w:r>
      <w:r>
        <w:fldChar w:fldCharType="end"/>
      </w:r>
      <w:r>
        <w:fldChar w:fldCharType="end"/>
      </w:r>
    </w:p>
    <w:p>
      <w:pPr>
        <w:pStyle w:val="24"/>
        <w:tabs>
          <w:tab w:val="right" w:leader="dot" w:pos="9174"/>
        </w:tabs>
        <w:ind w:firstLine="141"/>
        <w:rPr>
          <w:rFonts w:asciiTheme="minorHAnsi" w:hAnsiTheme="minorHAnsi" w:eastAsiaTheme="minorEastAsia" w:cstheme="minorBidi"/>
          <w:b w:val="0"/>
          <w:bCs w:val="0"/>
          <w:caps w:val="0"/>
          <w:sz w:val="21"/>
          <w:szCs w:val="22"/>
        </w:rPr>
      </w:pPr>
      <w:r>
        <w:fldChar w:fldCharType="begin"/>
      </w:r>
      <w:r>
        <w:instrText xml:space="preserve"> HYPERLINK \l "_Toc51575337" </w:instrText>
      </w:r>
      <w:r>
        <w:fldChar w:fldCharType="separate"/>
      </w:r>
      <w:r>
        <w:rPr>
          <w:rStyle w:val="43"/>
        </w:rPr>
        <w:t>7</w:t>
      </w:r>
      <w:r>
        <w:rPr>
          <w:rStyle w:val="43"/>
          <w:rFonts w:hint="eastAsia"/>
        </w:rPr>
        <w:t>应急演练、宣传教育培训</w:t>
      </w:r>
      <w:r>
        <w:tab/>
      </w:r>
      <w:r>
        <w:fldChar w:fldCharType="begin"/>
      </w:r>
      <w:r>
        <w:instrText xml:space="preserve"> PAGEREF _Toc51575337 \h </w:instrText>
      </w:r>
      <w:r>
        <w:fldChar w:fldCharType="separate"/>
      </w:r>
      <w:r>
        <w:t>23</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"_Toc51575338" </w:instrText>
      </w:r>
      <w:r>
        <w:fldChar w:fldCharType="separate"/>
      </w:r>
      <w:r>
        <w:rPr>
          <w:rStyle w:val="43"/>
        </w:rPr>
        <w:t>7.1</w:t>
      </w:r>
      <w:r>
        <w:rPr>
          <w:rStyle w:val="43"/>
          <w:rFonts w:hint="eastAsia"/>
        </w:rPr>
        <w:t>预案的应急演练</w:t>
      </w:r>
      <w:r>
        <w:tab/>
      </w:r>
      <w:r>
        <w:fldChar w:fldCharType="begin"/>
      </w:r>
      <w:r>
        <w:instrText xml:space="preserve"> PAGEREF _Toc51575338 \h </w:instrText>
      </w:r>
      <w:r>
        <w:fldChar w:fldCharType="separate"/>
      </w:r>
      <w:r>
        <w:t>23</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"_Toc51575339" </w:instrText>
      </w:r>
      <w:r>
        <w:fldChar w:fldCharType="separate"/>
      </w:r>
      <w:r>
        <w:rPr>
          <w:rStyle w:val="43"/>
        </w:rPr>
        <w:t>7.2</w:t>
      </w:r>
      <w:r>
        <w:rPr>
          <w:rStyle w:val="43"/>
          <w:rFonts w:hint="eastAsia"/>
        </w:rPr>
        <w:t>预案的宣传教育</w:t>
      </w:r>
      <w:r>
        <w:tab/>
      </w:r>
      <w:r>
        <w:fldChar w:fldCharType="begin"/>
      </w:r>
      <w:r>
        <w:instrText xml:space="preserve"> PAGEREF _Toc51575339 \h </w:instrText>
      </w:r>
      <w:r>
        <w:fldChar w:fldCharType="separate"/>
      </w:r>
      <w:r>
        <w:t>23</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"_Toc51575340" </w:instrText>
      </w:r>
      <w:r>
        <w:fldChar w:fldCharType="separate"/>
      </w:r>
      <w:r>
        <w:rPr>
          <w:rStyle w:val="43"/>
        </w:rPr>
        <w:t>7.3</w:t>
      </w:r>
      <w:r>
        <w:rPr>
          <w:rStyle w:val="43"/>
          <w:rFonts w:hint="eastAsia"/>
        </w:rPr>
        <w:t>预案的培训</w:t>
      </w:r>
      <w:r>
        <w:tab/>
      </w:r>
      <w:r>
        <w:fldChar w:fldCharType="begin"/>
      </w:r>
      <w:r>
        <w:instrText xml:space="preserve"> PAGEREF _Toc51575340 \h </w:instrText>
      </w:r>
      <w:r>
        <w:fldChar w:fldCharType="separate"/>
      </w:r>
      <w:r>
        <w:t>23</w:t>
      </w:r>
      <w:r>
        <w:fldChar w:fldCharType="end"/>
      </w:r>
      <w:r>
        <w:fldChar w:fldCharType="end"/>
      </w:r>
    </w:p>
    <w:p>
      <w:pPr>
        <w:pStyle w:val="24"/>
        <w:tabs>
          <w:tab w:val="right" w:leader="dot" w:pos="9174"/>
        </w:tabs>
        <w:ind w:firstLine="141"/>
        <w:rPr>
          <w:rFonts w:asciiTheme="minorHAnsi" w:hAnsiTheme="minorHAnsi" w:eastAsiaTheme="minorEastAsia" w:cstheme="minorBidi"/>
          <w:b w:val="0"/>
          <w:bCs w:val="0"/>
          <w:caps w:val="0"/>
          <w:sz w:val="21"/>
          <w:szCs w:val="22"/>
        </w:rPr>
      </w:pPr>
      <w:r>
        <w:fldChar w:fldCharType="begin"/>
      </w:r>
      <w:r>
        <w:instrText xml:space="preserve"> HYPERLINK \l "_Toc51575341" </w:instrText>
      </w:r>
      <w:r>
        <w:fldChar w:fldCharType="separate"/>
      </w:r>
      <w:r>
        <w:rPr>
          <w:rStyle w:val="43"/>
        </w:rPr>
        <w:t>8</w:t>
      </w:r>
      <w:r>
        <w:rPr>
          <w:rStyle w:val="43"/>
          <w:rFonts w:hint="eastAsia"/>
        </w:rPr>
        <w:t>附则</w:t>
      </w:r>
      <w:r>
        <w:tab/>
      </w:r>
      <w:r>
        <w:fldChar w:fldCharType="begin"/>
      </w:r>
      <w:r>
        <w:instrText xml:space="preserve"> PAGEREF _Toc51575341 \h </w:instrText>
      </w:r>
      <w:r>
        <w:fldChar w:fldCharType="separate"/>
      </w:r>
      <w:r>
        <w:t>24</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"_Toc51575342" </w:instrText>
      </w:r>
      <w:r>
        <w:fldChar w:fldCharType="separate"/>
      </w:r>
      <w:r>
        <w:rPr>
          <w:rStyle w:val="43"/>
        </w:rPr>
        <w:t>8.1</w:t>
      </w:r>
      <w:r>
        <w:rPr>
          <w:rStyle w:val="43"/>
          <w:rFonts w:hint="eastAsia"/>
        </w:rPr>
        <w:t>责任与奖惩</w:t>
      </w:r>
      <w:r>
        <w:tab/>
      </w:r>
      <w:r>
        <w:fldChar w:fldCharType="begin"/>
      </w:r>
      <w:r>
        <w:instrText xml:space="preserve"> PAGEREF _Toc51575342 \h </w:instrText>
      </w:r>
      <w:r>
        <w:fldChar w:fldCharType="separate"/>
      </w:r>
      <w:r>
        <w:t>24</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"_Toc51575343" </w:instrText>
      </w:r>
      <w:r>
        <w:fldChar w:fldCharType="separate"/>
      </w:r>
      <w:r>
        <w:rPr>
          <w:rStyle w:val="43"/>
        </w:rPr>
        <w:t>8.2</w:t>
      </w:r>
      <w:r>
        <w:rPr>
          <w:rStyle w:val="43"/>
          <w:rFonts w:hint="eastAsia"/>
        </w:rPr>
        <w:t>预案管理</w:t>
      </w:r>
      <w:r>
        <w:tab/>
      </w:r>
      <w:r>
        <w:fldChar w:fldCharType="begin"/>
      </w:r>
      <w:r>
        <w:instrText xml:space="preserve"> PAGEREF _Toc51575343 \h </w:instrText>
      </w:r>
      <w:r>
        <w:fldChar w:fldCharType="separate"/>
      </w:r>
      <w:r>
        <w:t>24</w:t>
      </w:r>
      <w:r>
        <w:fldChar w:fldCharType="end"/>
      </w:r>
      <w:r>
        <w:fldChar w:fldCharType="end"/>
      </w:r>
    </w:p>
    <w:p>
      <w:pPr>
        <w:pStyle w:val="24"/>
        <w:tabs>
          <w:tab w:val="right" w:leader="dot" w:pos="9174"/>
        </w:tabs>
        <w:ind w:firstLine="141"/>
        <w:rPr>
          <w:rFonts w:asciiTheme="minorHAnsi" w:hAnsiTheme="minorHAnsi" w:eastAsiaTheme="minorEastAsia" w:cstheme="minorBidi"/>
          <w:b w:val="0"/>
          <w:bCs w:val="0"/>
          <w:caps w:val="0"/>
          <w:sz w:val="21"/>
          <w:szCs w:val="22"/>
        </w:rPr>
      </w:pPr>
      <w:r>
        <w:fldChar w:fldCharType="begin"/>
      </w:r>
      <w:r>
        <w:instrText xml:space="preserve"> HYPERLINK \l "_Toc51575344" </w:instrText>
      </w:r>
      <w:r>
        <w:fldChar w:fldCharType="separate"/>
      </w:r>
      <w:r>
        <w:rPr>
          <w:rStyle w:val="43"/>
        </w:rPr>
        <w:t>9</w:t>
      </w:r>
      <w:r>
        <w:rPr>
          <w:rStyle w:val="43"/>
          <w:rFonts w:hint="eastAsia"/>
        </w:rPr>
        <w:t>附件</w:t>
      </w:r>
      <w:r>
        <w:tab/>
      </w:r>
      <w:r>
        <w:fldChar w:fldCharType="begin"/>
      </w:r>
      <w:r>
        <w:instrText xml:space="preserve"> PAGEREF _Toc51575344 \h </w:instrText>
      </w:r>
      <w:r>
        <w:fldChar w:fldCharType="separate"/>
      </w:r>
      <w:r>
        <w:t>25</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"_Toc51575345" </w:instrText>
      </w:r>
      <w:r>
        <w:fldChar w:fldCharType="separate"/>
      </w:r>
      <w:r>
        <w:rPr>
          <w:rStyle w:val="43"/>
          <w:rFonts w:hint="eastAsia"/>
        </w:rPr>
        <w:t>附件</w:t>
      </w:r>
      <w:r>
        <w:rPr>
          <w:rStyle w:val="43"/>
        </w:rPr>
        <w:t xml:space="preserve">1 </w:t>
      </w:r>
      <w:r>
        <w:rPr>
          <w:rStyle w:val="43"/>
          <w:rFonts w:hint="eastAsia"/>
        </w:rPr>
        <w:t>区域概况与突发事件风险分析</w:t>
      </w:r>
      <w:r>
        <w:tab/>
      </w:r>
      <w:r>
        <w:fldChar w:fldCharType="begin"/>
      </w:r>
      <w:r>
        <w:instrText xml:space="preserve"> PAGEREF _Toc51575345 \h </w:instrText>
      </w:r>
      <w:r>
        <w:fldChar w:fldCharType="separate"/>
      </w:r>
      <w:r>
        <w:t>26</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"_Toc51575346" </w:instrText>
      </w:r>
      <w:r>
        <w:fldChar w:fldCharType="separate"/>
      </w:r>
      <w:r>
        <w:rPr>
          <w:rStyle w:val="43"/>
          <w:rFonts w:hint="eastAsia"/>
        </w:rPr>
        <w:t>附件</w:t>
      </w:r>
      <w:r>
        <w:rPr>
          <w:rStyle w:val="43"/>
        </w:rPr>
        <w:t xml:space="preserve">2 </w:t>
      </w:r>
      <w:r>
        <w:rPr>
          <w:rStyle w:val="43"/>
          <w:rFonts w:hint="eastAsia"/>
        </w:rPr>
        <w:t>突发事件分级标准</w:t>
      </w:r>
      <w:r>
        <w:tab/>
      </w:r>
      <w:r>
        <w:fldChar w:fldCharType="begin"/>
      </w:r>
      <w:r>
        <w:instrText xml:space="preserve"> PAGEREF _Toc51575346 \h </w:instrText>
      </w:r>
      <w:r>
        <w:fldChar w:fldCharType="separate"/>
      </w:r>
      <w:r>
        <w:t>34</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"_Toc51575347" </w:instrText>
      </w:r>
      <w:r>
        <w:fldChar w:fldCharType="separate"/>
      </w:r>
      <w:r>
        <w:rPr>
          <w:rStyle w:val="43"/>
          <w:rFonts w:hint="eastAsia"/>
        </w:rPr>
        <w:t>附件</w:t>
      </w:r>
      <w:r>
        <w:rPr>
          <w:rStyle w:val="43"/>
        </w:rPr>
        <w:t xml:space="preserve">3 </w:t>
      </w:r>
      <w:r>
        <w:rPr>
          <w:rStyle w:val="43"/>
          <w:rFonts w:hint="eastAsia"/>
        </w:rPr>
        <w:t>新北街突发事件专项应急预案目录</w:t>
      </w:r>
      <w:r>
        <w:tab/>
      </w:r>
      <w:r>
        <w:fldChar w:fldCharType="begin"/>
      </w:r>
      <w:r>
        <w:instrText xml:space="preserve"> PAGEREF _Toc51575347 \h </w:instrText>
      </w:r>
      <w:r>
        <w:fldChar w:fldCharType="separate"/>
      </w:r>
      <w:r>
        <w:t>58</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"_Toc51575348" </w:instrText>
      </w:r>
      <w:r>
        <w:fldChar w:fldCharType="separate"/>
      </w:r>
      <w:r>
        <w:rPr>
          <w:rStyle w:val="43"/>
          <w:rFonts w:hint="eastAsia"/>
        </w:rPr>
        <w:t>附件</w:t>
      </w:r>
      <w:r>
        <w:rPr>
          <w:rStyle w:val="43"/>
        </w:rPr>
        <w:t xml:space="preserve">4 </w:t>
      </w:r>
      <w:r>
        <w:rPr>
          <w:rStyle w:val="43"/>
          <w:rFonts w:hint="eastAsia"/>
        </w:rPr>
        <w:t>突发事件应急处置流程图</w:t>
      </w:r>
      <w:r>
        <w:tab/>
      </w:r>
      <w:r>
        <w:fldChar w:fldCharType="begin"/>
      </w:r>
      <w:r>
        <w:instrText xml:space="preserve"> PAGEREF _Toc51575348 \h </w:instrText>
      </w:r>
      <w:r>
        <w:fldChar w:fldCharType="separate"/>
      </w:r>
      <w:r>
        <w:t>59</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"_Toc51575349" </w:instrText>
      </w:r>
      <w:r>
        <w:fldChar w:fldCharType="separate"/>
      </w:r>
      <w:r>
        <w:rPr>
          <w:rStyle w:val="43"/>
          <w:rFonts w:hint="eastAsia"/>
        </w:rPr>
        <w:t>附件</w:t>
      </w:r>
      <w:r>
        <w:rPr>
          <w:rStyle w:val="43"/>
        </w:rPr>
        <w:t xml:space="preserve">5 </w:t>
      </w:r>
      <w:r>
        <w:rPr>
          <w:rStyle w:val="43"/>
          <w:rFonts w:hint="eastAsia"/>
        </w:rPr>
        <w:t>资源调集与援助联络表</w:t>
      </w:r>
      <w:r>
        <w:tab/>
      </w:r>
      <w:r>
        <w:fldChar w:fldCharType="begin"/>
      </w:r>
      <w:r>
        <w:instrText xml:space="preserve"> PAGEREF _Toc51575349 \h </w:instrText>
      </w:r>
      <w:r>
        <w:fldChar w:fldCharType="separate"/>
      </w:r>
      <w:r>
        <w:t>60</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"_Toc51575350" </w:instrText>
      </w:r>
      <w:r>
        <w:fldChar w:fldCharType="separate"/>
      </w:r>
      <w:r>
        <w:rPr>
          <w:rStyle w:val="43"/>
          <w:rFonts w:hint="eastAsia"/>
        </w:rPr>
        <w:t>附件</w:t>
      </w:r>
      <w:r>
        <w:rPr>
          <w:rStyle w:val="43"/>
        </w:rPr>
        <w:t>6</w:t>
      </w:r>
      <w:r>
        <w:rPr>
          <w:rStyle w:val="43"/>
          <w:rFonts w:hint="eastAsia"/>
        </w:rPr>
        <w:t>医疗资源</w:t>
      </w:r>
      <w:r>
        <w:tab/>
      </w:r>
      <w:r>
        <w:fldChar w:fldCharType="begin"/>
      </w:r>
      <w:r>
        <w:instrText xml:space="preserve"> PAGEREF _Toc51575350 \h </w:instrText>
      </w:r>
      <w:r>
        <w:fldChar w:fldCharType="separate"/>
      </w:r>
      <w:r>
        <w:t>61</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"_Toc51575351" </w:instrText>
      </w:r>
      <w:r>
        <w:fldChar w:fldCharType="separate"/>
      </w:r>
      <w:r>
        <w:rPr>
          <w:rStyle w:val="43"/>
          <w:rFonts w:hint="eastAsia"/>
        </w:rPr>
        <w:t>附件</w:t>
      </w:r>
      <w:r>
        <w:rPr>
          <w:rStyle w:val="43"/>
        </w:rPr>
        <w:t xml:space="preserve">7 </w:t>
      </w:r>
      <w:r>
        <w:rPr>
          <w:rStyle w:val="43"/>
          <w:rFonts w:hint="eastAsia"/>
        </w:rPr>
        <w:t>应急避难场所</w:t>
      </w:r>
      <w:r>
        <w:tab/>
      </w:r>
      <w:r>
        <w:fldChar w:fldCharType="begin"/>
      </w:r>
      <w:r>
        <w:instrText xml:space="preserve"> PAGEREF _Toc51575351 \h </w:instrText>
      </w:r>
      <w:r>
        <w:fldChar w:fldCharType="separate"/>
      </w:r>
      <w:r>
        <w:t>62</w:t>
      </w:r>
      <w:r>
        <w:fldChar w:fldCharType="end"/>
      </w:r>
      <w:r>
        <w:fldChar w:fldCharType="end"/>
      </w:r>
    </w:p>
    <w:p>
      <w:pPr>
        <w:pStyle w:val="29"/>
        <w:tabs>
          <w:tab w:val="right" w:leader="dot" w:pos="9174"/>
        </w:tabs>
        <w:ind w:firstLine="420"/>
        <w:rPr>
          <w:rFonts w:asciiTheme="minorHAnsi" w:hAnsiTheme="minorHAnsi" w:eastAsiaTheme="minorEastAsia" w:cstheme="minorBidi"/>
          <w:bCs w:val="0"/>
          <w:sz w:val="21"/>
          <w:szCs w:val="22"/>
        </w:rPr>
      </w:pPr>
      <w:r>
        <w:fldChar w:fldCharType="begin"/>
      </w:r>
      <w:r>
        <w:instrText xml:space="preserve"> HYPERLINK \l "_Toc51575352" </w:instrText>
      </w:r>
      <w:r>
        <w:fldChar w:fldCharType="separate"/>
      </w:r>
      <w:r>
        <w:rPr>
          <w:rStyle w:val="43"/>
          <w:rFonts w:hint="eastAsia"/>
        </w:rPr>
        <w:t>附件</w:t>
      </w:r>
      <w:r>
        <w:rPr>
          <w:rStyle w:val="43"/>
        </w:rPr>
        <w:t xml:space="preserve">8 </w:t>
      </w:r>
      <w:r>
        <w:rPr>
          <w:rStyle w:val="43"/>
          <w:rFonts w:hint="eastAsia"/>
        </w:rPr>
        <w:t>应急物资储备情况表</w:t>
      </w:r>
      <w:r>
        <w:tab/>
      </w:r>
      <w:r>
        <w:fldChar w:fldCharType="begin"/>
      </w:r>
      <w:r>
        <w:instrText xml:space="preserve"> PAGEREF _Toc51575352 \h </w:instrText>
      </w:r>
      <w:r>
        <w:fldChar w:fldCharType="separate"/>
      </w:r>
      <w:r>
        <w:t>63</w:t>
      </w:r>
      <w:r>
        <w:fldChar w:fldCharType="end"/>
      </w:r>
      <w:r>
        <w:fldChar w:fldCharType="end"/>
      </w:r>
    </w:p>
    <w:p>
      <w:pPr>
        <w:ind w:firstLine="723"/>
        <w:sectPr>
          <w:headerReference r:id="rId9" w:type="default"/>
          <w:type w:val="nextColumn"/>
          <w:pgSz w:w="11906" w:h="16840"/>
          <w:pgMar w:top="1418" w:right="1134" w:bottom="1247" w:left="1588" w:header="851" w:footer="851" w:gutter="0"/>
          <w:paperSrc w:first="7" w:other="7"/>
          <w:cols w:space="720" w:num="1"/>
          <w:docGrid w:linePitch="634" w:charSpace="0"/>
        </w:sectPr>
      </w:pPr>
      <w:r>
        <w:rPr>
          <w:b/>
          <w:bCs/>
          <w:sz w:val="36"/>
          <w:szCs w:val="21"/>
        </w:rPr>
        <w:fldChar w:fldCharType="end"/>
      </w:r>
    </w:p>
    <w:p>
      <w:pPr>
        <w:pStyle w:val="2"/>
        <w:ind w:firstLine="161"/>
      </w:pPr>
      <w:bookmarkStart w:id="0" w:name="_1__总则"/>
      <w:bookmarkEnd w:id="0"/>
      <w:bookmarkStart w:id="1" w:name="_1.2_编制依据"/>
      <w:bookmarkEnd w:id="1"/>
      <w:bookmarkStart w:id="2" w:name="_Toc51575297"/>
      <w:r>
        <w:t>1总则</w:t>
      </w:r>
      <w:bookmarkEnd w:id="2"/>
    </w:p>
    <w:p>
      <w:pPr>
        <w:pStyle w:val="3"/>
        <w:ind w:firstLine="301"/>
      </w:pPr>
      <w:bookmarkStart w:id="3" w:name="_Toc51575298"/>
      <w:r>
        <w:t>1.1编制目的</w:t>
      </w:r>
      <w:bookmarkEnd w:id="3"/>
    </w:p>
    <w:p>
      <w:pPr>
        <w:ind w:firstLine="560"/>
      </w:pPr>
      <w:r>
        <w:rPr>
          <w:rFonts w:hint="eastAsia"/>
        </w:rPr>
        <w:t>以习近平新时代中国特色社会主义思想为指导，深入贯彻落实习近平总书记安全工作理念肯重要指示要求，建立统一高效、科学规范、反应迅速、处置有力的应急体制和应对机制，提高街道办事处（以下简称“新北街”）应对突发事件的能力，控制、减轻和消除突发事件引发的严重社会危害，保障社会公众的生命财产肯健康安全，维护社会和谐稳定，促进新北街经济社会全面、协调、可持续发展。</w:t>
      </w:r>
    </w:p>
    <w:p>
      <w:pPr>
        <w:pStyle w:val="3"/>
        <w:ind w:firstLine="301"/>
      </w:pPr>
      <w:bookmarkStart w:id="4" w:name="_Toc51575299"/>
      <w:r>
        <w:t>1.2编制依据</w:t>
      </w:r>
      <w:bookmarkEnd w:id="4"/>
    </w:p>
    <w:p>
      <w:pPr>
        <w:pStyle w:val="4"/>
        <w:ind w:firstLine="394"/>
      </w:pPr>
      <w:r>
        <w:t>1.2.1法律、法规</w:t>
      </w:r>
    </w:p>
    <w:p>
      <w:pPr>
        <w:ind w:firstLine="560"/>
      </w:pPr>
      <w:r>
        <w:rPr>
          <w:rFonts w:hint="eastAsia"/>
        </w:rPr>
        <w:t>（</w:t>
      </w:r>
      <w:r>
        <w:t>1）《中华人民共和国突发事件应对法》（中华人民共和国主席令[2007]第六十九号）</w:t>
      </w:r>
      <w:r>
        <w:rPr>
          <w:rFonts w:hint="eastAsia"/>
        </w:rPr>
        <w:t>；</w:t>
      </w:r>
    </w:p>
    <w:p>
      <w:pPr>
        <w:ind w:firstLine="560"/>
      </w:pPr>
      <w:r>
        <w:rPr>
          <w:rFonts w:hint="eastAsia"/>
        </w:rPr>
        <w:t>（</w:t>
      </w:r>
      <w:r>
        <w:t>2）《中华人民共和国安全生产法》（中华人民共和国主席令[2014]第十三号）</w:t>
      </w:r>
      <w:r>
        <w:rPr>
          <w:rFonts w:hint="eastAsia"/>
        </w:rPr>
        <w:t>；</w:t>
      </w:r>
    </w:p>
    <w:p>
      <w:pPr>
        <w:ind w:firstLine="560"/>
      </w:pPr>
      <w:r>
        <w:rPr>
          <w:rFonts w:hint="eastAsia"/>
        </w:rPr>
        <w:t>（</w:t>
      </w:r>
      <w:r>
        <w:t>3）《中华人民共和国特种设备安全法》（中华人民共和国主席令[2013]第四号）</w:t>
      </w:r>
      <w:r>
        <w:rPr>
          <w:rFonts w:hint="eastAsia"/>
        </w:rPr>
        <w:t>；</w:t>
      </w:r>
    </w:p>
    <w:p>
      <w:pPr>
        <w:ind w:firstLine="560"/>
      </w:pPr>
      <w:r>
        <w:rPr>
          <w:rFonts w:hint="eastAsia"/>
        </w:rPr>
        <w:t>（</w:t>
      </w:r>
      <w:r>
        <w:t>4）《中华人民共和国消防法》（中华人民共和国主席令[2019]第二十九号）</w:t>
      </w:r>
      <w:r>
        <w:rPr>
          <w:rFonts w:hint="eastAsia"/>
        </w:rPr>
        <w:t>；</w:t>
      </w:r>
    </w:p>
    <w:p>
      <w:pPr>
        <w:ind w:firstLine="560"/>
      </w:pPr>
      <w:r>
        <w:rPr>
          <w:rFonts w:hint="eastAsia"/>
        </w:rPr>
        <w:t>（5）《中华人民共和国食品安全法》</w:t>
      </w:r>
      <w:r>
        <w:t>（中华人民共和国主席令[2018]第二十</w:t>
      </w:r>
      <w:r>
        <w:rPr>
          <w:rFonts w:hint="eastAsia"/>
        </w:rPr>
        <w:t>二</w:t>
      </w:r>
      <w:r>
        <w:t>号）</w:t>
      </w:r>
      <w:r>
        <w:rPr>
          <w:rFonts w:hint="eastAsia"/>
        </w:rPr>
        <w:t>；</w:t>
      </w:r>
    </w:p>
    <w:p>
      <w:pPr>
        <w:ind w:firstLine="560"/>
      </w:pPr>
      <w:bookmarkStart w:id="5" w:name="_Hlk36216964"/>
      <w:r>
        <w:rPr>
          <w:rFonts w:hint="eastAsia"/>
        </w:rPr>
        <w:t>（</w:t>
      </w:r>
      <w:r>
        <w:t>6</w:t>
      </w:r>
      <w:r>
        <w:rPr>
          <w:rFonts w:hint="eastAsia"/>
        </w:rPr>
        <w:t>）《中华人民共和国气象法》（</w:t>
      </w:r>
      <w:r>
        <w:t>中华人民共和国主席令[20</w:t>
      </w:r>
      <w:r>
        <w:rPr>
          <w:rFonts w:hint="eastAsia"/>
        </w:rPr>
        <w:t>16</w:t>
      </w:r>
      <w:r>
        <w:t>]第</w:t>
      </w:r>
      <w:r>
        <w:rPr>
          <w:rFonts w:hint="eastAsia"/>
        </w:rPr>
        <w:t>五十七</w:t>
      </w:r>
      <w:r>
        <w:t>号，2016年11月7日实施）</w:t>
      </w:r>
      <w:r>
        <w:rPr>
          <w:rFonts w:hint="eastAsia"/>
        </w:rPr>
        <w:t>；</w:t>
      </w:r>
    </w:p>
    <w:p>
      <w:pPr>
        <w:ind w:firstLine="560"/>
      </w:pPr>
      <w:r>
        <w:rPr>
          <w:rFonts w:hint="eastAsia"/>
        </w:rPr>
        <w:t>（</w:t>
      </w:r>
      <w:r>
        <w:t>7</w:t>
      </w:r>
      <w:r>
        <w:rPr>
          <w:rFonts w:hint="eastAsia"/>
        </w:rPr>
        <w:t>）</w:t>
      </w:r>
      <w:r>
        <w:t>《生产安全事故应急条例》</w:t>
      </w:r>
      <w:r>
        <w:rPr>
          <w:rFonts w:hint="eastAsia"/>
        </w:rPr>
        <w:t>（中华人民共和国国务院令第</w:t>
      </w:r>
      <w:r>
        <w:t>708号）</w:t>
      </w:r>
      <w:r>
        <w:rPr>
          <w:rFonts w:hint="eastAsia"/>
        </w:rPr>
        <w:t>；</w:t>
      </w:r>
    </w:p>
    <w:p>
      <w:pPr>
        <w:ind w:firstLine="560"/>
      </w:pPr>
      <w:r>
        <w:rPr>
          <w:rFonts w:hint="eastAsia"/>
        </w:rPr>
        <w:t>（</w:t>
      </w:r>
      <w:r>
        <w:t>8</w:t>
      </w:r>
      <w:r>
        <w:rPr>
          <w:rFonts w:hint="eastAsia"/>
        </w:rPr>
        <w:t>）《危险化学品安全管理条例》（中华人民共和国国务院令第</w:t>
      </w:r>
      <w:r>
        <w:t>645号）</w:t>
      </w:r>
      <w:r>
        <w:rPr>
          <w:rFonts w:hint="eastAsia"/>
        </w:rPr>
        <w:t>；</w:t>
      </w:r>
    </w:p>
    <w:p>
      <w:pPr>
        <w:ind w:firstLine="560"/>
      </w:pPr>
      <w:r>
        <w:rPr>
          <w:rFonts w:hint="eastAsia"/>
        </w:rPr>
        <w:t>（</w:t>
      </w:r>
      <w:r>
        <w:t>9</w:t>
      </w:r>
      <w:r>
        <w:rPr>
          <w:rFonts w:hint="eastAsia"/>
        </w:rPr>
        <w:t>）</w:t>
      </w:r>
      <w:r>
        <w:t>《特种设备安全监察条例》（</w:t>
      </w:r>
      <w:r>
        <w:rPr>
          <w:rFonts w:hint="eastAsia"/>
        </w:rPr>
        <w:t>中华人民共和国</w:t>
      </w:r>
      <w:r>
        <w:t>国务院令第549号）</w:t>
      </w:r>
      <w:r>
        <w:rPr>
          <w:rFonts w:hint="eastAsia"/>
        </w:rPr>
        <w:t>；</w:t>
      </w:r>
    </w:p>
    <w:p>
      <w:pPr>
        <w:ind w:firstLine="560"/>
      </w:pPr>
      <w:r>
        <w:rPr>
          <w:rFonts w:hint="eastAsia"/>
        </w:rPr>
        <w:t>（1</w:t>
      </w:r>
      <w:r>
        <w:t>0</w:t>
      </w:r>
      <w:r>
        <w:rPr>
          <w:rFonts w:hint="eastAsia"/>
        </w:rPr>
        <w:t>）</w:t>
      </w:r>
      <w:r>
        <w:t>《生产安全事故报告和调查处理条例》</w:t>
      </w:r>
      <w:r>
        <w:rPr>
          <w:rFonts w:hint="eastAsia"/>
        </w:rPr>
        <w:t>（中华人民共和国国务院令</w:t>
      </w:r>
      <w:r>
        <w:t>第493号</w:t>
      </w:r>
      <w:r>
        <w:rPr>
          <w:rFonts w:hint="eastAsia"/>
        </w:rPr>
        <w:t>）；</w:t>
      </w:r>
    </w:p>
    <w:bookmarkEnd w:id="5"/>
    <w:p>
      <w:pPr>
        <w:ind w:firstLine="560"/>
      </w:pPr>
      <w:r>
        <w:rPr>
          <w:rFonts w:hint="eastAsia"/>
        </w:rPr>
        <w:t>（</w:t>
      </w:r>
      <w:r>
        <w:t>11）《天津市生产安全条例》（天津市人民代表大会常务委员会公告第20号，2016年11月18日天津市第十六届人民代表大会常务委员会第三十一次会议修改）</w:t>
      </w:r>
      <w:r>
        <w:rPr>
          <w:rFonts w:hint="eastAsia"/>
        </w:rPr>
        <w:t>；</w:t>
      </w:r>
    </w:p>
    <w:p>
      <w:pPr>
        <w:ind w:firstLine="560"/>
      </w:pPr>
      <w:r>
        <w:rPr>
          <w:rFonts w:hint="eastAsia"/>
        </w:rPr>
        <w:t>（</w:t>
      </w:r>
      <w:r>
        <w:t>12</w:t>
      </w:r>
      <w:r>
        <w:rPr>
          <w:rFonts w:hint="eastAsia"/>
        </w:rPr>
        <w:t>）《天津市防震减灾条例》（天津市人民代表大会常务委员会公告第</w:t>
      </w:r>
      <w:r>
        <w:t>28号</w:t>
      </w:r>
      <w:r>
        <w:rPr>
          <w:rFonts w:hint="eastAsia"/>
        </w:rPr>
        <w:t>）；</w:t>
      </w:r>
    </w:p>
    <w:p>
      <w:pPr>
        <w:ind w:firstLine="560"/>
      </w:pPr>
      <w:r>
        <w:rPr>
          <w:rFonts w:hint="eastAsia"/>
        </w:rPr>
        <w:t>（1</w:t>
      </w:r>
      <w:r>
        <w:t>3</w:t>
      </w:r>
      <w:r>
        <w:rPr>
          <w:rFonts w:hint="eastAsia"/>
        </w:rPr>
        <w:t>）《天津市气象条例》（</w:t>
      </w:r>
      <w:r>
        <w:t>天津市第十四届人民代表大会常务委员会第七次会议通过）</w:t>
      </w:r>
      <w:r>
        <w:rPr>
          <w:rFonts w:hint="eastAsia"/>
        </w:rPr>
        <w:t>。</w:t>
      </w:r>
    </w:p>
    <w:p>
      <w:pPr>
        <w:pStyle w:val="4"/>
        <w:ind w:firstLine="394"/>
      </w:pPr>
      <w:bookmarkStart w:id="6" w:name="_Hlk31893337"/>
      <w:r>
        <w:t>1.2.2部门规章</w:t>
      </w:r>
      <w:r>
        <w:rPr>
          <w:rFonts w:hint="eastAsia"/>
        </w:rPr>
        <w:t>、地方规章</w:t>
      </w:r>
    </w:p>
    <w:bookmarkEnd w:id="6"/>
    <w:p>
      <w:pPr>
        <w:ind w:firstLine="560"/>
      </w:pPr>
      <w:r>
        <w:rPr>
          <w:rFonts w:hint="eastAsia"/>
        </w:rPr>
        <w:t>（</w:t>
      </w:r>
      <w:r>
        <w:t>1）《国家安全监管总局办公厅关于印发安全监管部门应急预案框架指南的通知》（安监厅应急〔2011〕222号）</w:t>
      </w:r>
      <w:r>
        <w:rPr>
          <w:rFonts w:hint="eastAsia"/>
        </w:rPr>
        <w:t>；</w:t>
      </w:r>
    </w:p>
    <w:p>
      <w:pPr>
        <w:ind w:firstLine="560"/>
      </w:pPr>
      <w:r>
        <w:rPr>
          <w:rFonts w:hint="eastAsia"/>
        </w:rPr>
        <w:t>（</w:t>
      </w:r>
      <w:r>
        <w:t>2）《国务院关于全面加强应急管理工作的意见》（国发〔2006〕24号）</w:t>
      </w:r>
      <w:r>
        <w:rPr>
          <w:rFonts w:hint="eastAsia"/>
        </w:rPr>
        <w:t>；</w:t>
      </w:r>
    </w:p>
    <w:p>
      <w:pPr>
        <w:ind w:firstLine="560"/>
      </w:pPr>
      <w:r>
        <w:rPr>
          <w:rFonts w:hint="eastAsia"/>
        </w:rPr>
        <w:t>（</w:t>
      </w:r>
      <w:r>
        <w:t>3）《突发事件应急预案管理办法》（国办发〔2013〕101号）</w:t>
      </w:r>
      <w:r>
        <w:rPr>
          <w:rFonts w:hint="eastAsia"/>
        </w:rPr>
        <w:t>；</w:t>
      </w:r>
    </w:p>
    <w:p>
      <w:pPr>
        <w:ind w:firstLine="560"/>
      </w:pPr>
      <w:r>
        <w:rPr>
          <w:rFonts w:hint="eastAsia"/>
        </w:rPr>
        <w:t>（</w:t>
      </w:r>
      <w:r>
        <w:t>4） 《国务院办公厅关于加强基层应急管理工作的意见》（国办发〔2007〕52号）</w:t>
      </w:r>
      <w:r>
        <w:rPr>
          <w:rFonts w:hint="eastAsia"/>
        </w:rPr>
        <w:t>；</w:t>
      </w:r>
    </w:p>
    <w:p>
      <w:pPr>
        <w:ind w:firstLine="560"/>
      </w:pPr>
      <w:r>
        <w:rPr>
          <w:rFonts w:hint="eastAsia"/>
        </w:rPr>
        <w:t>（</w:t>
      </w:r>
      <w:r>
        <w:t>5）《突发事件应急演练指南》(应急办公室函〔2009〕62号)</w:t>
      </w:r>
      <w:r>
        <w:rPr>
          <w:rFonts w:hint="eastAsia"/>
        </w:rPr>
        <w:t>；</w:t>
      </w:r>
    </w:p>
    <w:p>
      <w:pPr>
        <w:ind w:firstLine="560"/>
      </w:pPr>
      <w:r>
        <w:rPr>
          <w:rFonts w:hint="eastAsia"/>
        </w:rPr>
        <w:t>（</w:t>
      </w:r>
      <w:r>
        <w:t>6）《天津市实施《中华人民共和国突发事件应对法》办法》（天津市人大常委会第30号〔2015〕）</w:t>
      </w:r>
      <w:r>
        <w:rPr>
          <w:rFonts w:hint="eastAsia"/>
        </w:rPr>
        <w:t>；</w:t>
      </w:r>
    </w:p>
    <w:p>
      <w:pPr>
        <w:ind w:firstLine="560"/>
      </w:pPr>
      <w:r>
        <w:rPr>
          <w:rFonts w:hint="eastAsia"/>
        </w:rPr>
        <w:t>（</w:t>
      </w:r>
      <w:r>
        <w:t>7）《天津市突发事件应急预案管理办法》</w:t>
      </w:r>
      <w:bookmarkStart w:id="7" w:name="_Hlk36217031"/>
      <w:r>
        <w:t>（津政办发〔2014〕54号）</w:t>
      </w:r>
      <w:bookmarkEnd w:id="7"/>
      <w:r>
        <w:rPr>
          <w:rFonts w:hint="eastAsia"/>
        </w:rPr>
        <w:t>；</w:t>
      </w:r>
    </w:p>
    <w:p>
      <w:pPr>
        <w:ind w:firstLine="560"/>
      </w:pPr>
      <w:r>
        <w:rPr>
          <w:rFonts w:hint="eastAsia"/>
        </w:rPr>
        <w:t>（</w:t>
      </w:r>
      <w:r>
        <w:t>8）《天津市突发事件总体应急预案》（津政发〔2013〕3号）</w:t>
      </w:r>
      <w:r>
        <w:rPr>
          <w:rFonts w:hint="eastAsia"/>
        </w:rPr>
        <w:t>；</w:t>
      </w:r>
    </w:p>
    <w:p>
      <w:pPr>
        <w:ind w:firstLine="560"/>
      </w:pPr>
      <w:r>
        <w:rPr>
          <w:rFonts w:hint="eastAsia"/>
        </w:rPr>
        <w:t>（</w:t>
      </w:r>
      <w:r>
        <w:t>9）</w:t>
      </w:r>
      <w:bookmarkStart w:id="8" w:name="_Hlk33693954"/>
      <w:r>
        <w:t>《天津市滨海新区突发事件总体应急预案》</w:t>
      </w:r>
      <w:r>
        <w:rPr>
          <w:rFonts w:hint="eastAsia"/>
        </w:rPr>
        <w:t>（津滨政发〔</w:t>
      </w:r>
      <w:r>
        <w:t>2014〕23号）</w:t>
      </w:r>
      <w:bookmarkEnd w:id="8"/>
      <w:r>
        <w:rPr>
          <w:rFonts w:hint="eastAsia"/>
        </w:rPr>
        <w:t>。</w:t>
      </w:r>
    </w:p>
    <w:p>
      <w:pPr>
        <w:pStyle w:val="3"/>
        <w:ind w:firstLine="301"/>
      </w:pPr>
      <w:bookmarkStart w:id="9" w:name="_Toc51575300"/>
      <w:r>
        <w:t>1.3</w:t>
      </w:r>
      <w:r>
        <w:rPr>
          <w:rFonts w:hint="eastAsia"/>
        </w:rPr>
        <w:t>工作</w:t>
      </w:r>
      <w:r>
        <w:t>原则</w:t>
      </w:r>
      <w:bookmarkEnd w:id="9"/>
    </w:p>
    <w:p>
      <w:pPr>
        <w:ind w:firstLine="560"/>
      </w:pPr>
      <w:r>
        <w:rPr>
          <w:rFonts w:hint="eastAsia"/>
        </w:rPr>
        <w:t>依据“以人为本、分级负责、属地管理、高效处置、协调联动、依法应对”的原则编制新北街道突发事件总体应急预案，</w:t>
      </w:r>
    </w:p>
    <w:p>
      <w:pPr>
        <w:pStyle w:val="3"/>
        <w:ind w:firstLine="301"/>
      </w:pPr>
      <w:bookmarkStart w:id="10" w:name="_Toc51575301"/>
      <w:r>
        <w:t>1.4</w:t>
      </w:r>
      <w:r>
        <w:rPr>
          <w:rFonts w:hint="eastAsia"/>
        </w:rPr>
        <w:t>适用范围</w:t>
      </w:r>
      <w:bookmarkEnd w:id="10"/>
    </w:p>
    <w:p>
      <w:pPr>
        <w:ind w:firstLine="560"/>
      </w:pPr>
      <w:r>
        <w:rPr>
          <w:rFonts w:hint="eastAsia"/>
        </w:rPr>
        <w:t>本预案所称突发事件是指突然发生，造成或者可能造成严重社会危害，需要采取应急处置措施予以应对的自然灾害、事故灾难、公共卫生事件和社会安全事件。本预案适用于新北街道安全监管区域发生的、由新北街负责处置或参与处置的各类突发事件。</w:t>
      </w:r>
    </w:p>
    <w:p>
      <w:pPr>
        <w:pStyle w:val="3"/>
        <w:ind w:firstLine="301"/>
      </w:pPr>
      <w:bookmarkStart w:id="11" w:name="7"/>
      <w:bookmarkStart w:id="12" w:name="_Toc51575302"/>
      <w:r>
        <w:rPr>
          <w:rFonts w:hint="eastAsia"/>
        </w:rPr>
        <w:t>1.</w:t>
      </w:r>
      <w:bookmarkEnd w:id="11"/>
      <w:r>
        <w:t>5预案体系</w:t>
      </w:r>
      <w:bookmarkEnd w:id="12"/>
    </w:p>
    <w:p>
      <w:pPr>
        <w:ind w:firstLine="560"/>
      </w:pPr>
      <w:r>
        <w:rPr>
          <w:rFonts w:hint="eastAsia"/>
        </w:rPr>
        <w:t>新北街突发事件应急预案体系包括：</w:t>
      </w:r>
    </w:p>
    <w:p>
      <w:pPr>
        <w:ind w:firstLine="560"/>
      </w:pPr>
      <w:r>
        <w:rPr>
          <w:rFonts w:hint="eastAsia"/>
        </w:rPr>
        <w:t>（</w:t>
      </w:r>
      <w:r>
        <w:t>1）</w:t>
      </w:r>
      <w:r>
        <w:rPr>
          <w:rFonts w:hint="eastAsia"/>
        </w:rPr>
        <w:t>总体</w:t>
      </w:r>
      <w:r>
        <w:t>应急预案。</w:t>
      </w:r>
      <w:r>
        <w:rPr>
          <w:rFonts w:hint="eastAsia"/>
        </w:rPr>
        <w:t>总体</w:t>
      </w:r>
      <w:r>
        <w:t>应急预案是</w:t>
      </w:r>
      <w:r>
        <w:rPr>
          <w:rFonts w:hint="eastAsia"/>
        </w:rPr>
        <w:t>新北街</w:t>
      </w:r>
      <w:r>
        <w:t>应急预案的总纲，</w:t>
      </w:r>
      <w:r>
        <w:rPr>
          <w:rFonts w:hint="eastAsia"/>
        </w:rPr>
        <w:t>是新北街道办事处应对各类突发事件的规范性文件，由新北街道办事处组织制定并公布实施</w:t>
      </w:r>
      <w:r>
        <w:t>。</w:t>
      </w:r>
    </w:p>
    <w:p>
      <w:pPr>
        <w:ind w:firstLine="560"/>
      </w:pPr>
      <w:r>
        <w:rPr>
          <w:rFonts w:hint="eastAsia"/>
        </w:rPr>
        <w:t>（</w:t>
      </w:r>
      <w:r>
        <w:t>2）专项应急预案。专项应急预案</w:t>
      </w:r>
      <w:r>
        <w:rPr>
          <w:rFonts w:hint="eastAsia"/>
        </w:rPr>
        <w:t>是总体应急预案的组成部分，</w:t>
      </w:r>
      <w:r>
        <w:t>是</w:t>
      </w:r>
      <w:r>
        <w:rPr>
          <w:rFonts w:hint="eastAsia"/>
        </w:rPr>
        <w:t>新北街道办事处有关部门为应对某一类型或某几种类型突发事件而制定的涉及数个部门职责的应急预案，由新北街道办事处有各相关指挥部组织制定。</w:t>
      </w:r>
    </w:p>
    <w:p>
      <w:pPr>
        <w:ind w:firstLine="560"/>
      </w:pPr>
      <w:r>
        <w:rPr>
          <w:rFonts w:hint="eastAsia"/>
        </w:rPr>
        <w:t>（3</w:t>
      </w:r>
      <w:r>
        <w:t>）</w:t>
      </w:r>
      <w:r>
        <w:rPr>
          <w:rFonts w:hint="eastAsia"/>
        </w:rPr>
        <w:t>基层应急预案。基层应急预案是指社区居委会、学校以及各类企事业单位、公共活动场所管理单位为应对各类突发事件而制定的应急预案。社区居委会应根据社区情况，制定相应的应急预案。街道</w:t>
      </w:r>
      <w:r>
        <w:t>重点企事业单位根据国家、天津市、滨海新区和行业有</w:t>
      </w:r>
      <w:r>
        <w:rPr>
          <w:rFonts w:hint="eastAsia"/>
        </w:rPr>
        <w:t>关</w:t>
      </w:r>
      <w:r>
        <w:t>法律法规，为应对可能出现的突发事件制定的</w:t>
      </w:r>
      <w:r>
        <w:rPr>
          <w:rFonts w:hint="eastAsia"/>
        </w:rPr>
        <w:t>相应</w:t>
      </w:r>
      <w:r>
        <w:t>应急预案。</w:t>
      </w:r>
    </w:p>
    <w:p>
      <w:pPr>
        <w:ind w:firstLine="560"/>
      </w:pPr>
      <w:r>
        <w:rPr>
          <w:rFonts w:hint="eastAsia"/>
        </w:rPr>
        <w:t>（</w:t>
      </w:r>
      <w:r>
        <w:t>4）大型活动应急预案。由举办大型会展和文化体育等重大活动的主办单位，针对有可能出现的突发事件制定的应急预案。</w:t>
      </w:r>
    </w:p>
    <w:p>
      <w:pPr>
        <w:ind w:firstLine="560"/>
      </w:pPr>
      <w:r>
        <w:rPr>
          <w:rFonts w:hint="eastAsia"/>
        </w:rPr>
        <w:t>以上各类预案根据实际情况变化，由制定单位进行修订和完善。</w:t>
      </w:r>
    </w:p>
    <w:p>
      <w:pPr>
        <w:pStyle w:val="3"/>
        <w:ind w:firstLine="301"/>
      </w:pPr>
      <w:bookmarkStart w:id="13" w:name="_Toc51575303"/>
      <w:r>
        <w:t>1.6分类分级</w:t>
      </w:r>
      <w:bookmarkEnd w:id="13"/>
    </w:p>
    <w:p>
      <w:pPr>
        <w:ind w:firstLine="560"/>
      </w:pPr>
      <w:r>
        <w:rPr>
          <w:rFonts w:hint="eastAsia"/>
        </w:rPr>
        <w:t>本预案所称突发事件是指突然发生，造成或者可能造成严重社会危害，需要采取应急处置措施应对的自然灾害、事故灾难、公共卫生事件和社会安全事件。</w:t>
      </w:r>
    </w:p>
    <w:p>
      <w:pPr>
        <w:ind w:firstLine="560"/>
      </w:pPr>
      <w:r>
        <w:rPr>
          <w:rFonts w:hint="eastAsia"/>
        </w:rPr>
        <w:t>根据突发事件的发生过程、性质和机理，突发事件主要分为以下四类：</w:t>
      </w:r>
    </w:p>
    <w:p>
      <w:pPr>
        <w:ind w:firstLine="560"/>
      </w:pPr>
      <w:r>
        <w:rPr>
          <w:rFonts w:hint="eastAsia"/>
        </w:rPr>
        <w:t>（</w:t>
      </w:r>
      <w:r>
        <w:t>1）自然灾害</w:t>
      </w:r>
      <w:r>
        <w:rPr>
          <w:rFonts w:hint="eastAsia"/>
        </w:rPr>
        <w:t>。主要包括水旱灾害、气象灾害，地震灾害，地质灾害，生物灾害等。</w:t>
      </w:r>
    </w:p>
    <w:p>
      <w:pPr>
        <w:ind w:firstLine="560"/>
      </w:pPr>
      <w:r>
        <w:rPr>
          <w:rFonts w:hint="eastAsia"/>
        </w:rPr>
        <w:t>（</w:t>
      </w:r>
      <w:r>
        <w:t>2）</w:t>
      </w:r>
      <w:r>
        <w:rPr>
          <w:rFonts w:hint="eastAsia"/>
        </w:rPr>
        <w:t>事故灾害。主要包括工矿商贸等企业的各类安全事故，交通运输事故，公共设施和设备事故，核与辐射事故，环境污染和生态破坏事件、危险化学品安全生产事故灾难等。</w:t>
      </w:r>
    </w:p>
    <w:p>
      <w:pPr>
        <w:ind w:firstLine="560"/>
      </w:pPr>
      <w:r>
        <w:rPr>
          <w:rFonts w:hint="eastAsia"/>
        </w:rPr>
        <w:t>（</w:t>
      </w:r>
      <w:r>
        <w:t>3）</w:t>
      </w:r>
      <w:r>
        <w:rPr>
          <w:rFonts w:hint="eastAsia"/>
        </w:rPr>
        <w:t>公共卫生事件。主要包括传染病疫情，群体性不明原因疾病，食品安全和职业危害，动物疫情，以及其它严重影响公众健康和生命安全的事件等。</w:t>
      </w:r>
    </w:p>
    <w:p>
      <w:pPr>
        <w:ind w:firstLine="560"/>
      </w:pPr>
      <w:r>
        <w:rPr>
          <w:rFonts w:hint="eastAsia"/>
        </w:rPr>
        <w:t>（</w:t>
      </w:r>
      <w:r>
        <w:t>4）</w:t>
      </w:r>
      <w:r>
        <w:rPr>
          <w:rFonts w:hint="eastAsia"/>
        </w:rPr>
        <w:t>主要包括恐怖袭击事件，民族宗教事件，经济安全事件，涉外突发事件和群体性事件等。</w:t>
      </w:r>
    </w:p>
    <w:p>
      <w:pPr>
        <w:ind w:firstLine="560"/>
      </w:pPr>
      <w:r>
        <w:rPr>
          <w:rFonts w:hint="eastAsia"/>
        </w:rPr>
        <w:t>上述各类突发事件往往相互交叉，相互关联，某类突发事件可能和其他类别的事件同时发生，或引发次生、衍生灾害，应当具体分析，综合应对。</w:t>
      </w:r>
    </w:p>
    <w:p>
      <w:pPr>
        <w:ind w:firstLine="560"/>
      </w:pPr>
      <w:r>
        <w:rPr>
          <w:rFonts w:hint="eastAsia"/>
        </w:rPr>
        <w:t>按照突发事件的性质、严重程度、影响范围和可控性，将各类突发事件划分为四个等级：特别重大突发事件（</w:t>
      </w:r>
      <w:r>
        <w:t>I级）、重大突发事件（II级）、较大突发事件（Ⅲ级）、一般突发事件（IV级）。</w:t>
      </w:r>
    </w:p>
    <w:p>
      <w:pPr>
        <w:ind w:firstLine="560"/>
        <w:sectPr>
          <w:footerReference r:id="rId10" w:type="default"/>
          <w:type w:val="nextColumn"/>
          <w:pgSz w:w="11905" w:h="16840"/>
          <w:pgMar w:top="1418" w:right="1134" w:bottom="1247" w:left="1588" w:header="851" w:footer="850" w:gutter="0"/>
          <w:paperSrc w:first="7" w:other="7"/>
          <w:pgNumType w:start="1"/>
          <w:cols w:space="720" w:num="1"/>
          <w:docGrid w:linePitch="628" w:charSpace="0"/>
        </w:sectPr>
      </w:pPr>
      <w:r>
        <w:rPr>
          <w:rFonts w:hint="eastAsia"/>
        </w:rPr>
        <w:t>具体分级标准根据国务院、国务院确定的部门和天津市、滨海新区有关规定执行。</w:t>
      </w:r>
    </w:p>
    <w:p>
      <w:pPr>
        <w:pStyle w:val="2"/>
        <w:ind w:firstLine="161"/>
      </w:pPr>
      <w:bookmarkStart w:id="14" w:name="_Toc51575304"/>
      <w:r>
        <w:t>2</w:t>
      </w:r>
      <w:r>
        <w:rPr>
          <w:rFonts w:hint="eastAsia"/>
        </w:rPr>
        <w:t>应急指挥</w:t>
      </w:r>
      <w:r>
        <w:t>体系</w:t>
      </w:r>
      <w:bookmarkEnd w:id="14"/>
    </w:p>
    <w:p>
      <w:pPr>
        <w:pStyle w:val="3"/>
        <w:ind w:firstLine="301"/>
      </w:pPr>
      <w:bookmarkStart w:id="15" w:name="_Toc51575305"/>
      <w:r>
        <w:t>2.1</w:t>
      </w:r>
      <w:r>
        <w:rPr>
          <w:rFonts w:hint="eastAsia"/>
        </w:rPr>
        <w:t>领导机构</w:t>
      </w:r>
      <w:bookmarkEnd w:id="15"/>
    </w:p>
    <w:p>
      <w:pPr>
        <w:ind w:firstLine="560"/>
      </w:pPr>
      <w:r>
        <w:rPr>
          <w:rFonts w:hint="eastAsia"/>
        </w:rPr>
        <w:t>根据应对突发事件实际需要，设立新北街突发事件应急委员会（以下简称新北街应急委），统一领导街道突发事件应对工作。</w:t>
      </w:r>
    </w:p>
    <w:p>
      <w:pPr>
        <w:ind w:firstLine="560"/>
      </w:pPr>
      <w:r>
        <w:rPr>
          <w:rFonts w:hint="eastAsia"/>
        </w:rPr>
        <w:t>新北街应急委主任由街道办事处主任担任；副主任由街道分管处级领导、新北派出所所长、塘沽消防救援大队队长、海洋高新区消防救援站站长、新北路消防救援站站长、交警杭州道大队队长担任；成员为相关部门、各居委会主要负责人。</w:t>
      </w:r>
    </w:p>
    <w:p>
      <w:pPr>
        <w:ind w:firstLine="560"/>
      </w:pPr>
      <w:r>
        <w:rPr>
          <w:rFonts w:hint="eastAsia"/>
        </w:rPr>
        <w:t>新北街应急委在新北街道办事处的统一指挥、指导下，负责街道安全监管区域突发事件的应急处置工作。主要职责如下：</w:t>
      </w:r>
    </w:p>
    <w:p>
      <w:pPr>
        <w:ind w:firstLine="560"/>
      </w:pPr>
      <w:r>
        <w:rPr>
          <w:rFonts w:hint="eastAsia"/>
        </w:rPr>
        <w:t>（1）贯彻落实上级肯区委、区政府及街道工委、办事处关于应急管理工作的方针、政策及有关要求；</w:t>
      </w:r>
    </w:p>
    <w:p>
      <w:pPr>
        <w:ind w:firstLine="560"/>
      </w:pPr>
      <w:r>
        <w:rPr>
          <w:rFonts w:hint="eastAsia"/>
        </w:rPr>
        <w:t>（2）领导新北街各专项应急指挥部、有关部门开展突发事件预防及应急处置工作；</w:t>
      </w:r>
    </w:p>
    <w:p>
      <w:pPr>
        <w:ind w:firstLine="560"/>
      </w:pPr>
      <w:r>
        <w:rPr>
          <w:rFonts w:hint="eastAsia"/>
        </w:rPr>
        <w:t>（3）研究新北街应对突发事件决策和指导意见；</w:t>
      </w:r>
    </w:p>
    <w:p>
      <w:pPr>
        <w:ind w:firstLine="560"/>
      </w:pPr>
      <w:r>
        <w:rPr>
          <w:rFonts w:hint="eastAsia"/>
        </w:rPr>
        <w:t>（</w:t>
      </w:r>
      <w:r>
        <w:t>4</w:t>
      </w:r>
      <w:r>
        <w:rPr>
          <w:rFonts w:hint="eastAsia"/>
        </w:rPr>
        <w:t>）决定新北街突发事件应急预案的启动；</w:t>
      </w:r>
    </w:p>
    <w:p>
      <w:pPr>
        <w:ind w:firstLine="560"/>
      </w:pPr>
      <w:r>
        <w:rPr>
          <w:rFonts w:hint="eastAsia"/>
        </w:rPr>
        <w:t>（5）组织指挥新北街突发事件的应对工作；</w:t>
      </w:r>
    </w:p>
    <w:p>
      <w:pPr>
        <w:ind w:firstLine="560"/>
      </w:pPr>
      <w:r>
        <w:rPr>
          <w:rFonts w:hint="eastAsia"/>
        </w:rPr>
        <w:t>（</w:t>
      </w:r>
      <w:r>
        <w:t>6</w:t>
      </w:r>
      <w:r>
        <w:rPr>
          <w:rFonts w:hint="eastAsia"/>
        </w:rPr>
        <w:t>）审议《天津市滨海新区新北街道办事处突发事件总体应急预案》。</w:t>
      </w:r>
    </w:p>
    <w:p>
      <w:pPr>
        <w:pStyle w:val="3"/>
        <w:ind w:firstLine="301"/>
      </w:pPr>
      <w:bookmarkStart w:id="16" w:name="_Toc51575306"/>
      <w:r>
        <w:t>2.2</w:t>
      </w:r>
      <w:r>
        <w:rPr>
          <w:rFonts w:hint="eastAsia"/>
        </w:rPr>
        <w:t>办事机构</w:t>
      </w:r>
      <w:bookmarkEnd w:id="16"/>
    </w:p>
    <w:p>
      <w:pPr>
        <w:ind w:firstLine="560"/>
      </w:pPr>
      <w:r>
        <w:rPr>
          <w:rFonts w:hint="eastAsia"/>
        </w:rPr>
        <w:t>新北街应急委设立突发事件应急办公室（以下简称应急办公室），作为常设办事机构，应急办公室设在街安委会办公室，应急办公室主任由街道分管安全工作的领导兼任。</w:t>
      </w:r>
    </w:p>
    <w:p>
      <w:pPr>
        <w:ind w:firstLine="560"/>
      </w:pPr>
      <w:r>
        <w:rPr>
          <w:rFonts w:hint="eastAsia"/>
        </w:rPr>
        <w:t>应急办公室主要职责：</w:t>
      </w:r>
    </w:p>
    <w:p>
      <w:pPr>
        <w:ind w:firstLine="560"/>
      </w:pPr>
      <w:r>
        <w:rPr>
          <w:rFonts w:hint="eastAsia"/>
        </w:rPr>
        <w:t>（</w:t>
      </w:r>
      <w:r>
        <w:t>1）</w:t>
      </w:r>
      <w:r>
        <w:rPr>
          <w:rFonts w:hint="eastAsia"/>
        </w:rPr>
        <w:t>承办街道应急管理专题会议和新北街应急委工作会议，督促落实有关决定事项和领导批示、指示精神；</w:t>
      </w:r>
    </w:p>
    <w:p>
      <w:pPr>
        <w:ind w:firstLine="560"/>
      </w:pPr>
      <w:r>
        <w:rPr>
          <w:rFonts w:hint="eastAsia"/>
        </w:rPr>
        <w:t>（2）按照街应急委要求协调有关单位做好突发事件预防预警、应急处置、调查评估及善后工作；</w:t>
      </w:r>
    </w:p>
    <w:p>
      <w:pPr>
        <w:ind w:firstLine="560"/>
      </w:pPr>
      <w:r>
        <w:rPr>
          <w:rFonts w:hint="eastAsia"/>
        </w:rPr>
        <w:t>（3）组织《天津市滨海新区新北街道办事处突发事件总体应急预案》编制、修订工作，指导街道专项应急预案评审工作，督促检查预案演练工作；</w:t>
      </w:r>
    </w:p>
    <w:p>
      <w:pPr>
        <w:ind w:firstLine="560"/>
      </w:pPr>
      <w:r>
        <w:rPr>
          <w:rFonts w:hint="eastAsia"/>
        </w:rPr>
        <w:t>（4）收集分析新北街应急管理工作信息；</w:t>
      </w:r>
    </w:p>
    <w:p>
      <w:pPr>
        <w:ind w:firstLine="560"/>
      </w:pPr>
      <w:r>
        <w:rPr>
          <w:rFonts w:hint="eastAsia"/>
        </w:rPr>
        <w:t>（5）组织开展突发事件宣传教育培训和应急业务交流，会同有关部门统筹规划街道应急物资储备和应急避难场所建设；</w:t>
      </w:r>
    </w:p>
    <w:p>
      <w:pPr>
        <w:ind w:firstLine="560"/>
      </w:pPr>
      <w:r>
        <w:rPr>
          <w:rFonts w:hint="eastAsia"/>
        </w:rPr>
        <w:t>（6）承办新北街应急委交办的其他工作。</w:t>
      </w:r>
    </w:p>
    <w:p>
      <w:pPr>
        <w:pStyle w:val="3"/>
        <w:ind w:firstLine="301"/>
      </w:pPr>
      <w:bookmarkStart w:id="17" w:name="_Toc51575307"/>
      <w:r>
        <w:t>2.3</w:t>
      </w:r>
      <w:r>
        <w:rPr>
          <w:rFonts w:hint="eastAsia"/>
        </w:rPr>
        <w:t>专项应急指挥部</w:t>
      </w:r>
      <w:bookmarkEnd w:id="17"/>
    </w:p>
    <w:p>
      <w:pPr>
        <w:ind w:firstLine="560"/>
      </w:pPr>
      <w:r>
        <w:rPr>
          <w:rFonts w:hint="eastAsia"/>
        </w:rPr>
        <w:t>2</w:t>
      </w:r>
      <w:r>
        <w:t>.3.1</w:t>
      </w:r>
      <w:r>
        <w:rPr>
          <w:rFonts w:hint="eastAsia"/>
        </w:rPr>
        <w:t>为有效应对各类突发事件，新北街应急委根据实际需要设立若干专项突发事件应急管理工作指挥部（简称“专项应急指挥部”），包括：生产安全事故、火灾事故、防汛、地震疏散、气象灾害、食品安全事故专项应急指挥部。</w:t>
      </w:r>
    </w:p>
    <w:p>
      <w:pPr>
        <w:ind w:firstLine="560"/>
      </w:pPr>
      <w:r>
        <w:t>2.3.2</w:t>
      </w:r>
      <w:r>
        <w:rPr>
          <w:rFonts w:hint="eastAsia"/>
        </w:rPr>
        <w:t>新北街</w:t>
      </w:r>
      <w:r>
        <w:t>各专项应急指挥部</w:t>
      </w:r>
      <w:r>
        <w:rPr>
          <w:rFonts w:hint="eastAsia"/>
        </w:rPr>
        <w:t>总指挥</w:t>
      </w:r>
      <w:r>
        <w:t>由</w:t>
      </w:r>
      <w:r>
        <w:rPr>
          <w:rFonts w:hint="eastAsia"/>
        </w:rPr>
        <w:t>街道办事处主任担任</w:t>
      </w:r>
      <w:r>
        <w:t>，</w:t>
      </w:r>
      <w:r>
        <w:rPr>
          <w:rFonts w:hint="eastAsia"/>
        </w:rPr>
        <w:t>副总指挥由街道办事处各分管处级领导担任</w:t>
      </w:r>
      <w:r>
        <w:t>。</w:t>
      </w:r>
    </w:p>
    <w:p>
      <w:pPr>
        <w:ind w:firstLine="560"/>
      </w:pPr>
      <w:r>
        <w:t>2.3.3</w:t>
      </w:r>
      <w:r>
        <w:rPr>
          <w:rFonts w:hint="eastAsia"/>
        </w:rPr>
        <w:t>专项应急指挥部主要职责是：研究落实应对相关突发事件的政策措施和指导意见；组织编制、修订新北街突发事件专项应急预案及应急保障预案；组织各类突发事件应急处置工作；负责应急救援队伍、应急物资装备的落实和管理工作，制定专项规划和年度工作计划；开展专业应急训练、演练和宣传教育等工作。</w:t>
      </w:r>
    </w:p>
    <w:p>
      <w:pPr>
        <w:ind w:firstLine="560"/>
      </w:pPr>
      <w:r>
        <w:rPr>
          <w:rFonts w:hint="eastAsia"/>
        </w:rPr>
        <w:t>2</w:t>
      </w:r>
      <w:r>
        <w:t>.3.4</w:t>
      </w:r>
      <w:r>
        <w:rPr>
          <w:rFonts w:hint="eastAsia"/>
        </w:rPr>
        <w:t>新北街各专项应急指挥部办公室设在牵头组建部门，配备专（兼）职工作人员，作为专项应急指挥部办事机构，负责督促、检查专项应急指挥部决策命令的落实情况，组织各成员单位开展相关应急准备与处置工作。</w:t>
      </w:r>
    </w:p>
    <w:p>
      <w:pPr>
        <w:pStyle w:val="3"/>
        <w:ind w:firstLine="301"/>
      </w:pPr>
      <w:bookmarkStart w:id="18" w:name="_Toc51575308"/>
      <w:r>
        <w:t>2.4</w:t>
      </w:r>
      <w:r>
        <w:rPr>
          <w:rFonts w:hint="eastAsia"/>
        </w:rPr>
        <w:t>现场应急指挥部</w:t>
      </w:r>
      <w:bookmarkEnd w:id="18"/>
    </w:p>
    <w:p>
      <w:pPr>
        <w:ind w:firstLine="560"/>
      </w:pPr>
      <w:r>
        <w:rPr>
          <w:rFonts w:hint="eastAsia"/>
        </w:rPr>
        <w:t>2</w:t>
      </w:r>
      <w:r>
        <w:t>.4.1</w:t>
      </w:r>
      <w:r>
        <w:rPr>
          <w:rFonts w:hint="eastAsia"/>
        </w:rPr>
        <w:t>根据新北街应急委的统一部署和处置工作实际，成立现场指挥部。现场指挥部根据专项应急指挥部的授权，统一指挥和协调现场应急处置工作。</w:t>
      </w:r>
    </w:p>
    <w:p>
      <w:pPr>
        <w:ind w:firstLine="560"/>
      </w:pPr>
      <w:r>
        <w:rPr>
          <w:rFonts w:hint="eastAsia"/>
        </w:rPr>
        <w:t>2</w:t>
      </w:r>
      <w:r>
        <w:t>.4.2</w:t>
      </w:r>
      <w:r>
        <w:rPr>
          <w:rFonts w:hint="eastAsia"/>
        </w:rPr>
        <w:t>现场指挥部工作职责是：全力组织伤员救治、人员疏散和群众安置工作，维护现场治安和交通秩序，防止事态进一步扩大；对突发事件进行综合分析、快速研判，确定现场应急处置方案；统一组织相关部门、单位，调动应急救援队伍，调集应急救援物资装备，开展应急处置工作；及时向新北街应急委报告事件处置进展。</w:t>
      </w:r>
    </w:p>
    <w:p>
      <w:pPr>
        <w:pStyle w:val="3"/>
        <w:ind w:firstLine="301"/>
      </w:pPr>
      <w:bookmarkStart w:id="19" w:name="_Toc51575309"/>
      <w:r>
        <w:t>2.5</w:t>
      </w:r>
      <w:r>
        <w:rPr>
          <w:rFonts w:hint="eastAsia"/>
        </w:rPr>
        <w:t>基层应急指挥机构</w:t>
      </w:r>
      <w:bookmarkEnd w:id="19"/>
    </w:p>
    <w:p>
      <w:pPr>
        <w:pStyle w:val="4"/>
        <w:ind w:firstLine="394"/>
      </w:pPr>
      <w:r>
        <w:rPr>
          <w:rFonts w:hint="eastAsia"/>
        </w:rPr>
        <w:t>2</w:t>
      </w:r>
      <w:r>
        <w:t>.5.1</w:t>
      </w:r>
      <w:r>
        <w:rPr>
          <w:rFonts w:hint="eastAsia"/>
        </w:rPr>
        <w:t>新北街下辖社区居委会</w:t>
      </w:r>
    </w:p>
    <w:p>
      <w:pPr>
        <w:ind w:firstLine="560"/>
      </w:pPr>
      <w:r>
        <w:rPr>
          <w:rFonts w:hint="eastAsia"/>
        </w:rPr>
        <w:t>新北街</w:t>
      </w:r>
      <w:r>
        <w:t>下辖1</w:t>
      </w:r>
      <w:r>
        <w:rPr>
          <w:rFonts w:hint="eastAsia"/>
        </w:rPr>
        <w:t>3</w:t>
      </w:r>
      <w:r>
        <w:t>个社区居委会</w:t>
      </w:r>
      <w:r>
        <w:rPr>
          <w:rFonts w:hint="eastAsia"/>
        </w:rPr>
        <w:t>和1个居委会筹备组</w:t>
      </w:r>
      <w:r>
        <w:t>，包括：</w:t>
      </w:r>
      <w:r>
        <w:rPr>
          <w:rFonts w:hint="eastAsia"/>
        </w:rPr>
        <w:t>迎宾园</w:t>
      </w:r>
      <w:r>
        <w:t>社区居委会、</w:t>
      </w:r>
      <w:r>
        <w:rPr>
          <w:rFonts w:hint="eastAsia"/>
        </w:rPr>
        <w:t>融盛</w:t>
      </w:r>
      <w:r>
        <w:t>社区居委会、</w:t>
      </w:r>
      <w:r>
        <w:rPr>
          <w:rFonts w:hint="eastAsia"/>
        </w:rPr>
        <w:t>新新家园</w:t>
      </w:r>
      <w:r>
        <w:t>社区居委会、</w:t>
      </w:r>
      <w:r>
        <w:rPr>
          <w:rFonts w:hint="eastAsia"/>
        </w:rPr>
        <w:t>贻成尚北</w:t>
      </w:r>
      <w:r>
        <w:t>社区居委会、</w:t>
      </w:r>
      <w:r>
        <w:rPr>
          <w:rFonts w:hint="eastAsia"/>
        </w:rPr>
        <w:t>欧美小镇</w:t>
      </w:r>
      <w:r>
        <w:t>社区居委会、</w:t>
      </w:r>
      <w:r>
        <w:rPr>
          <w:rFonts w:hint="eastAsia"/>
        </w:rPr>
        <w:t>贻正嘉合</w:t>
      </w:r>
      <w:r>
        <w:t>社区居委会、</w:t>
      </w:r>
      <w:r>
        <w:rPr>
          <w:rFonts w:hint="eastAsia"/>
        </w:rPr>
        <w:t>贻锦台</w:t>
      </w:r>
      <w:r>
        <w:t>社区居委会、</w:t>
      </w:r>
      <w:r>
        <w:rPr>
          <w:rFonts w:hint="eastAsia"/>
        </w:rPr>
        <w:t>蓝山国际</w:t>
      </w:r>
      <w:r>
        <w:t>社区居委会、</w:t>
      </w:r>
      <w:r>
        <w:rPr>
          <w:rFonts w:hint="eastAsia"/>
        </w:rPr>
        <w:t>首创国际</w:t>
      </w:r>
      <w:r>
        <w:t>社区居委会、</w:t>
      </w:r>
      <w:r>
        <w:rPr>
          <w:rFonts w:hint="eastAsia"/>
        </w:rPr>
        <w:t>晓镇家园</w:t>
      </w:r>
      <w:r>
        <w:t>社区居委会、</w:t>
      </w:r>
      <w:r>
        <w:rPr>
          <w:rFonts w:hint="eastAsia"/>
        </w:rPr>
        <w:t>贻成豪庭</w:t>
      </w:r>
      <w:r>
        <w:t>社区居委会、</w:t>
      </w:r>
      <w:r>
        <w:rPr>
          <w:rFonts w:hint="eastAsia"/>
        </w:rPr>
        <w:t>诺德名苑</w:t>
      </w:r>
      <w:r>
        <w:t>社区居委会、</w:t>
      </w:r>
      <w:r>
        <w:rPr>
          <w:rFonts w:hint="eastAsia"/>
        </w:rPr>
        <w:t>贻成峰景</w:t>
      </w:r>
      <w:r>
        <w:t>社区居委会</w:t>
      </w:r>
      <w:r>
        <w:rPr>
          <w:rFonts w:hint="eastAsia"/>
        </w:rPr>
        <w:t>，桃源居</w:t>
      </w:r>
      <w:r>
        <w:t>社区居委会</w:t>
      </w:r>
      <w:r>
        <w:rPr>
          <w:rFonts w:hint="eastAsia"/>
        </w:rPr>
        <w:t>筹备组</w:t>
      </w:r>
      <w:r>
        <w:t>。</w:t>
      </w:r>
    </w:p>
    <w:p>
      <w:pPr>
        <w:ind w:firstLine="560"/>
      </w:pPr>
      <w:r>
        <w:rPr>
          <w:rFonts w:hint="eastAsia"/>
        </w:rPr>
        <w:t>新北街下辖社区居委会应成立以主要领导为组长的应急工作组，参加应急处理、抢险救援、事件调查、现场恢复和善后等工作。建立社区居委会应急救援队伍、应急志愿者队伍，储备必要的应急物资，开展应急宣传教育及突发事件应急演练，突发事件发生后按照有关规定报告突发事件信息，组织开展先期处置工作。</w:t>
      </w:r>
    </w:p>
    <w:p>
      <w:pPr>
        <w:pStyle w:val="4"/>
        <w:ind w:firstLine="394"/>
      </w:pPr>
      <w:r>
        <w:t>2.5.2</w:t>
      </w:r>
      <w:r>
        <w:rPr>
          <w:rFonts w:hint="eastAsia"/>
        </w:rPr>
        <w:t>企事业单位应急机构</w:t>
      </w:r>
    </w:p>
    <w:p>
      <w:pPr>
        <w:ind w:firstLine="560"/>
      </w:pPr>
      <w:r>
        <w:rPr>
          <w:rFonts w:hint="eastAsia"/>
        </w:rPr>
        <w:t>新北街企事业单位应依法落实应急管理应急管理工作责任，明确责任人员，完善应急预案，建立专（兼）职应急处置队伍，加强应急值守，配备应急物资器材，开展应急培训演练。突发事件发生时负责第一时间报告突发事件信息，组织开展先期处置。</w:t>
      </w:r>
    </w:p>
    <w:p>
      <w:pPr>
        <w:pStyle w:val="3"/>
        <w:ind w:firstLine="301"/>
      </w:pPr>
      <w:bookmarkStart w:id="20" w:name="_Toc51575310"/>
      <w:r>
        <w:t>2.6</w:t>
      </w:r>
      <w:r>
        <w:rPr>
          <w:rFonts w:hint="eastAsia"/>
        </w:rPr>
        <w:t>应急专家组</w:t>
      </w:r>
      <w:bookmarkEnd w:id="20"/>
    </w:p>
    <w:p>
      <w:pPr>
        <w:ind w:firstLine="560"/>
      </w:pPr>
      <w:r>
        <w:rPr>
          <w:rFonts w:hint="eastAsia"/>
        </w:rPr>
        <w:t>新北街应急办组织建立应急专家库，根据救援需要成立相应的专家组，参与突发事件的应急处置咨询工作，为新北街应急管理提供决策建议，有关专家信息需纳入专项应急预案报新北街应急办备案。</w:t>
      </w:r>
    </w:p>
    <w:p>
      <w:pPr>
        <w:pStyle w:val="3"/>
        <w:ind w:firstLine="301"/>
      </w:pPr>
      <w:bookmarkStart w:id="21" w:name="_Toc51575311"/>
      <w:r>
        <w:t>2.7</w:t>
      </w:r>
      <w:r>
        <w:rPr>
          <w:rFonts w:hint="eastAsia"/>
        </w:rPr>
        <w:t>应急联动</w:t>
      </w:r>
      <w:bookmarkEnd w:id="21"/>
    </w:p>
    <w:p>
      <w:pPr>
        <w:ind w:firstLine="560"/>
      </w:pPr>
      <w:r>
        <w:rPr>
          <w:rFonts w:hint="eastAsia"/>
        </w:rPr>
        <w:t>2</w:t>
      </w:r>
      <w:r>
        <w:t>.7.1</w:t>
      </w:r>
      <w:r>
        <w:rPr>
          <w:rFonts w:hint="eastAsia"/>
        </w:rPr>
        <w:t>新北街应急委接受滨海新区人民政府的领导，落实主动对接统一部署工作要求，及时报送应急救援情况信息。</w:t>
      </w:r>
    </w:p>
    <w:p>
      <w:pPr>
        <w:ind w:firstLine="560"/>
      </w:pPr>
      <w:r>
        <w:rPr>
          <w:rFonts w:hint="eastAsia"/>
        </w:rPr>
        <w:t>2</w:t>
      </w:r>
      <w:r>
        <w:t>.7.2</w:t>
      </w:r>
      <w:r>
        <w:rPr>
          <w:rFonts w:hint="eastAsia"/>
        </w:rPr>
        <w:t>新北街应急委建立与滨海新区人民政府各有关单位及其相邻街道主管部门、应急机构和专业应急救援队伍的应急联动机制。根据新北街应急救援资源的配备情况和救援的需要，在上级应急指挥中心的协调下，统一调法使用应急资源。</w:t>
      </w:r>
    </w:p>
    <w:p>
      <w:pPr>
        <w:pStyle w:val="2"/>
        <w:ind w:firstLine="161"/>
      </w:pPr>
      <w:r>
        <w:br w:type="page"/>
      </w:r>
      <w:bookmarkStart w:id="22" w:name="_Toc51575312"/>
      <w:r>
        <w:rPr>
          <w:rFonts w:hint="eastAsia"/>
        </w:rPr>
        <w:t>3应急信息与预警的启动</w:t>
      </w:r>
      <w:bookmarkEnd w:id="22"/>
    </w:p>
    <w:p>
      <w:pPr>
        <w:pStyle w:val="3"/>
        <w:ind w:firstLine="301"/>
      </w:pPr>
      <w:bookmarkStart w:id="23" w:name="_Toc51575313"/>
      <w:r>
        <w:t>3.1</w:t>
      </w:r>
      <w:r>
        <w:rPr>
          <w:rFonts w:hint="eastAsia"/>
        </w:rPr>
        <w:t>监测信息</w:t>
      </w:r>
      <w:bookmarkEnd w:id="23"/>
    </w:p>
    <w:p>
      <w:pPr>
        <w:ind w:firstLine="560"/>
      </w:pPr>
      <w:r>
        <w:rPr>
          <w:rFonts w:hint="eastAsia"/>
        </w:rPr>
        <w:t>3</w:t>
      </w:r>
      <w:r>
        <w:t>.1.1</w:t>
      </w:r>
      <w:r>
        <w:rPr>
          <w:rFonts w:hint="eastAsia"/>
        </w:rPr>
        <w:t>充分利用公共安全网格化监管体系，建立风险隐患排查整改工作机制，实行分类分级管理和动态防控，常态开展风险隐患排查、更新、整改、追踪工作，督导有关单位采取安全防范措施，消除安全隐患。</w:t>
      </w:r>
    </w:p>
    <w:p>
      <w:pPr>
        <w:ind w:firstLine="560"/>
      </w:pPr>
      <w:r>
        <w:t>3.1.2</w:t>
      </w:r>
      <w:r>
        <w:rPr>
          <w:rFonts w:hint="eastAsia"/>
        </w:rPr>
        <w:t>社区居委会</w:t>
      </w:r>
      <w:r>
        <w:t>负责组织各类突发事件信息汇总、分析和处理</w:t>
      </w:r>
      <w:r>
        <w:rPr>
          <w:rFonts w:hint="eastAsia"/>
        </w:rPr>
        <w:t>工作</w:t>
      </w:r>
      <w:r>
        <w:t>，</w:t>
      </w:r>
      <w:r>
        <w:rPr>
          <w:rFonts w:hint="eastAsia"/>
        </w:rPr>
        <w:t>按规定及时</w:t>
      </w:r>
      <w:r>
        <w:t>向街道</w:t>
      </w:r>
      <w:r>
        <w:rPr>
          <w:rFonts w:hint="eastAsia"/>
        </w:rPr>
        <w:t>应急办公室</w:t>
      </w:r>
      <w:r>
        <w:t>报告。</w:t>
      </w:r>
    </w:p>
    <w:p>
      <w:pPr>
        <w:ind w:firstLine="560"/>
      </w:pPr>
      <w:r>
        <w:t>3.1.3</w:t>
      </w:r>
      <w:r>
        <w:rPr>
          <w:rFonts w:hint="eastAsia"/>
        </w:rPr>
        <w:t>专项应急指挥部成员部门和单位</w:t>
      </w:r>
      <w:r>
        <w:t>，依照各自职责和属地管理原则，及时汇总、分析、处理</w:t>
      </w:r>
      <w:r>
        <w:rPr>
          <w:rFonts w:hint="eastAsia"/>
        </w:rPr>
        <w:t>各类</w:t>
      </w:r>
      <w:r>
        <w:t>突发事件，预测可能发生的</w:t>
      </w:r>
      <w:r>
        <w:rPr>
          <w:rFonts w:hint="eastAsia"/>
        </w:rPr>
        <w:t>新</w:t>
      </w:r>
      <w:r>
        <w:t>情况，</w:t>
      </w:r>
      <w:r>
        <w:rPr>
          <w:rFonts w:hint="eastAsia"/>
        </w:rPr>
        <w:t>遵循</w:t>
      </w:r>
      <w:r>
        <w:t>早发现、早报告、早处置原则，及时</w:t>
      </w:r>
      <w:r>
        <w:rPr>
          <w:rFonts w:hint="eastAsia"/>
        </w:rPr>
        <w:t>上</w:t>
      </w:r>
      <w:r>
        <w:t>报街道</w:t>
      </w:r>
      <w:r>
        <w:rPr>
          <w:rFonts w:hint="eastAsia"/>
        </w:rPr>
        <w:t>应急委</w:t>
      </w:r>
      <w:r>
        <w:t>。</w:t>
      </w:r>
    </w:p>
    <w:p>
      <w:pPr>
        <w:ind w:firstLine="560"/>
      </w:pPr>
      <w:r>
        <w:t>3.1.4建立突发事件舆情快速收集研判机制，及时收集新闻媒体对</w:t>
      </w:r>
      <w:r>
        <w:rPr>
          <w:rFonts w:hint="eastAsia"/>
        </w:rPr>
        <w:t>辖区</w:t>
      </w:r>
      <w:r>
        <w:t>突发事件和有关敏感问题的报道，密切跟踪互联网、微博、微信等渠道的舆情动态，快速核实、评估影响、及时回应。</w:t>
      </w:r>
    </w:p>
    <w:p>
      <w:pPr>
        <w:ind w:firstLine="560"/>
      </w:pPr>
      <w:r>
        <w:t>3.1.5对于涉密的重要信息，</w:t>
      </w:r>
      <w:r>
        <w:rPr>
          <w:rFonts w:hint="eastAsia"/>
        </w:rPr>
        <w:t>按照保密规定和原则</w:t>
      </w:r>
      <w:r>
        <w:t>做好信息保密工作。</w:t>
      </w:r>
    </w:p>
    <w:p>
      <w:pPr>
        <w:ind w:firstLine="560"/>
      </w:pPr>
      <w:r>
        <w:rPr>
          <w:rFonts w:hint="eastAsia"/>
        </w:rPr>
        <w:t>3</w:t>
      </w:r>
      <w:r>
        <w:t>.1.6</w:t>
      </w:r>
      <w:r>
        <w:rPr>
          <w:rFonts w:hint="eastAsia"/>
        </w:rPr>
        <w:t>建立突发事件信息报告、举报制度，</w:t>
      </w:r>
      <w:r>
        <w:t>鼓励公民、法人和其他组织及时报送突发事件信息。</w:t>
      </w:r>
      <w:r>
        <w:rPr>
          <w:rFonts w:hint="eastAsia"/>
        </w:rPr>
        <w:t>突发事件信息报警电话为</w:t>
      </w:r>
      <w:r>
        <w:t>110、119、120。各专项应急指挥部办公室</w:t>
      </w:r>
      <w:r>
        <w:rPr>
          <w:rFonts w:hint="eastAsia"/>
        </w:rPr>
        <w:t>要通过</w:t>
      </w:r>
      <w:r>
        <w:t>举报电话和网络接受突发事件</w:t>
      </w:r>
      <w:r>
        <w:rPr>
          <w:rFonts w:hint="eastAsia"/>
        </w:rPr>
        <w:t>情况</w:t>
      </w:r>
      <w:r>
        <w:t>报告</w:t>
      </w:r>
      <w:r>
        <w:rPr>
          <w:rFonts w:hint="eastAsia"/>
        </w:rPr>
        <w:t>。</w:t>
      </w:r>
    </w:p>
    <w:p>
      <w:pPr>
        <w:pStyle w:val="3"/>
        <w:ind w:firstLine="301"/>
      </w:pPr>
      <w:bookmarkStart w:id="24" w:name="_Toc51575314"/>
      <w:r>
        <w:t>3.2</w:t>
      </w:r>
      <w:r>
        <w:rPr>
          <w:rFonts w:hint="eastAsia"/>
        </w:rPr>
        <w:t>信息报告</w:t>
      </w:r>
      <w:bookmarkEnd w:id="24"/>
    </w:p>
    <w:p>
      <w:pPr>
        <w:pStyle w:val="4"/>
        <w:ind w:firstLine="394"/>
      </w:pPr>
      <w:r>
        <w:t>3.2.1信息接收与通报</w:t>
      </w:r>
    </w:p>
    <w:p>
      <w:pPr>
        <w:ind w:firstLine="560"/>
      </w:pPr>
      <w:r>
        <w:rPr>
          <w:rFonts w:hint="eastAsia"/>
        </w:rPr>
        <w:t>（1）</w:t>
      </w:r>
      <w:r>
        <w:t>突发事件发生后，涉事单位应立即拨打119、110、120等报警电话，同时涉事单位负责人应立即向新北街应急值班室</w:t>
      </w:r>
      <w:r>
        <w:rPr>
          <w:rFonts w:hint="eastAsia"/>
        </w:rPr>
        <w:t>（值班电话：</w:t>
      </w:r>
      <w:r>
        <w:t>022-25221821）报告，应急值班室值班人员立即向</w:t>
      </w:r>
      <w:r>
        <w:rPr>
          <w:rFonts w:hint="eastAsia"/>
        </w:rPr>
        <w:t>带班领导、负责对应突发事件的专项应急指挥部办公室报告，带班领导向主管领导报告。专项应急指挥部</w:t>
      </w:r>
      <w:r>
        <w:t>办公室应</w:t>
      </w:r>
      <w:r>
        <w:rPr>
          <w:rFonts w:hint="eastAsia"/>
        </w:rPr>
        <w:t>立即组织研判事件等级，并报告专项指挥部总指挥。突发事件信息应在</w:t>
      </w:r>
      <w:r>
        <w:t>30分钟</w:t>
      </w:r>
      <w:r>
        <w:rPr>
          <w:rFonts w:hint="eastAsia"/>
        </w:rPr>
        <w:t>内向区人民政府口头报告，</w:t>
      </w:r>
      <w:r>
        <w:t>50</w:t>
      </w:r>
      <w:r>
        <w:rPr>
          <w:rFonts w:hint="eastAsia"/>
        </w:rPr>
        <w:t>分钟</w:t>
      </w:r>
      <w:r>
        <w:t>内书面报告突发事件基本情况</w:t>
      </w:r>
      <w:r>
        <w:rPr>
          <w:rFonts w:hint="eastAsia"/>
        </w:rPr>
        <w:t>，</w:t>
      </w:r>
      <w:r>
        <w:t>不得迟报、漏报、谎报和瞒报。</w:t>
      </w:r>
    </w:p>
    <w:p>
      <w:pPr>
        <w:ind w:firstLine="560"/>
      </w:pPr>
      <w:bookmarkStart w:id="25" w:name="_Hlk33029678"/>
      <w:r>
        <w:rPr>
          <w:rFonts w:hint="eastAsia"/>
        </w:rPr>
        <w:t>（</w:t>
      </w:r>
      <w:r>
        <w:t>2</w:t>
      </w:r>
      <w:r>
        <w:rPr>
          <w:rFonts w:hint="eastAsia"/>
        </w:rPr>
        <w:t>）获知突发事件信息的人员，在紧急情况下，可直接向滨海新区人民政府报告，同时向街道办事处报告。</w:t>
      </w:r>
      <w:bookmarkEnd w:id="25"/>
    </w:p>
    <w:p>
      <w:pPr>
        <w:ind w:firstLine="560"/>
      </w:pPr>
      <w:bookmarkStart w:id="26" w:name="_Hlk33029689"/>
      <w:r>
        <w:rPr>
          <w:rFonts w:hint="eastAsia"/>
        </w:rPr>
        <w:t>（</w:t>
      </w:r>
      <w:r>
        <w:t>3</w:t>
      </w:r>
      <w:r>
        <w:rPr>
          <w:rFonts w:hint="eastAsia"/>
        </w:rPr>
        <w:t>）</w:t>
      </w:r>
      <w:r>
        <w:t>根据</w:t>
      </w:r>
      <w:r>
        <w:rPr>
          <w:rFonts w:hint="eastAsia"/>
        </w:rPr>
        <w:t>新北街</w:t>
      </w:r>
      <w:r>
        <w:t>特点，对涉外、敏感、可能恶化的事件及发生在重要地段、重大节假日、重大活动和重要会议期间的突发事件，应加强情况报告。</w:t>
      </w:r>
      <w:bookmarkEnd w:id="26"/>
    </w:p>
    <w:p>
      <w:pPr>
        <w:pStyle w:val="4"/>
        <w:ind w:firstLine="394"/>
      </w:pPr>
      <w:r>
        <w:t>3.2.2</w:t>
      </w:r>
      <w:r>
        <w:rPr>
          <w:rFonts w:hint="eastAsia"/>
        </w:rPr>
        <w:t>报告内容</w:t>
      </w:r>
    </w:p>
    <w:p>
      <w:pPr>
        <w:ind w:firstLine="560"/>
      </w:pPr>
      <w:r>
        <w:rPr>
          <w:rFonts w:hint="eastAsia"/>
        </w:rPr>
        <w:t>突发事件信息报告的主要内容包括：报告单位，报告人姓名，信息来源，事发时间、地点，人员伤亡情况，影响范围和危害程度等信息。</w:t>
      </w:r>
    </w:p>
    <w:p>
      <w:pPr>
        <w:pStyle w:val="3"/>
        <w:ind w:firstLine="301"/>
      </w:pPr>
      <w:bookmarkStart w:id="27" w:name="_Toc51575315"/>
      <w:r>
        <w:t>3.3</w:t>
      </w:r>
      <w:r>
        <w:rPr>
          <w:rFonts w:hint="eastAsia"/>
        </w:rPr>
        <w:t>预警</w:t>
      </w:r>
      <w:bookmarkEnd w:id="27"/>
    </w:p>
    <w:p>
      <w:pPr>
        <w:pStyle w:val="4"/>
        <w:ind w:firstLine="394"/>
      </w:pPr>
      <w:r>
        <w:t>3.3.1</w:t>
      </w:r>
      <w:r>
        <w:rPr>
          <w:rFonts w:hint="eastAsia"/>
        </w:rPr>
        <w:t>预警启动的条件和程序</w:t>
      </w:r>
    </w:p>
    <w:p>
      <w:pPr>
        <w:ind w:firstLine="560"/>
      </w:pPr>
      <w:r>
        <w:rPr>
          <w:rFonts w:hint="eastAsia"/>
        </w:rPr>
        <w:t>根据信息报告经判定可以预警的自然灾害、事故灾难、公共卫生事件即将或者发生的可能性增加时，决定启动预警程序，并根据有关法律、行政法规，发布相应级别的警报，并宣布有关区域进入预警期。</w:t>
      </w:r>
    </w:p>
    <w:p>
      <w:pPr>
        <w:ind w:firstLine="560"/>
      </w:pPr>
      <w:r>
        <w:rPr>
          <w:rFonts w:hint="eastAsia"/>
        </w:rPr>
        <w:t>可以预警的自然灾害、事故灾难和公共卫生事件的预警级别，按照突发事件发生的紧急程度、发展势态和可能造成的危害程度分为一级、二级、三级和四级，分别用红色、橙色、黄色和蓝色标示，一级为最高级别。</w:t>
      </w:r>
    </w:p>
    <w:p>
      <w:pPr>
        <w:ind w:firstLine="560"/>
      </w:pPr>
      <w:r>
        <w:rPr>
          <w:rFonts w:hint="eastAsia"/>
        </w:rPr>
        <w:t>预警级别的具体等级划分标准由各专项应急指挥部按照国家、天津市和滨海新区有关规定，在专项应急预案中制订。</w:t>
      </w:r>
    </w:p>
    <w:p>
      <w:pPr>
        <w:pStyle w:val="4"/>
        <w:ind w:firstLine="394"/>
      </w:pPr>
      <w:r>
        <w:t>3.3.2</w:t>
      </w:r>
      <w:r>
        <w:rPr>
          <w:rFonts w:hint="eastAsia"/>
        </w:rPr>
        <w:t>预警发布</w:t>
      </w:r>
    </w:p>
    <w:p>
      <w:pPr>
        <w:ind w:firstLine="560"/>
      </w:pPr>
      <w:r>
        <w:rPr>
          <w:rFonts w:hint="eastAsia"/>
        </w:rPr>
        <w:t>专项应急指挥部可根据突发事件的危害性和紧急程度，发布、调整和解除预警信息。</w:t>
      </w:r>
    </w:p>
    <w:p>
      <w:pPr>
        <w:ind w:firstLine="560"/>
      </w:pPr>
      <w:r>
        <w:t>预警信息的发布和调整可通过</w:t>
      </w:r>
      <w:r>
        <w:rPr>
          <w:rFonts w:hint="eastAsia"/>
        </w:rPr>
        <w:t>广播、电视、报刊、互联网、手机短信、电子显示屏、张贴通告通知等方式，快速、及时、准确地将预警信息传播给社会各界和公众。对老、幼、病、残、孕等特殊人群以及医院、学校等特殊场所和警报盲区，采取足以周知的有效传播方式，及时将预警信息及有关建议、通告传达到有关区域，并组织群众做好防范应对工作。</w:t>
      </w:r>
    </w:p>
    <w:p>
      <w:pPr>
        <w:pStyle w:val="4"/>
        <w:ind w:firstLine="394"/>
      </w:pPr>
      <w:r>
        <w:t>3.3.3</w:t>
      </w:r>
      <w:r>
        <w:rPr>
          <w:rFonts w:hint="eastAsia"/>
        </w:rPr>
        <w:t>预警措施</w:t>
      </w:r>
    </w:p>
    <w:p>
      <w:pPr>
        <w:pStyle w:val="5"/>
        <w:ind w:firstLine="562"/>
      </w:pPr>
      <w:r>
        <w:rPr>
          <w:rFonts w:hint="eastAsia"/>
        </w:rPr>
        <w:t>3</w:t>
      </w:r>
      <w:r>
        <w:t>.3.3.1</w:t>
      </w:r>
      <w:r>
        <w:rPr>
          <w:rFonts w:hint="eastAsia"/>
        </w:rPr>
        <w:t>三、四级预警措施</w:t>
      </w:r>
    </w:p>
    <w:p>
      <w:pPr>
        <w:ind w:firstLine="560"/>
      </w:pPr>
      <w:r>
        <w:rPr>
          <w:rFonts w:hint="eastAsia"/>
        </w:rPr>
        <w:t>发布三级、四级预警，宣布进入预警期后，街道可根据即将发生的突发事件的特点和可能造成的危害，采取下列措施：</w:t>
      </w:r>
    </w:p>
    <w:p>
      <w:pPr>
        <w:ind w:firstLine="560"/>
      </w:pPr>
      <w:r>
        <w:rPr>
          <w:rFonts w:hint="eastAsia"/>
        </w:rPr>
        <w:t>（1）启动应急预案；</w:t>
      </w:r>
    </w:p>
    <w:p>
      <w:pPr>
        <w:ind w:firstLine="560"/>
      </w:pPr>
      <w:r>
        <w:rPr>
          <w:rFonts w:hint="eastAsia"/>
        </w:rPr>
        <w:t>（2）</w:t>
      </w:r>
      <w:r>
        <w:t>组织</w:t>
      </w:r>
      <w:r>
        <w:rPr>
          <w:rFonts w:hint="eastAsia"/>
        </w:rPr>
        <w:t>、协调、配合</w:t>
      </w:r>
      <w:r>
        <w:t>有关部门、专业机构、监测网点和负有特定职责的人员及时收集、报告有关信息，向社会公布反映</w:t>
      </w:r>
      <w:r>
        <w:rPr>
          <w:rFonts w:hint="eastAsia"/>
        </w:rPr>
        <w:t>突发事件</w:t>
      </w:r>
      <w:r>
        <w:t>信息的渠道，加强对</w:t>
      </w:r>
      <w:r>
        <w:rPr>
          <w:rFonts w:hint="eastAsia"/>
        </w:rPr>
        <w:t>突发事件</w:t>
      </w:r>
      <w:r>
        <w:t>发生、发展情况的监测、预报和预警工作；</w:t>
      </w:r>
    </w:p>
    <w:p>
      <w:pPr>
        <w:ind w:firstLine="560"/>
      </w:pPr>
      <w:r>
        <w:rPr>
          <w:rFonts w:hint="eastAsia"/>
        </w:rPr>
        <w:t>（3）</w:t>
      </w:r>
      <w:r>
        <w:t>组织</w:t>
      </w:r>
      <w:r>
        <w:rPr>
          <w:rFonts w:hint="eastAsia"/>
        </w:rPr>
        <w:t>、协调、配合</w:t>
      </w:r>
      <w:r>
        <w:t>有关部门和机构、专业人员、</w:t>
      </w:r>
      <w:r>
        <w:rPr>
          <w:rFonts w:hint="eastAsia"/>
        </w:rPr>
        <w:t>技术</w:t>
      </w:r>
      <w:r>
        <w:t>专家</w:t>
      </w:r>
      <w:r>
        <w:rPr>
          <w:rFonts w:hint="eastAsia"/>
        </w:rPr>
        <w:t>，</w:t>
      </w:r>
      <w:r>
        <w:t>随时对</w:t>
      </w:r>
      <w:r>
        <w:rPr>
          <w:rFonts w:hint="eastAsia"/>
        </w:rPr>
        <w:t>突发事件</w:t>
      </w:r>
      <w:r>
        <w:t>信息进行分析评估，预测发生</w:t>
      </w:r>
      <w:r>
        <w:rPr>
          <w:rFonts w:hint="eastAsia"/>
        </w:rPr>
        <w:t>突发事件</w:t>
      </w:r>
      <w:r>
        <w:t>可能性的大小、影响范围</w:t>
      </w:r>
      <w:r>
        <w:rPr>
          <w:rFonts w:hint="eastAsia"/>
        </w:rPr>
        <w:t>、</w:t>
      </w:r>
      <w:r>
        <w:t>强度以及可能发生的突发事件的级别；</w:t>
      </w:r>
    </w:p>
    <w:p>
      <w:pPr>
        <w:ind w:firstLine="560"/>
      </w:pPr>
      <w:r>
        <w:rPr>
          <w:rFonts w:hint="eastAsia"/>
        </w:rPr>
        <w:t>（4）</w:t>
      </w:r>
      <w:r>
        <w:t>定时向社会发布与公众有关的</w:t>
      </w:r>
      <w:r>
        <w:rPr>
          <w:rFonts w:hint="eastAsia"/>
        </w:rPr>
        <w:t>突发事件</w:t>
      </w:r>
      <w:r>
        <w:t>预测信息和分析评估结果，并对相关信息的报道工作进行管理；</w:t>
      </w:r>
    </w:p>
    <w:p>
      <w:pPr>
        <w:ind w:firstLine="560"/>
      </w:pPr>
      <w:r>
        <w:rPr>
          <w:rFonts w:hint="eastAsia"/>
        </w:rPr>
        <w:t>（5）</w:t>
      </w:r>
      <w:r>
        <w:t>及时按照有关规定向社会发布可能受到</w:t>
      </w:r>
      <w:r>
        <w:rPr>
          <w:rFonts w:hint="eastAsia"/>
        </w:rPr>
        <w:t>突发事件</w:t>
      </w:r>
      <w:r>
        <w:t>危害的警告，</w:t>
      </w:r>
      <w:r>
        <w:rPr>
          <w:rFonts w:hint="eastAsia"/>
        </w:rPr>
        <w:t>宣传避免、减轻危害的知识，公布咨询电话。</w:t>
      </w:r>
    </w:p>
    <w:p>
      <w:pPr>
        <w:pStyle w:val="5"/>
        <w:ind w:firstLine="562"/>
      </w:pPr>
      <w:r>
        <w:t>3.3.3.1</w:t>
      </w:r>
      <w:r>
        <w:rPr>
          <w:rFonts w:hint="eastAsia"/>
        </w:rPr>
        <w:t>一、二级预警措施</w:t>
      </w:r>
    </w:p>
    <w:p>
      <w:pPr>
        <w:ind w:firstLine="560"/>
      </w:pPr>
      <w:r>
        <w:rPr>
          <w:rFonts w:hint="eastAsia"/>
        </w:rPr>
        <w:t>发布一级、二级预警，宣布进入预警期后，街道除采取的三、四级预警措施外，还应当针对即将发生的突发事件的特点和可能造成的危害，采取下列一项或者多项措施：</w:t>
      </w:r>
    </w:p>
    <w:p>
      <w:pPr>
        <w:ind w:firstLine="560"/>
      </w:pPr>
      <w:r>
        <w:rPr>
          <w:rFonts w:hint="eastAsia"/>
        </w:rPr>
        <w:t>（1）</w:t>
      </w:r>
      <w:r>
        <w:t>组织</w:t>
      </w:r>
      <w:r>
        <w:rPr>
          <w:rFonts w:hint="eastAsia"/>
        </w:rPr>
        <w:t>、协调</w:t>
      </w:r>
      <w:r>
        <w:t>应急救援队伍、负有特定职责的人员进入待命状态，动员后备人员做好参加应急救援和处置工作的准备；</w:t>
      </w:r>
    </w:p>
    <w:p>
      <w:pPr>
        <w:ind w:firstLine="560"/>
      </w:pPr>
      <w:r>
        <w:rPr>
          <w:rFonts w:hint="eastAsia"/>
        </w:rPr>
        <w:t>（2）</w:t>
      </w:r>
      <w:r>
        <w:t>调集应急救援所需物资、设备、工具，准备应急设施和避难场所，确保其处于良好状态、随时投入正常使用；</w:t>
      </w:r>
    </w:p>
    <w:p>
      <w:pPr>
        <w:ind w:firstLine="560"/>
      </w:pPr>
      <w:r>
        <w:rPr>
          <w:rFonts w:hint="eastAsia"/>
        </w:rPr>
        <w:t>（3）协助、配合有关部门</w:t>
      </w:r>
      <w:r>
        <w:t>，加强对重点单位、重要部位和重要基础设施的安全保卫，维护社会治安秩序；</w:t>
      </w:r>
    </w:p>
    <w:p>
      <w:pPr>
        <w:ind w:firstLine="560"/>
      </w:pPr>
      <w:r>
        <w:rPr>
          <w:rFonts w:hint="eastAsia"/>
        </w:rPr>
        <w:t>（4）协助、配合有关部门</w:t>
      </w:r>
      <w:r>
        <w:t>，确保交通、通信、供水、排水、供电、供气、供热等公共设施的安全和正常运行；</w:t>
      </w:r>
    </w:p>
    <w:p>
      <w:pPr>
        <w:ind w:firstLine="560"/>
      </w:pPr>
      <w:r>
        <w:rPr>
          <w:rFonts w:hint="eastAsia"/>
        </w:rPr>
        <w:t>（5）</w:t>
      </w:r>
      <w:r>
        <w:t>及时向社会发布有关采取特定措施避免或者减轻危害的建议、劝告；</w:t>
      </w:r>
    </w:p>
    <w:p>
      <w:pPr>
        <w:ind w:firstLine="560"/>
      </w:pPr>
      <w:r>
        <w:rPr>
          <w:rFonts w:hint="eastAsia"/>
        </w:rPr>
        <w:t>（6）</w:t>
      </w:r>
      <w:r>
        <w:t>转移、疏散或者撤离易受</w:t>
      </w:r>
      <w:r>
        <w:rPr>
          <w:rFonts w:hint="eastAsia"/>
        </w:rPr>
        <w:t>突发事件</w:t>
      </w:r>
      <w:r>
        <w:t>危害的人员并予以妥善</w:t>
      </w:r>
      <w:r>
        <w:rPr>
          <w:rFonts w:hint="eastAsia"/>
        </w:rPr>
        <w:t>安置，转移重要物资财产；</w:t>
      </w:r>
    </w:p>
    <w:p>
      <w:pPr>
        <w:ind w:firstLine="560"/>
      </w:pPr>
      <w:r>
        <w:rPr>
          <w:rFonts w:hint="eastAsia"/>
        </w:rPr>
        <w:t>（7）</w:t>
      </w:r>
      <w:r>
        <w:t>关闭或者限制使用易受</w:t>
      </w:r>
      <w:r>
        <w:rPr>
          <w:rFonts w:hint="eastAsia"/>
        </w:rPr>
        <w:t>突发事件</w:t>
      </w:r>
      <w:r>
        <w:t>危害的场所，控制或者限制容易导致危害扩大的公共场所的活动；</w:t>
      </w:r>
    </w:p>
    <w:p>
      <w:pPr>
        <w:ind w:firstLine="560"/>
      </w:pPr>
      <w:r>
        <w:rPr>
          <w:rFonts w:hint="eastAsia"/>
        </w:rPr>
        <w:t>（8）</w:t>
      </w:r>
      <w:r>
        <w:t>法律、法规、规章规定的其他必要的防范性、保护性措施。</w:t>
      </w:r>
    </w:p>
    <w:p>
      <w:pPr>
        <w:pStyle w:val="4"/>
        <w:ind w:firstLine="394"/>
      </w:pPr>
      <w:r>
        <w:t>3.3.4</w:t>
      </w:r>
      <w:r>
        <w:rPr>
          <w:rFonts w:hint="eastAsia"/>
        </w:rPr>
        <w:t>预警调整与解除</w:t>
      </w:r>
    </w:p>
    <w:p>
      <w:pPr>
        <w:ind w:firstLine="560"/>
      </w:pPr>
      <w:r>
        <w:rPr>
          <w:rFonts w:hint="eastAsia"/>
        </w:rPr>
        <w:t>根据事态的发展，按照有关规定适时调整预警级别，进行重新发布。出现事实证明不可能发生突发事件或者危险已经解除情景的，由应急指挥部宣布解除警报，终止预警期，并撤销已经采取的有关措施。</w:t>
      </w:r>
    </w:p>
    <w:p>
      <w:pPr>
        <w:ind w:firstLine="560"/>
      </w:pPr>
      <w:r>
        <w:rPr>
          <w:rFonts w:hint="eastAsia"/>
        </w:rPr>
        <w:t>由区人民政府决定的预警调整与解除，按照突发事件信息发布的有关规定予以解除。</w:t>
      </w:r>
    </w:p>
    <w:p>
      <w:pPr>
        <w:ind w:firstLine="560"/>
      </w:pPr>
    </w:p>
    <w:p>
      <w:pPr>
        <w:ind w:firstLine="560"/>
        <w:sectPr>
          <w:pgSz w:w="11905" w:h="16840"/>
          <w:pgMar w:top="1418" w:right="1134" w:bottom="1247" w:left="1588" w:header="851" w:footer="850" w:gutter="0"/>
          <w:paperSrc w:first="7" w:other="7"/>
          <w:cols w:space="720" w:num="1"/>
          <w:docGrid w:linePitch="628" w:charSpace="0"/>
        </w:sectPr>
      </w:pPr>
    </w:p>
    <w:p>
      <w:pPr>
        <w:pStyle w:val="2"/>
        <w:ind w:firstLine="161"/>
      </w:pPr>
      <w:bookmarkStart w:id="28" w:name="_Toc51575316"/>
      <w:r>
        <w:t>4</w:t>
      </w:r>
      <w:r>
        <w:rPr>
          <w:rFonts w:hint="eastAsia"/>
        </w:rPr>
        <w:t>应急处置</w:t>
      </w:r>
      <w:bookmarkEnd w:id="28"/>
    </w:p>
    <w:p>
      <w:pPr>
        <w:pStyle w:val="3"/>
        <w:ind w:firstLine="301"/>
      </w:pPr>
      <w:bookmarkStart w:id="29" w:name="17"/>
      <w:bookmarkStart w:id="30" w:name="_Toc51575317"/>
      <w:r>
        <w:t>4</w:t>
      </w:r>
      <w:r>
        <w:rPr>
          <w:rFonts w:hint="eastAsia"/>
        </w:rPr>
        <w:t>.</w:t>
      </w:r>
      <w:bookmarkEnd w:id="29"/>
      <w:r>
        <w:t>1先期处置</w:t>
      </w:r>
      <w:bookmarkEnd w:id="30"/>
    </w:p>
    <w:p>
      <w:pPr>
        <w:ind w:firstLine="560"/>
      </w:pPr>
      <w:r>
        <w:rPr>
          <w:rFonts w:hint="eastAsia"/>
        </w:rPr>
        <w:t>4</w:t>
      </w:r>
      <w:r>
        <w:t>.1.1</w:t>
      </w:r>
      <w:r>
        <w:rPr>
          <w:rFonts w:hint="eastAsia"/>
        </w:rPr>
        <w:t>突发事件发生后，事发单位应立即启动应急预案，迅速展开救援行动；组织本单位相关人员和应急队伍全力营救、疏散、安置受到威胁的人员；控制危险源，封锁危险场所，严防危害扩散；及时向</w:t>
      </w:r>
      <w:r>
        <w:t>110、119、120等社会报警台寻求救助，同时向</w:t>
      </w:r>
      <w:r>
        <w:rPr>
          <w:rFonts w:hint="eastAsia"/>
        </w:rPr>
        <w:t>街道办事处</w:t>
      </w:r>
      <w:r>
        <w:t>报告。</w:t>
      </w:r>
      <w:r>
        <w:rPr>
          <w:rFonts w:hint="eastAsia"/>
        </w:rPr>
        <w:t>对因本单位的问题引发的或主体是本单位人员的社会安全事件，有关单位要迅速派出负责人赶赴现场开展劝解、疏导工作。</w:t>
      </w:r>
    </w:p>
    <w:p>
      <w:pPr>
        <w:ind w:firstLine="560"/>
      </w:pPr>
      <w:r>
        <w:rPr>
          <w:rFonts w:hint="eastAsia"/>
        </w:rPr>
        <w:t>4</w:t>
      </w:r>
      <w:r>
        <w:t>.1.2</w:t>
      </w:r>
      <w:r>
        <w:rPr>
          <w:rFonts w:hint="eastAsia"/>
        </w:rPr>
        <w:t>受到突发事件影响的人员聚集场所责任单位要立即启动本单位应急预案，组织群众开展自救和互救，按照现场指挥部的统一指挥，配合有关部门做好伤员救护、群众疏散、现场控制等抢险救援行动，维护社会秩序。</w:t>
      </w:r>
    </w:p>
    <w:p>
      <w:pPr>
        <w:ind w:firstLine="560"/>
      </w:pPr>
      <w:r>
        <w:rPr>
          <w:rFonts w:hint="eastAsia"/>
        </w:rPr>
        <w:t>4</w:t>
      </w:r>
      <w:r>
        <w:t>.1.3</w:t>
      </w:r>
      <w:r>
        <w:rPr>
          <w:rFonts w:hint="eastAsia"/>
        </w:rPr>
        <w:t>公安、消防、医疗救护等部门初步核实突发事件信息后，应迅速将突发事件及现场处置需求报告新北街应急委，同时采取一切措施控制事态发展，组织开展先期处置，及时续报现场处置进展、资源需求等情况。</w:t>
      </w:r>
    </w:p>
    <w:p>
      <w:pPr>
        <w:ind w:firstLine="560"/>
      </w:pPr>
      <w:r>
        <w:rPr>
          <w:rFonts w:hint="eastAsia"/>
        </w:rPr>
        <w:t>4</w:t>
      </w:r>
      <w:r>
        <w:t>.1.4</w:t>
      </w:r>
      <w:r>
        <w:rPr>
          <w:rFonts w:hint="eastAsia"/>
        </w:rPr>
        <w:t>突发事件专项应急指挥部应及时将汇总的各方面信息报告新北街应急委，根据现场处置工作需要，组织调度有关单位参与应急处置，并将事件处置阶段性进展报告街应急委。</w:t>
      </w:r>
    </w:p>
    <w:p>
      <w:pPr>
        <w:pStyle w:val="3"/>
        <w:ind w:firstLine="301"/>
      </w:pPr>
      <w:bookmarkStart w:id="31" w:name="_Toc51575318"/>
      <w:r>
        <w:t>4</w:t>
      </w:r>
      <w:r>
        <w:rPr>
          <w:rFonts w:hint="eastAsia"/>
        </w:rPr>
        <w:t>.</w:t>
      </w:r>
      <w:r>
        <w:t>2</w:t>
      </w:r>
      <w:r>
        <w:rPr>
          <w:rFonts w:hint="eastAsia"/>
        </w:rPr>
        <w:t>响应等级</w:t>
      </w:r>
      <w:bookmarkEnd w:id="31"/>
    </w:p>
    <w:p>
      <w:pPr>
        <w:ind w:firstLine="560"/>
      </w:pPr>
      <w:r>
        <w:t>4.2.1一级响应。突发事件发生在</w:t>
      </w:r>
      <w:r>
        <w:rPr>
          <w:rFonts w:hint="eastAsia"/>
        </w:rPr>
        <w:t>新北街</w:t>
      </w:r>
      <w:r>
        <w:t>且呈现向周边</w:t>
      </w:r>
      <w:r>
        <w:rPr>
          <w:rFonts w:hint="eastAsia"/>
        </w:rPr>
        <w:t>街镇</w:t>
      </w:r>
      <w:r>
        <w:t>扩散态势，需</w:t>
      </w:r>
      <w:r>
        <w:rPr>
          <w:rFonts w:hint="eastAsia"/>
        </w:rPr>
        <w:t>区</w:t>
      </w:r>
      <w:r>
        <w:t>人民政府统一指挥进行应急救援行动或需请求</w:t>
      </w:r>
      <w:r>
        <w:rPr>
          <w:rFonts w:hint="eastAsia"/>
        </w:rPr>
        <w:t>区人民政府</w:t>
      </w:r>
      <w:r>
        <w:t>支援、协调的；在</w:t>
      </w:r>
      <w:r>
        <w:rPr>
          <w:rFonts w:hint="eastAsia"/>
        </w:rPr>
        <w:t>新北街</w:t>
      </w:r>
      <w:r>
        <w:t>发生的突发事件已经或者将要造成人员特别重大伤亡、造成经济特别重大损失或造成特别重大危害的；</w:t>
      </w:r>
      <w:r>
        <w:rPr>
          <w:rFonts w:hint="eastAsia"/>
        </w:rPr>
        <w:t>新北街道办事处</w:t>
      </w:r>
      <w:r>
        <w:t>决定启动一级响应，或区人民政府已经启动一级响应。</w:t>
      </w:r>
      <w:r>
        <w:rPr>
          <w:rFonts w:hint="eastAsia"/>
        </w:rPr>
        <w:t>新北街道办事处</w:t>
      </w:r>
      <w:r>
        <w:t>组织</w:t>
      </w:r>
      <w:r>
        <w:rPr>
          <w:rFonts w:hint="eastAsia"/>
        </w:rPr>
        <w:t>街道</w:t>
      </w:r>
      <w:r>
        <w:t>应急救援力量，执行上级政府的处置决定。</w:t>
      </w:r>
    </w:p>
    <w:p>
      <w:pPr>
        <w:ind w:firstLine="560"/>
      </w:pPr>
      <w:r>
        <w:t>4.2.2二级响应。突发事件涉及</w:t>
      </w:r>
      <w:r>
        <w:rPr>
          <w:rFonts w:hint="eastAsia"/>
        </w:rPr>
        <w:t>新北街</w:t>
      </w:r>
      <w:r>
        <w:t>及周边</w:t>
      </w:r>
      <w:r>
        <w:rPr>
          <w:rFonts w:hint="eastAsia"/>
        </w:rPr>
        <w:t>街镇</w:t>
      </w:r>
      <w:r>
        <w:t>或超出</w:t>
      </w:r>
      <w:r>
        <w:rPr>
          <w:rFonts w:hint="eastAsia"/>
        </w:rPr>
        <w:t>新北街</w:t>
      </w:r>
      <w:r>
        <w:t>处置能力</w:t>
      </w:r>
      <w:r>
        <w:rPr>
          <w:rFonts w:hint="eastAsia"/>
        </w:rPr>
        <w:t>、</w:t>
      </w:r>
      <w:r>
        <w:t>需</w:t>
      </w:r>
      <w:r>
        <w:rPr>
          <w:rFonts w:hint="eastAsia"/>
        </w:rPr>
        <w:t>区</w:t>
      </w:r>
      <w:r>
        <w:t>人民政府组织力量处置的；在</w:t>
      </w:r>
      <w:r>
        <w:rPr>
          <w:rFonts w:hint="eastAsia"/>
        </w:rPr>
        <w:t>新北街</w:t>
      </w:r>
      <w:r>
        <w:t>发生的突发事件已经或将要导致人员重大伤亡、造成经济重大损失或造成重大危害的；</w:t>
      </w:r>
      <w:r>
        <w:rPr>
          <w:rFonts w:hint="eastAsia"/>
        </w:rPr>
        <w:t>新北街道办事处</w:t>
      </w:r>
      <w:r>
        <w:t>决定启动二级响应，</w:t>
      </w:r>
      <w:r>
        <w:rPr>
          <w:rFonts w:hint="eastAsia"/>
        </w:rPr>
        <w:t>或</w:t>
      </w:r>
      <w:r>
        <w:t>区人民政府已经启动二级响应。</w:t>
      </w:r>
      <w:r>
        <w:rPr>
          <w:rFonts w:hint="eastAsia"/>
        </w:rPr>
        <w:t>新北街道办事处</w:t>
      </w:r>
      <w:r>
        <w:t>组织</w:t>
      </w:r>
      <w:r>
        <w:rPr>
          <w:rFonts w:hint="eastAsia"/>
        </w:rPr>
        <w:t>街道</w:t>
      </w:r>
      <w:r>
        <w:t>应急救援力量，执行上级政府的处置决定。</w:t>
      </w:r>
    </w:p>
    <w:p>
      <w:pPr>
        <w:ind w:firstLine="560"/>
      </w:pPr>
      <w:r>
        <w:t>4.2.3三级响应。突发事件发生在</w:t>
      </w:r>
      <w:r>
        <w:rPr>
          <w:rFonts w:hint="eastAsia"/>
        </w:rPr>
        <w:t>新北街</w:t>
      </w:r>
      <w:r>
        <w:t>已经或将要导致人员较大伤亡，或造成较大危害</w:t>
      </w:r>
      <w:r>
        <w:rPr>
          <w:rFonts w:hint="eastAsia"/>
        </w:rPr>
        <w:t>，新北街道办事处不能有效应对</w:t>
      </w:r>
      <w:r>
        <w:t>的，决定启动三级响应</w:t>
      </w:r>
      <w:r>
        <w:rPr>
          <w:rFonts w:hint="eastAsia"/>
        </w:rPr>
        <w:t>，</w:t>
      </w:r>
      <w:r>
        <w:t>或区人民政府已经启动三级响应。区人民政府组织应急力量进行处置，</w:t>
      </w:r>
      <w:r>
        <w:rPr>
          <w:rFonts w:hint="eastAsia"/>
        </w:rPr>
        <w:t>新北街道办事处组织街道应急救援力量，执行上级政府的处置决定</w:t>
      </w:r>
      <w:r>
        <w:t>。</w:t>
      </w:r>
    </w:p>
    <w:p>
      <w:pPr>
        <w:ind w:firstLine="560"/>
      </w:pPr>
      <w:r>
        <w:t>4.2.4四级响应。发生在</w:t>
      </w:r>
      <w:r>
        <w:rPr>
          <w:rFonts w:hint="eastAsia"/>
        </w:rPr>
        <w:t>新北街</w:t>
      </w:r>
      <w:r>
        <w:t>的突发事件，</w:t>
      </w:r>
      <w:r>
        <w:rPr>
          <w:rFonts w:hint="eastAsia"/>
        </w:rPr>
        <w:t>新北街道办事处</w:t>
      </w:r>
      <w:r>
        <w:t>可以有效应对；突发事件后果已经或可能导致个别人员伤亡，或造成轻微危害的；需要</w:t>
      </w:r>
      <w:r>
        <w:rPr>
          <w:rFonts w:hint="eastAsia"/>
        </w:rPr>
        <w:t>新北街</w:t>
      </w:r>
      <w:r>
        <w:t>组织应急救援力量支援或协调处置的。</w:t>
      </w:r>
      <w:r>
        <w:rPr>
          <w:rFonts w:hint="eastAsia"/>
        </w:rPr>
        <w:t>必要时</w:t>
      </w:r>
      <w:r>
        <w:t>协调新区救援力量支援发生地应急处置。</w:t>
      </w:r>
    </w:p>
    <w:p>
      <w:pPr>
        <w:pStyle w:val="3"/>
        <w:ind w:firstLine="301"/>
      </w:pPr>
      <w:bookmarkStart w:id="32" w:name="_Toc51575319"/>
      <w:r>
        <w:t>4.3</w:t>
      </w:r>
      <w:r>
        <w:rPr>
          <w:rFonts w:hint="eastAsia"/>
        </w:rPr>
        <w:t>应急响应的指挥机构</w:t>
      </w:r>
      <w:bookmarkEnd w:id="32"/>
    </w:p>
    <w:p>
      <w:pPr>
        <w:ind w:firstLine="560"/>
        <w:rPr>
          <w:color w:val="FF0000"/>
        </w:rPr>
      </w:pPr>
      <w:r>
        <w:rPr>
          <w:rFonts w:hint="eastAsia"/>
        </w:rPr>
        <w:t>4</w:t>
      </w:r>
      <w:r>
        <w:t>.3.1</w:t>
      </w:r>
      <w:r>
        <w:rPr>
          <w:rFonts w:hint="eastAsia"/>
        </w:rPr>
        <w:t>启动突发事件一级、二级、三级响应时，新北街道办事处</w:t>
      </w:r>
      <w:r>
        <w:t>主任、分管</w:t>
      </w:r>
      <w:r>
        <w:rPr>
          <w:rFonts w:hint="eastAsia"/>
        </w:rPr>
        <w:t>领导</w:t>
      </w:r>
      <w:r>
        <w:t>、专项应急指挥部相关负责同志迅速赶赴现场，</w:t>
      </w:r>
      <w:r>
        <w:rPr>
          <w:rFonts w:hint="eastAsia"/>
        </w:rPr>
        <w:t>成立现场指挥部，街道办事处主任担任指挥长，</w:t>
      </w:r>
      <w:r>
        <w:t>协助区人民政府领导实施现场指挥，调动各方面应急力量和资源，执行区人民政府的紧急救援行动。</w:t>
      </w:r>
      <w:r>
        <w:rPr>
          <w:rFonts w:hint="eastAsia"/>
        </w:rPr>
        <w:t>新北街专项应急指挥部按照新北街应急委的统一指挥，迅速组织救援队伍，启动救援装备、物资，展开抢险救援工作。</w:t>
      </w:r>
    </w:p>
    <w:p>
      <w:pPr>
        <w:ind w:firstLine="560"/>
      </w:pPr>
      <w:r>
        <w:rPr>
          <w:rFonts w:hint="eastAsia"/>
        </w:rPr>
        <w:t>4</w:t>
      </w:r>
      <w:r>
        <w:t>.3.2启动突发事件</w:t>
      </w:r>
      <w:r>
        <w:rPr>
          <w:rFonts w:hint="eastAsia"/>
        </w:rPr>
        <w:t>四</w:t>
      </w:r>
      <w:r>
        <w:t>级</w:t>
      </w:r>
      <w:bookmarkStart w:id="33" w:name="_Hlk33621995"/>
      <w:r>
        <w:t>响应时，</w:t>
      </w:r>
      <w:bookmarkEnd w:id="33"/>
      <w:r>
        <w:rPr>
          <w:rFonts w:hint="eastAsia"/>
        </w:rPr>
        <w:t>专项应急指挥部立即做出响应，按照专业处置的原则，成立由街道办事处分管领导担任指挥长、</w:t>
      </w:r>
      <w:bookmarkStart w:id="34" w:name="_Hlk36649808"/>
      <w:r>
        <w:rPr>
          <w:rFonts w:hint="eastAsia"/>
        </w:rPr>
        <w:t>由各部门主要负责同志参加的现场指挥部</w:t>
      </w:r>
      <w:bookmarkEnd w:id="34"/>
      <w:r>
        <w:rPr>
          <w:rFonts w:hint="eastAsia"/>
        </w:rPr>
        <w:t>，并确定现场联系人和联系方式，指挥协调应急队伍开展应急救援行动。超出新北街处置能力时，请求区人民政府组织力量实施支援，协同做好相关处置工作。</w:t>
      </w:r>
    </w:p>
    <w:p>
      <w:pPr>
        <w:ind w:firstLine="560"/>
      </w:pPr>
      <w:r>
        <w:rPr>
          <w:rFonts w:hint="eastAsia"/>
        </w:rPr>
        <w:t>4</w:t>
      </w:r>
      <w:r>
        <w:t>.3.3</w:t>
      </w:r>
      <w:r>
        <w:rPr>
          <w:rFonts w:hint="eastAsia"/>
        </w:rPr>
        <w:t>各专项应急指挥部根据事件情况开展应急救援协调工作。新北街有关部门、救援队伍和所在及毗邻区的应急救援指挥机构，应按照各自应急预案及协议提供增援或保障。相关应急队伍在现场指挥部统一指挥下，密切配合，共同实施抢险救援和紧急处置行动。</w:t>
      </w:r>
    </w:p>
    <w:p>
      <w:pPr>
        <w:ind w:firstLine="560"/>
      </w:pPr>
      <w:r>
        <w:rPr>
          <w:rFonts w:hint="eastAsia"/>
        </w:rPr>
        <w:t>4</w:t>
      </w:r>
      <w:r>
        <w:t>.3.4</w:t>
      </w:r>
      <w:r>
        <w:rPr>
          <w:rFonts w:hint="eastAsia"/>
        </w:rPr>
        <w:t>现场指挥部负责现场应急救援的指挥，现场指挥部成立前，涉事单位和先期到达的应急救援队伍应迅速、有效地实施先期处置，全力控制事件发展态势，防止次生、衍生事件发生，果断控制或切断事件灾害链。</w:t>
      </w:r>
    </w:p>
    <w:p>
      <w:pPr>
        <w:pStyle w:val="3"/>
        <w:ind w:firstLine="301"/>
      </w:pPr>
      <w:bookmarkStart w:id="35" w:name="_Toc51575320"/>
      <w:r>
        <w:t>4.4处置措施</w:t>
      </w:r>
      <w:bookmarkEnd w:id="35"/>
    </w:p>
    <w:p>
      <w:pPr>
        <w:ind w:firstLine="560"/>
      </w:pPr>
      <w:r>
        <w:rPr>
          <w:rFonts w:hint="eastAsia"/>
        </w:rPr>
        <w:t>4</w:t>
      </w:r>
      <w:r>
        <w:t>.4.1</w:t>
      </w:r>
      <w:r>
        <w:rPr>
          <w:rFonts w:hint="eastAsia"/>
        </w:rPr>
        <w:t>自然灾害、事故灾难或公共卫生事件发生后，街道办事处采取下列一项或多项应急措施</w:t>
      </w:r>
      <w:r>
        <w:t>：</w:t>
      </w:r>
    </w:p>
    <w:p>
      <w:pPr>
        <w:ind w:firstLine="560"/>
      </w:pPr>
      <w:r>
        <w:rPr>
          <w:rFonts w:hint="eastAsia"/>
        </w:rPr>
        <w:t>（1）</w:t>
      </w:r>
      <w:r>
        <w:t>组织营救和救治受害人员，疏散、撤离并妥善安置受到威胁的人员，必要时协调、动员红十字会等社会卫生力量参与医疗卫生救助工作；</w:t>
      </w:r>
    </w:p>
    <w:p>
      <w:pPr>
        <w:ind w:firstLine="560"/>
      </w:pPr>
      <w:r>
        <w:rPr>
          <w:rFonts w:hint="eastAsia"/>
        </w:rPr>
        <w:t>（2）</w:t>
      </w:r>
      <w:r>
        <w:t>迅速控制危险源，标明危险区域，封锁危险场所，划定警戒区，实行交通管制以及其他控制措施</w:t>
      </w:r>
      <w:r>
        <w:rPr>
          <w:rFonts w:hint="eastAsia"/>
        </w:rPr>
        <w:t>；</w:t>
      </w:r>
    </w:p>
    <w:p>
      <w:pPr>
        <w:ind w:firstLine="560"/>
      </w:pPr>
      <w:r>
        <w:rPr>
          <w:rFonts w:hint="eastAsia"/>
        </w:rPr>
        <w:t>（3）交通、公安部门要保证紧急情况下抢险救援车辆的优先安排、调度和放行，确保受伤人员、救援物资和人员能够及时安全送达；</w:t>
      </w:r>
    </w:p>
    <w:p>
      <w:pPr>
        <w:ind w:firstLine="560"/>
      </w:pPr>
      <w:r>
        <w:rPr>
          <w:rFonts w:hint="eastAsia"/>
        </w:rPr>
        <w:t>（</w:t>
      </w:r>
      <w:r>
        <w:t>4</w:t>
      </w:r>
      <w:r>
        <w:rPr>
          <w:rFonts w:hint="eastAsia"/>
        </w:rPr>
        <w:t>）协助、配合有关部门、单位</w:t>
      </w:r>
      <w:r>
        <w:t>抢修被损坏的交通、通信、供水、排水、供电、供气、供热等公告设施，短时难以恢复的，要</w:t>
      </w:r>
      <w:r>
        <w:rPr>
          <w:rFonts w:hint="eastAsia"/>
        </w:rPr>
        <w:t>组织</w:t>
      </w:r>
      <w:r>
        <w:t>实施临时过渡方案，保障社会生产生活基本正常；</w:t>
      </w:r>
    </w:p>
    <w:p>
      <w:pPr>
        <w:ind w:firstLine="560"/>
      </w:pPr>
      <w:r>
        <w:rPr>
          <w:rFonts w:hint="eastAsia"/>
        </w:rPr>
        <w:t>（</w:t>
      </w:r>
      <w:r>
        <w:t>5</w:t>
      </w:r>
      <w:r>
        <w:rPr>
          <w:rFonts w:hint="eastAsia"/>
        </w:rPr>
        <w:t>）协助、配合有关部门，向受到危害的人员提供避难场所及食品、饮用水、衣被、燃料等生活必需品，满足公众正常生活所需；</w:t>
      </w:r>
    </w:p>
    <w:p>
      <w:pPr>
        <w:ind w:firstLine="560"/>
      </w:pPr>
      <w:r>
        <w:rPr>
          <w:rFonts w:hint="eastAsia"/>
        </w:rPr>
        <w:t>（</w:t>
      </w:r>
      <w:r>
        <w:t>6）</w:t>
      </w:r>
      <w:r>
        <w:rPr>
          <w:rFonts w:hint="eastAsia"/>
        </w:rPr>
        <w:t>协助、配合有关部门，</w:t>
      </w:r>
      <w:r>
        <w:t>加强现场公共卫生监测，防止疾病、环境污染等次生、衍生和耦合事件发生；</w:t>
      </w:r>
    </w:p>
    <w:p>
      <w:pPr>
        <w:ind w:firstLine="560"/>
      </w:pPr>
      <w:r>
        <w:rPr>
          <w:rFonts w:hint="eastAsia"/>
        </w:rPr>
        <w:t>（</w:t>
      </w:r>
      <w:r>
        <w:t>7）禁止或者限制使用有关设备、设施，关闭或者限制使用有关场所，中止人员密集的活动或者可能导致危害扩大的生产经营活动以及采取其他保护措施；</w:t>
      </w:r>
    </w:p>
    <w:p>
      <w:pPr>
        <w:ind w:firstLine="560"/>
      </w:pPr>
      <w:r>
        <w:rPr>
          <w:rFonts w:hint="eastAsia"/>
        </w:rPr>
        <w:t>（</w:t>
      </w:r>
      <w:r>
        <w:t>8）启用</w:t>
      </w:r>
      <w:r>
        <w:rPr>
          <w:rFonts w:hint="eastAsia"/>
        </w:rPr>
        <w:t>街道办事处</w:t>
      </w:r>
      <w:r>
        <w:t>设置的突发事件专项资金、应急救援物资，必要时调用其他急需物资、设备、设施、工具；</w:t>
      </w:r>
    </w:p>
    <w:p>
      <w:pPr>
        <w:ind w:firstLine="560"/>
      </w:pPr>
      <w:r>
        <w:rPr>
          <w:rFonts w:hint="eastAsia"/>
        </w:rPr>
        <w:t>（</w:t>
      </w:r>
      <w:r>
        <w:t>9）</w:t>
      </w:r>
      <w:r>
        <w:rPr>
          <w:rFonts w:hint="eastAsia"/>
        </w:rPr>
        <w:t>协助、配合有关部门，</w:t>
      </w:r>
      <w:r>
        <w:t>组织公民参加应急救援工作</w:t>
      </w:r>
      <w:r>
        <w:rPr>
          <w:rFonts w:hint="eastAsia"/>
        </w:rPr>
        <w:t>；</w:t>
      </w:r>
    </w:p>
    <w:p>
      <w:pPr>
        <w:ind w:firstLine="560"/>
      </w:pPr>
      <w:r>
        <w:rPr>
          <w:rFonts w:hint="eastAsia"/>
        </w:rPr>
        <w:t>（</w:t>
      </w:r>
      <w:r>
        <w:t>10）</w:t>
      </w:r>
      <w:r>
        <w:rPr>
          <w:rFonts w:hint="eastAsia"/>
        </w:rPr>
        <w:t>协助、配合有关部门，</w:t>
      </w:r>
      <w:r>
        <w:t>依法从严惩处囤积居奇、哄抬物价、制假售假等扰乱市场秩序的行为，稳定市场价格，维护市场秩序；</w:t>
      </w:r>
    </w:p>
    <w:p>
      <w:pPr>
        <w:ind w:firstLine="560"/>
      </w:pPr>
      <w:r>
        <w:rPr>
          <w:rFonts w:hint="eastAsia"/>
        </w:rPr>
        <w:t>（</w:t>
      </w:r>
      <w:r>
        <w:t>11）</w:t>
      </w:r>
      <w:r>
        <w:rPr>
          <w:rFonts w:hint="eastAsia"/>
        </w:rPr>
        <w:t>协助、配合有关部门，</w:t>
      </w:r>
      <w:r>
        <w:t>依法从严惩处哄抢财物、干扰破坏应急处置工作等扰乱社会秩序的行为，维护社会治安；</w:t>
      </w:r>
    </w:p>
    <w:p>
      <w:pPr>
        <w:ind w:firstLine="560"/>
      </w:pPr>
      <w:r>
        <w:rPr>
          <w:rFonts w:hint="eastAsia"/>
        </w:rPr>
        <w:t>（</w:t>
      </w:r>
      <w:r>
        <w:t>12）</w:t>
      </w:r>
      <w:r>
        <w:rPr>
          <w:rFonts w:hint="eastAsia"/>
        </w:rPr>
        <w:t>协助、配合有关部门，</w:t>
      </w:r>
      <w:r>
        <w:t>加强舆情监管，依法打击编造、传播有关突发事件事态发展或应急处置工作虚假信息的行为；</w:t>
      </w:r>
    </w:p>
    <w:p>
      <w:pPr>
        <w:ind w:firstLine="560"/>
      </w:pPr>
      <w:r>
        <w:rPr>
          <w:rFonts w:hint="eastAsia"/>
        </w:rPr>
        <w:t>（</w:t>
      </w:r>
      <w:r>
        <w:t>13）</w:t>
      </w:r>
      <w:r>
        <w:rPr>
          <w:rFonts w:hint="eastAsia"/>
        </w:rPr>
        <w:t>新北街道办事处</w:t>
      </w:r>
      <w:r>
        <w:t>依据相关法律、法规、规章规定认为必要的其他应急处置措施。</w:t>
      </w:r>
    </w:p>
    <w:p>
      <w:pPr>
        <w:ind w:firstLine="560"/>
      </w:pPr>
      <w:r>
        <w:rPr>
          <w:rFonts w:hint="eastAsia"/>
        </w:rPr>
        <w:t>4</w:t>
      </w:r>
      <w:r>
        <w:t>.4.2社会安全事件发生后，</w:t>
      </w:r>
      <w:r>
        <w:rPr>
          <w:rFonts w:hint="eastAsia"/>
        </w:rPr>
        <w:t>街道办事处要立即组织、协调、配合有关部门针对事件的性质和特点，采取下列一项或多项应急措施：</w:t>
      </w:r>
    </w:p>
    <w:p>
      <w:pPr>
        <w:ind w:firstLine="560"/>
      </w:pPr>
      <w:r>
        <w:rPr>
          <w:rFonts w:hint="eastAsia"/>
        </w:rPr>
        <w:t>（</w:t>
      </w:r>
      <w:r>
        <w:t>1）强制隔离使用器械相互对抗或者以暴力行为参与冲突的当事人，妥善解决现场纠纷和争端，控制事态发展；</w:t>
      </w:r>
    </w:p>
    <w:p>
      <w:pPr>
        <w:ind w:firstLine="560"/>
      </w:pPr>
      <w:r>
        <w:rPr>
          <w:rFonts w:hint="eastAsia"/>
        </w:rPr>
        <w:t>（</w:t>
      </w:r>
      <w:r>
        <w:t>2）对特定区域内的建筑物、交通工具、设备、设施以及燃料、燃气、电力、水的供应进行控制；</w:t>
      </w:r>
    </w:p>
    <w:p>
      <w:pPr>
        <w:ind w:firstLine="560"/>
      </w:pPr>
      <w:r>
        <w:rPr>
          <w:rFonts w:hint="eastAsia"/>
        </w:rPr>
        <w:t>（</w:t>
      </w:r>
      <w:r>
        <w:t>3）封锁有关场所、道路，查验现场人员的身份证件，限制有关公共场所内的活动；</w:t>
      </w:r>
    </w:p>
    <w:p>
      <w:pPr>
        <w:ind w:firstLine="560"/>
      </w:pPr>
      <w:r>
        <w:rPr>
          <w:rFonts w:hint="eastAsia"/>
        </w:rPr>
        <w:t>（</w:t>
      </w:r>
      <w:r>
        <w:t>4）法律、行政法规和国务院、市政府规定的其他必要措施。</w:t>
      </w:r>
    </w:p>
    <w:p>
      <w:pPr>
        <w:ind w:firstLine="560"/>
      </w:pPr>
      <w:r>
        <w:t>4.4.3严重危害社会治安秩序的事件发生时，公安机关应当立即依法出动警力，根据现场情况依法采取相应的强制性措施，尽快</w:t>
      </w:r>
      <w:r>
        <w:rPr>
          <w:rFonts w:hint="eastAsia"/>
        </w:rPr>
        <w:t>恢复正常</w:t>
      </w:r>
      <w:r>
        <w:t>社会秩序。</w:t>
      </w:r>
    </w:p>
    <w:p>
      <w:pPr>
        <w:pStyle w:val="3"/>
        <w:ind w:firstLine="301"/>
      </w:pPr>
      <w:bookmarkStart w:id="36" w:name="_Toc51575321"/>
      <w:r>
        <w:t>4.5</w:t>
      </w:r>
      <w:r>
        <w:rPr>
          <w:rFonts w:hint="eastAsia"/>
        </w:rPr>
        <w:t>响应的升级</w:t>
      </w:r>
      <w:bookmarkEnd w:id="36"/>
    </w:p>
    <w:p>
      <w:pPr>
        <w:ind w:firstLine="560"/>
      </w:pPr>
      <w:r>
        <w:t>4.5.1</w:t>
      </w:r>
      <w:r>
        <w:rPr>
          <w:rFonts w:hint="eastAsia"/>
        </w:rPr>
        <w:t>发现突发事件事态有蔓延扩大的趋势、情况复杂难以控制，或超出新北街控制能力时，应逐级上报（必要时可越级上报），及时提升预警和响应级别，移交现场指挥权。突发事件危害已经减缓和消除，不会进一步扩散，应报告上级政府，相应降低或解除预警和响应级别。</w:t>
      </w:r>
    </w:p>
    <w:p>
      <w:pPr>
        <w:ind w:firstLine="560"/>
      </w:pPr>
      <w:r>
        <w:rPr>
          <w:rFonts w:hint="eastAsia"/>
        </w:rPr>
        <w:t>4</w:t>
      </w:r>
      <w:r>
        <w:t>.5.2</w:t>
      </w:r>
      <w:r>
        <w:rPr>
          <w:rFonts w:hint="eastAsia"/>
        </w:rPr>
        <w:t>新北街道办事处根据区人民政府统一部署，负责实施社会动员工作。</w:t>
      </w:r>
    </w:p>
    <w:p>
      <w:pPr>
        <w:pStyle w:val="3"/>
        <w:ind w:firstLine="301"/>
      </w:pPr>
      <w:bookmarkStart w:id="37" w:name="19"/>
      <w:bookmarkStart w:id="38" w:name="_Toc51575322"/>
      <w:r>
        <w:t>4</w:t>
      </w:r>
      <w:r>
        <w:rPr>
          <w:rFonts w:hint="eastAsia"/>
        </w:rPr>
        <w:t>.</w:t>
      </w:r>
      <w:bookmarkEnd w:id="37"/>
      <w:r>
        <w:t>6</w:t>
      </w:r>
      <w:r>
        <w:rPr>
          <w:rFonts w:hint="eastAsia"/>
        </w:rPr>
        <w:t>新闻</w:t>
      </w:r>
      <w:r>
        <w:t>发布</w:t>
      </w:r>
      <w:bookmarkEnd w:id="38"/>
    </w:p>
    <w:p>
      <w:pPr>
        <w:ind w:firstLine="560"/>
      </w:pPr>
      <w:r>
        <w:rPr>
          <w:rFonts w:hint="eastAsia"/>
        </w:rPr>
        <w:t>4</w:t>
      </w:r>
      <w:r>
        <w:t>.6.1</w:t>
      </w:r>
      <w:r>
        <w:rPr>
          <w:rFonts w:hint="eastAsia"/>
        </w:rPr>
        <w:t>突发事件应急救援工作情况的宣传报道和信息发布工作，由新北街道办事处按照滨海新区人民政府的要求组织开展。</w:t>
      </w:r>
    </w:p>
    <w:p>
      <w:pPr>
        <w:ind w:firstLine="560"/>
      </w:pPr>
      <w:r>
        <w:rPr>
          <w:rFonts w:hint="eastAsia"/>
        </w:rPr>
        <w:t>4</w:t>
      </w:r>
      <w:r>
        <w:t>.6.2</w:t>
      </w:r>
      <w:r>
        <w:rPr>
          <w:rFonts w:hint="eastAsia"/>
        </w:rPr>
        <w:t>在区人民政府的统一领导下，新北街道办事处有关部门要加强网络和手机短信的内容管理和舆情分析，引导网民依法、理性表达意见，形成积极健康的社会舆论。任何单位和个人不得编造、传播有关突发事件事态发展和应急处置工作的虚假信息。</w:t>
      </w:r>
    </w:p>
    <w:p>
      <w:pPr>
        <w:pStyle w:val="3"/>
        <w:ind w:firstLine="301"/>
      </w:pPr>
      <w:bookmarkStart w:id="39" w:name="_Toc51575323"/>
      <w:r>
        <w:t>4.7</w:t>
      </w:r>
      <w:r>
        <w:rPr>
          <w:rFonts w:hint="eastAsia"/>
        </w:rPr>
        <w:t>应急结束</w:t>
      </w:r>
      <w:bookmarkEnd w:id="39"/>
    </w:p>
    <w:p>
      <w:pPr>
        <w:ind w:firstLine="560"/>
      </w:pPr>
      <w:r>
        <w:rPr>
          <w:rFonts w:hint="eastAsia"/>
        </w:rPr>
        <w:t>4</w:t>
      </w:r>
      <w:r>
        <w:t>.7.1</w:t>
      </w:r>
      <w:r>
        <w:rPr>
          <w:rFonts w:hint="eastAsia"/>
        </w:rPr>
        <w:t>突发事件处置工作基本完成，经有关机构、专家评估，次生、衍生事件危害基本消除，经现场总指挥批准，现场应急处置工作即告结束。</w:t>
      </w:r>
    </w:p>
    <w:p>
      <w:pPr>
        <w:ind w:firstLine="560"/>
        <w:sectPr>
          <w:pgSz w:w="11905" w:h="16840"/>
          <w:pgMar w:top="1418" w:right="1134" w:bottom="1247" w:left="1588" w:header="851" w:footer="850" w:gutter="0"/>
          <w:paperSrc w:first="7" w:other="7"/>
          <w:cols w:space="720" w:num="1"/>
          <w:docGrid w:linePitch="628" w:charSpace="0"/>
        </w:sectPr>
      </w:pPr>
      <w:r>
        <w:rPr>
          <w:rFonts w:hint="eastAsia"/>
        </w:rPr>
        <w:t>4</w:t>
      </w:r>
      <w:r>
        <w:t>.7.2应急结束后，</w:t>
      </w:r>
      <w:r>
        <w:rPr>
          <w:rFonts w:hint="eastAsia"/>
        </w:rPr>
        <w:t>新北街应急委或专项应急指挥部</w:t>
      </w:r>
      <w:r>
        <w:t>应将情况及时通知参与事件处置的有关部门和单位</w:t>
      </w:r>
      <w:r>
        <w:rPr>
          <w:rFonts w:hint="eastAsia"/>
        </w:rPr>
        <w:t>，</w:t>
      </w:r>
      <w:r>
        <w:t>必要时，可通过互联网、短信等渠道向社会发布应急结束信息</w:t>
      </w:r>
      <w:r>
        <w:rPr>
          <w:rFonts w:hint="eastAsia"/>
        </w:rPr>
        <w:t>。</w:t>
      </w:r>
    </w:p>
    <w:p>
      <w:pPr>
        <w:pStyle w:val="2"/>
        <w:ind w:firstLine="161"/>
      </w:pPr>
      <w:bookmarkStart w:id="40" w:name="_Toc51575324"/>
      <w:r>
        <w:t>5恢复与重建</w:t>
      </w:r>
      <w:bookmarkEnd w:id="40"/>
    </w:p>
    <w:p>
      <w:pPr>
        <w:pStyle w:val="3"/>
        <w:ind w:firstLine="301"/>
      </w:pPr>
      <w:bookmarkStart w:id="41" w:name="_Toc51575325"/>
      <w:r>
        <w:t>5.1善后</w:t>
      </w:r>
      <w:r>
        <w:rPr>
          <w:rFonts w:hint="eastAsia"/>
        </w:rPr>
        <w:t>措施</w:t>
      </w:r>
      <w:bookmarkEnd w:id="41"/>
    </w:p>
    <w:p>
      <w:pPr>
        <w:ind w:firstLine="560"/>
      </w:pPr>
      <w:r>
        <w:rPr>
          <w:rFonts w:hint="eastAsia"/>
        </w:rPr>
        <w:t>5</w:t>
      </w:r>
      <w:r>
        <w:t>.1.1</w:t>
      </w:r>
      <w:r>
        <w:rPr>
          <w:rFonts w:hint="eastAsia"/>
        </w:rPr>
        <w:t>宣布应急结束后，在区人民政府的统一领导下，街道办事处配合完成善后处置工作，及时制定恢复重建计划和善后处理措施，并组织实施。</w:t>
      </w:r>
    </w:p>
    <w:p>
      <w:pPr>
        <w:ind w:firstLine="560"/>
      </w:pPr>
      <w:r>
        <w:rPr>
          <w:rFonts w:hint="eastAsia"/>
        </w:rPr>
        <w:t>5.1</w:t>
      </w:r>
      <w:r>
        <w:t>.2</w:t>
      </w:r>
      <w:r>
        <w:rPr>
          <w:rFonts w:hint="eastAsia"/>
        </w:rPr>
        <w:t>街道办事处负责组织有关部门、单位，继续保持或采取必要措施，防止发生次生、衍生事件。根据本地区受损失情况，制定救助、补偿、抚慰、抚恤、安置等方案，做好各项善后工作。</w:t>
      </w:r>
    </w:p>
    <w:p>
      <w:pPr>
        <w:ind w:firstLine="560"/>
      </w:pPr>
      <w:r>
        <w:rPr>
          <w:rFonts w:hint="eastAsia"/>
        </w:rPr>
        <w:t>5</w:t>
      </w:r>
      <w:r>
        <w:t>.1.3</w:t>
      </w:r>
      <w:r>
        <w:rPr>
          <w:rFonts w:hint="eastAsia"/>
        </w:rPr>
        <w:t>专项应急指挥部应及时调查统计灾害事故影响范围和受灾程度，并按规定向街道办事处、区人民政府报告。</w:t>
      </w:r>
    </w:p>
    <w:p>
      <w:pPr>
        <w:pStyle w:val="3"/>
        <w:ind w:firstLine="301"/>
      </w:pPr>
      <w:bookmarkStart w:id="42" w:name="_Toc51575326"/>
      <w:r>
        <w:t>5</w:t>
      </w:r>
      <w:r>
        <w:rPr>
          <w:rFonts w:hint="eastAsia"/>
        </w:rPr>
        <w:t>.</w:t>
      </w:r>
      <w:r>
        <w:t>2</w:t>
      </w:r>
      <w:r>
        <w:rPr>
          <w:rFonts w:hint="eastAsia"/>
        </w:rPr>
        <w:t>社会救助</w:t>
      </w:r>
      <w:bookmarkEnd w:id="42"/>
    </w:p>
    <w:p>
      <w:pPr>
        <w:ind w:firstLine="560"/>
      </w:pPr>
      <w:r>
        <w:rPr>
          <w:rFonts w:hint="eastAsia"/>
        </w:rPr>
        <w:t>5</w:t>
      </w:r>
      <w:r>
        <w:t>.2.1</w:t>
      </w:r>
      <w:r>
        <w:rPr>
          <w:rFonts w:hint="eastAsia"/>
        </w:rPr>
        <w:t>公共服务办公室、社区建设办公室、各社区居委会应协助、配合上级人民政府有关部门，做好涉事群众的临时救助工作，及时组织救灾物资和生活必需品的调拨和发放，保障群众基本生活。</w:t>
      </w:r>
    </w:p>
    <w:p>
      <w:pPr>
        <w:ind w:firstLine="560"/>
      </w:pPr>
      <w:r>
        <w:t>5.2.2</w:t>
      </w:r>
      <w:r>
        <w:rPr>
          <w:rFonts w:hint="eastAsia"/>
        </w:rPr>
        <w:t>财务部门</w:t>
      </w:r>
      <w:r>
        <w:t>责建立</w:t>
      </w:r>
      <w:r>
        <w:rPr>
          <w:rFonts w:hint="eastAsia"/>
        </w:rPr>
        <w:t>街道</w:t>
      </w:r>
      <w:r>
        <w:t>应急专项资金，用于突发事件善后恢复及灾民救济，做到专款专用。</w:t>
      </w:r>
    </w:p>
    <w:p>
      <w:pPr>
        <w:ind w:firstLine="560"/>
      </w:pPr>
      <w:r>
        <w:rPr>
          <w:rFonts w:hint="eastAsia"/>
        </w:rPr>
        <w:t>5</w:t>
      </w:r>
      <w:r>
        <w:t>.2.3</w:t>
      </w:r>
      <w:r>
        <w:rPr>
          <w:rFonts w:hint="eastAsia"/>
        </w:rPr>
        <w:t>工会、团委、妇联等单位，协助相关部门开展心理评估、心理急救、心理危机干预等辅助救援工作。</w:t>
      </w:r>
    </w:p>
    <w:p>
      <w:pPr>
        <w:pStyle w:val="3"/>
        <w:ind w:firstLine="301"/>
      </w:pPr>
      <w:bookmarkStart w:id="43" w:name="_Toc51575327"/>
      <w:r>
        <w:t>5.3调查</w:t>
      </w:r>
      <w:r>
        <w:rPr>
          <w:rFonts w:hint="eastAsia"/>
        </w:rPr>
        <w:t>与</w:t>
      </w:r>
      <w:r>
        <w:t>评估</w:t>
      </w:r>
      <w:bookmarkEnd w:id="43"/>
    </w:p>
    <w:p>
      <w:pPr>
        <w:ind w:firstLine="560"/>
      </w:pPr>
      <w:r>
        <w:rPr>
          <w:rFonts w:hint="eastAsia"/>
        </w:rPr>
        <w:t>5</w:t>
      </w:r>
      <w:r>
        <w:t>.3.1</w:t>
      </w:r>
      <w:r>
        <w:rPr>
          <w:rFonts w:hint="eastAsia"/>
        </w:rPr>
        <w:t>一般突发事件的调查评估工作，由新区人民政府相关部门组织开展；较大、重大突发事件的调查评估工作在市人民政府领导下，由市人民政府相关部门组织开展；特别重大突发事件由国务院或国务院授权的有关部门组织开展调查评估。新北街各相关职能部门应配合做好突发事件调查评估相关工作。</w:t>
      </w:r>
    </w:p>
    <w:p>
      <w:pPr>
        <w:ind w:firstLine="560"/>
      </w:pPr>
      <w:r>
        <w:rPr>
          <w:rFonts w:hint="eastAsia"/>
        </w:rPr>
        <w:t>5</w:t>
      </w:r>
      <w:r>
        <w:t>.3.2</w:t>
      </w:r>
      <w:r>
        <w:rPr>
          <w:rFonts w:hint="eastAsia"/>
        </w:rPr>
        <w:t>突发事件的调查评估要对突发事件发生的原因、影响范围、受灾程度及突发事件应对过程进行全面客观的调查、分析、评估，提出改进措施，形成调查评估报告。</w:t>
      </w:r>
    </w:p>
    <w:p>
      <w:pPr>
        <w:ind w:firstLine="560"/>
      </w:pPr>
    </w:p>
    <w:p>
      <w:pPr>
        <w:ind w:firstLine="560"/>
        <w:sectPr>
          <w:pgSz w:w="11905" w:h="16840"/>
          <w:pgMar w:top="1418" w:right="1134" w:bottom="1247" w:left="1588" w:header="851" w:footer="850" w:gutter="0"/>
          <w:paperSrc w:first="7" w:other="7"/>
          <w:cols w:space="720" w:num="1"/>
          <w:docGrid w:linePitch="628" w:charSpace="0"/>
        </w:sectPr>
      </w:pPr>
    </w:p>
    <w:p>
      <w:pPr>
        <w:pStyle w:val="2"/>
        <w:ind w:firstLine="161"/>
      </w:pPr>
      <w:bookmarkStart w:id="44" w:name="_Toc51575328"/>
      <w:r>
        <w:t>6应急保障</w:t>
      </w:r>
      <w:bookmarkEnd w:id="44"/>
    </w:p>
    <w:p>
      <w:pPr>
        <w:pStyle w:val="3"/>
        <w:ind w:firstLine="301"/>
      </w:pPr>
      <w:bookmarkStart w:id="45" w:name="_Toc51575329"/>
      <w:r>
        <w:t>6</w:t>
      </w:r>
      <w:r>
        <w:rPr>
          <w:rFonts w:hint="eastAsia"/>
        </w:rPr>
        <w:t>.</w:t>
      </w:r>
      <w:r>
        <w:t>1</w:t>
      </w:r>
      <w:r>
        <w:rPr>
          <w:rFonts w:hint="eastAsia"/>
        </w:rPr>
        <w:t>应急队伍保障</w:t>
      </w:r>
      <w:bookmarkEnd w:id="45"/>
    </w:p>
    <w:p>
      <w:pPr>
        <w:ind w:firstLine="560"/>
      </w:pPr>
      <w:r>
        <w:rPr>
          <w:rFonts w:hint="eastAsia"/>
        </w:rPr>
        <w:t>6</w:t>
      </w:r>
      <w:r>
        <w:t>.1.1</w:t>
      </w:r>
      <w:r>
        <w:rPr>
          <w:rFonts w:hint="eastAsia"/>
        </w:rPr>
        <w:t>综合性应急救援队伍。依托消防救援队伍、公安队伍建立综合应急救援队伍。主要承担本管辖区域范围内的气象、地震等自然灾害，危险化学品等安全事故，恐怖袭击、群众遇险等社会安全事故的抢险救援任务。协助做好突发公共卫生事件的抢险救援工作。</w:t>
      </w:r>
    </w:p>
    <w:p>
      <w:pPr>
        <w:ind w:firstLine="560"/>
      </w:pPr>
      <w:r>
        <w:rPr>
          <w:rFonts w:hint="eastAsia"/>
        </w:rPr>
        <w:t>6</w:t>
      </w:r>
      <w:r>
        <w:t>.1.</w:t>
      </w:r>
      <w:r>
        <w:rPr>
          <w:rFonts w:hint="eastAsia"/>
        </w:rPr>
        <w:t>2专业应急救援队伍。专业应急救援队是某一特定领域突发事件应急救援的基本力量。由相关职能部门牵头组建，突发事件发生后，统一接受现场指挥部的指挥。</w:t>
      </w:r>
    </w:p>
    <w:p>
      <w:pPr>
        <w:ind w:firstLine="560"/>
      </w:pPr>
      <w:r>
        <w:rPr>
          <w:rFonts w:hint="eastAsia"/>
        </w:rPr>
        <w:t>6</w:t>
      </w:r>
      <w:r>
        <w:t>.1.</w:t>
      </w:r>
      <w:r>
        <w:rPr>
          <w:rFonts w:hint="eastAsia"/>
        </w:rPr>
        <w:t>3企业应急救援队伍。危险化学品等危险物品的经营、储存、运输单位，建筑施工单位，以及宾馆、商场、娱乐场所等人员密集场所经营单位，应当建立应急救援队伍。小型企业或者微型企业等规模较小的生产经营单位，可以不建立应急救援队伍，但应当指定兼职的应急救援人员，并且可以与邻近的应急救援队伍签订应急救援协议。</w:t>
      </w:r>
    </w:p>
    <w:p>
      <w:pPr>
        <w:ind w:firstLine="560"/>
      </w:pPr>
      <w:r>
        <w:rPr>
          <w:rFonts w:hint="eastAsia"/>
        </w:rPr>
        <w:t>6</w:t>
      </w:r>
      <w:r>
        <w:t>.1.</w:t>
      </w:r>
      <w:r>
        <w:rPr>
          <w:rFonts w:hint="eastAsia"/>
        </w:rPr>
        <w:t>4社会应急力量。社区工作者、公共服务人员、志愿者队伍是突发事件应急救援的辅助力量。主要承担日常应急救护、信息收集、防灾避险知识普及等工作，遇灾时组织灾民自救互救，辅助专业救援队伍开展应急救援行动。</w:t>
      </w:r>
    </w:p>
    <w:p>
      <w:pPr>
        <w:pStyle w:val="3"/>
        <w:ind w:firstLine="301"/>
      </w:pPr>
      <w:bookmarkStart w:id="46" w:name="_Toc51575330"/>
      <w:r>
        <w:t>6</w:t>
      </w:r>
      <w:r>
        <w:rPr>
          <w:rFonts w:hint="eastAsia"/>
        </w:rPr>
        <w:t>.</w:t>
      </w:r>
      <w:r>
        <w:t>2</w:t>
      </w:r>
      <w:r>
        <w:rPr>
          <w:rFonts w:hint="eastAsia"/>
        </w:rPr>
        <w:t>应急物资及运输保障</w:t>
      </w:r>
      <w:bookmarkEnd w:id="46"/>
    </w:p>
    <w:p>
      <w:pPr>
        <w:ind w:firstLine="560"/>
      </w:pPr>
      <w:r>
        <w:rPr>
          <w:rFonts w:hint="eastAsia"/>
        </w:rPr>
        <w:t>6</w:t>
      </w:r>
      <w:r>
        <w:t>.2.1</w:t>
      </w:r>
      <w:r>
        <w:rPr>
          <w:rFonts w:hint="eastAsia"/>
        </w:rPr>
        <w:t>各专项应急指挥部负责根据专项应急预案，落实本专业领域应急救援所需常备专业救援物资，建立特殊物资的紧急调拨机制。</w:t>
      </w:r>
    </w:p>
    <w:p>
      <w:pPr>
        <w:ind w:firstLine="560"/>
      </w:pPr>
      <w:r>
        <w:rPr>
          <w:rFonts w:hint="eastAsia"/>
        </w:rPr>
        <w:t>6</w:t>
      </w:r>
      <w:r>
        <w:t>.2.2</w:t>
      </w:r>
      <w:r>
        <w:rPr>
          <w:rFonts w:hint="eastAsia"/>
        </w:rPr>
        <w:t>街道办事处按照应急预案要求和有关规定，组织与有关企业签订协议，做好物资储备工作。</w:t>
      </w:r>
    </w:p>
    <w:p>
      <w:pPr>
        <w:ind w:firstLine="560"/>
      </w:pPr>
      <w:r>
        <w:t>6.2.3</w:t>
      </w:r>
      <w:r>
        <w:rPr>
          <w:rFonts w:hint="eastAsia"/>
        </w:rPr>
        <w:t>有关部门、单位应加强对突发事件应急储备物资的管理，防止储备物资被盗用、挪用、流散。如出现上述情况，应当申请依法查处，及时予以补充，对过期失效的应当及时更新。</w:t>
      </w:r>
    </w:p>
    <w:p>
      <w:pPr>
        <w:ind w:firstLine="560"/>
      </w:pPr>
      <w:r>
        <w:t>6.2.4</w:t>
      </w:r>
      <w:r>
        <w:rPr>
          <w:rFonts w:hint="eastAsia"/>
        </w:rPr>
        <w:t>交通管理部门负责根据突发事件现场应急处置需要，对事故现场及相关通道实行交通管制，开设应急救援“绿色通道”，保证紧急情况下应急人员、物资、交通工具的优先放行。</w:t>
      </w:r>
    </w:p>
    <w:p>
      <w:pPr>
        <w:pStyle w:val="3"/>
        <w:ind w:firstLine="301"/>
      </w:pPr>
      <w:bookmarkStart w:id="47" w:name="_Toc51575331"/>
      <w:r>
        <w:t>6</w:t>
      </w:r>
      <w:r>
        <w:rPr>
          <w:rFonts w:hint="eastAsia"/>
        </w:rPr>
        <w:t>.</w:t>
      </w:r>
      <w:r>
        <w:t>3</w:t>
      </w:r>
      <w:r>
        <w:rPr>
          <w:rFonts w:hint="eastAsia"/>
        </w:rPr>
        <w:t>资金保障</w:t>
      </w:r>
      <w:bookmarkEnd w:id="47"/>
    </w:p>
    <w:p>
      <w:pPr>
        <w:ind w:firstLine="560"/>
      </w:pPr>
      <w:r>
        <w:rPr>
          <w:rFonts w:hint="eastAsia"/>
        </w:rPr>
        <w:t>6</w:t>
      </w:r>
      <w:r>
        <w:t>.3.1</w:t>
      </w:r>
      <w:r>
        <w:rPr>
          <w:rFonts w:hint="eastAsia"/>
        </w:rPr>
        <w:t>根据国家、市、区相关法律、法规、条款，街道办事处</w:t>
      </w:r>
      <w:r>
        <w:t>设立突发事件应急专项资金，并纳入年度财政预算。</w:t>
      </w:r>
      <w:r>
        <w:rPr>
          <w:rFonts w:hint="eastAsia"/>
        </w:rPr>
        <w:t>财务部门</w:t>
      </w:r>
      <w:r>
        <w:t>要对专项资金的使用和效果进行</w:t>
      </w:r>
      <w:r>
        <w:rPr>
          <w:rFonts w:hint="eastAsia"/>
        </w:rPr>
        <w:t>监督，保证专款专用，任何单位和个人不得挪用。</w:t>
      </w:r>
    </w:p>
    <w:p>
      <w:pPr>
        <w:ind w:firstLine="560"/>
      </w:pPr>
      <w:r>
        <w:rPr>
          <w:rFonts w:hint="eastAsia"/>
        </w:rPr>
        <w:t>6</w:t>
      </w:r>
      <w:r>
        <w:t>.3.2</w:t>
      </w:r>
      <w:r>
        <w:rPr>
          <w:rFonts w:hint="eastAsia"/>
        </w:rPr>
        <w:t>突发事件发生后，经街道办事处主任批准后，启用应急反应机制保障资金；必要时，向区人民政府申请财政支持。</w:t>
      </w:r>
    </w:p>
    <w:p>
      <w:pPr>
        <w:ind w:firstLine="560"/>
      </w:pPr>
      <w:r>
        <w:rPr>
          <w:rFonts w:hint="eastAsia"/>
        </w:rPr>
        <w:t>6</w:t>
      </w:r>
      <w:r>
        <w:t>.3.3</w:t>
      </w:r>
      <w:r>
        <w:rPr>
          <w:rFonts w:hint="eastAsia"/>
        </w:rPr>
        <w:t>相关部门和单位要为应急救援人员购买人身意外伤害保险，减少应急救援人员的人身风险，同时，鼓励公民和企事业单位参加灾害保险</w:t>
      </w:r>
      <w:r>
        <w:t>。</w:t>
      </w:r>
    </w:p>
    <w:p>
      <w:pPr>
        <w:pStyle w:val="3"/>
        <w:ind w:firstLine="301"/>
      </w:pPr>
      <w:bookmarkStart w:id="48" w:name="_Toc51575332"/>
      <w:r>
        <w:t>6</w:t>
      </w:r>
      <w:r>
        <w:rPr>
          <w:rFonts w:hint="eastAsia"/>
        </w:rPr>
        <w:t>.</w:t>
      </w:r>
      <w:r>
        <w:t>4</w:t>
      </w:r>
      <w:r>
        <w:rPr>
          <w:rFonts w:hint="eastAsia"/>
        </w:rPr>
        <w:t>医疗卫生保障</w:t>
      </w:r>
      <w:bookmarkEnd w:id="48"/>
    </w:p>
    <w:p>
      <w:pPr>
        <w:ind w:firstLine="560"/>
      </w:pPr>
      <w:r>
        <w:rPr>
          <w:rFonts w:hint="eastAsia"/>
        </w:rPr>
        <w:t>6</w:t>
      </w:r>
      <w:r>
        <w:t>.4.1</w:t>
      </w:r>
      <w:r>
        <w:rPr>
          <w:rFonts w:hint="eastAsia"/>
        </w:rPr>
        <w:t>公共服务办公室负责配合上级人民政府有关部门，协调管辖区域医院做好突发事件医疗救护和卫生防疫工作。</w:t>
      </w:r>
    </w:p>
    <w:p>
      <w:pPr>
        <w:ind w:firstLine="560"/>
      </w:pPr>
      <w:r>
        <w:rPr>
          <w:rFonts w:hint="eastAsia"/>
        </w:rPr>
        <w:t>6</w:t>
      </w:r>
      <w:r>
        <w:t>.4.2</w:t>
      </w:r>
      <w:r>
        <w:rPr>
          <w:rFonts w:hint="eastAsia"/>
        </w:rPr>
        <w:t>管辖区域医院应组建医疗卫生应急专业技术队伍，根据需要及时赴现场救援，负责突发事件发生地的医疗救治工作。</w:t>
      </w:r>
    </w:p>
    <w:p>
      <w:pPr>
        <w:ind w:firstLine="560"/>
      </w:pPr>
      <w:r>
        <w:t>6.4.3</w:t>
      </w:r>
      <w:r>
        <w:rPr>
          <w:rFonts w:hint="eastAsia"/>
        </w:rPr>
        <w:t>发生突发事件时，应根据“分级救治”的原则，按照现场抢救、院前急救、专科救治的不同环节和需要，安排医护人员，准备医疗器械和救助药品，组织医疗救护。</w:t>
      </w:r>
    </w:p>
    <w:p>
      <w:pPr>
        <w:pStyle w:val="3"/>
        <w:ind w:firstLine="301"/>
      </w:pPr>
      <w:bookmarkStart w:id="49" w:name="_Toc51575333"/>
      <w:r>
        <w:t>6.5</w:t>
      </w:r>
      <w:r>
        <w:rPr>
          <w:rFonts w:hint="eastAsia"/>
        </w:rPr>
        <w:t>治安保障</w:t>
      </w:r>
      <w:bookmarkEnd w:id="49"/>
    </w:p>
    <w:p>
      <w:pPr>
        <w:ind w:firstLine="560"/>
      </w:pPr>
      <w:r>
        <w:rPr>
          <w:rFonts w:hint="eastAsia"/>
        </w:rPr>
        <w:t>新北街派出所负责突发事件现场和重点地区、重点场所、重点人群、重要物资设备的防范保护，维持现场秩序，依法严厉打击违法犯罪活动。必要时，依法采取有效管制措施，控制事态，维护社会秩序。力量不足时，向区人民政府申请武警部队支援。</w:t>
      </w:r>
    </w:p>
    <w:p>
      <w:pPr>
        <w:pStyle w:val="3"/>
        <w:ind w:firstLine="301"/>
      </w:pPr>
      <w:bookmarkStart w:id="50" w:name="_Toc51575334"/>
      <w:r>
        <w:t>6.6</w:t>
      </w:r>
      <w:r>
        <w:rPr>
          <w:rFonts w:hint="eastAsia"/>
        </w:rPr>
        <w:t>通信保障</w:t>
      </w:r>
      <w:bookmarkEnd w:id="50"/>
    </w:p>
    <w:p>
      <w:pPr>
        <w:ind w:firstLine="560"/>
      </w:pPr>
      <w:r>
        <w:rPr>
          <w:rFonts w:hint="eastAsia"/>
        </w:rPr>
        <w:t>街道办事处各部门应配合区相关职能部门，建立健全应急通信、应急广播电视保障工作体系，完善公用通信网，建立有线和无线相结合、基础电信网络与机动通信系统相配套的应急通信系统，确保通信畅通。</w:t>
      </w:r>
    </w:p>
    <w:p>
      <w:pPr>
        <w:pStyle w:val="3"/>
        <w:ind w:firstLine="301"/>
      </w:pPr>
      <w:bookmarkStart w:id="51" w:name="_Toc51575335"/>
      <w:r>
        <w:t>6.7</w:t>
      </w:r>
      <w:r>
        <w:rPr>
          <w:rFonts w:hint="eastAsia"/>
        </w:rPr>
        <w:t>应急避难场所</w:t>
      </w:r>
      <w:r>
        <w:t>保障</w:t>
      </w:r>
      <w:bookmarkEnd w:id="51"/>
    </w:p>
    <w:p>
      <w:pPr>
        <w:ind w:firstLine="560"/>
      </w:pPr>
      <w:r>
        <w:rPr>
          <w:rFonts w:hint="eastAsia"/>
        </w:rPr>
        <w:t>6</w:t>
      </w:r>
      <w:r>
        <w:t>.7.</w:t>
      </w:r>
      <w:r>
        <w:rPr>
          <w:rFonts w:hint="eastAsia"/>
        </w:rPr>
        <w:t>1新北街根据突发事件性质和程度，按照国家和天津市相关规定要求，拓展广场、绿地、公园、学校、人防工程、体育场馆等公共场所的应急避难功能，推进应急避难场所建设。</w:t>
      </w:r>
    </w:p>
    <w:p>
      <w:pPr>
        <w:ind w:firstLine="560"/>
      </w:pPr>
      <w:r>
        <w:rPr>
          <w:rFonts w:hint="eastAsia"/>
        </w:rPr>
        <w:t>6</w:t>
      </w:r>
      <w:r>
        <w:t>.7.</w:t>
      </w:r>
      <w:r>
        <w:rPr>
          <w:rFonts w:hint="eastAsia"/>
        </w:rPr>
        <w:t>2公共交通工具、公共场所和其他人员密集场所的经营单位或管理单位要制定具体方案，为交通工具和有关场所配备报警装置和必要的应急救援设备、设施，注明其使用方法，并显著标明安全撤离的通道、路线，保证安全通道、出口的畅通。有关单位要定期检测、维护其报警装置和应急救援设备、设施，保障处于良好状态，确保正常使用。</w:t>
      </w:r>
    </w:p>
    <w:p>
      <w:pPr>
        <w:pStyle w:val="3"/>
        <w:ind w:firstLine="301"/>
      </w:pPr>
      <w:bookmarkStart w:id="52" w:name="_Toc51575336"/>
      <w:r>
        <w:t>6.8</w:t>
      </w:r>
      <w:r>
        <w:rPr>
          <w:rFonts w:hint="eastAsia"/>
        </w:rPr>
        <w:t>人员防护保障</w:t>
      </w:r>
      <w:bookmarkEnd w:id="52"/>
    </w:p>
    <w:p>
      <w:pPr>
        <w:ind w:firstLine="560"/>
      </w:pPr>
      <w:r>
        <w:rPr>
          <w:rFonts w:hint="eastAsia"/>
        </w:rPr>
        <w:t>各有关部门应认真分析事件处置过程中对人员造成危害的可能性和所有危害种类，配备符合要求的安全防护设备、装备，制定切实可行的防护措施和救援程序，确保救援人员安全。</w:t>
      </w:r>
    </w:p>
    <w:p>
      <w:pPr>
        <w:ind w:firstLine="560"/>
      </w:pPr>
    </w:p>
    <w:p>
      <w:pPr>
        <w:ind w:firstLine="560"/>
        <w:sectPr>
          <w:pgSz w:w="11905" w:h="16840"/>
          <w:pgMar w:top="1418" w:right="1134" w:bottom="1247" w:left="1588" w:header="851" w:footer="850" w:gutter="0"/>
          <w:paperSrc w:first="7" w:other="7"/>
          <w:cols w:space="720" w:num="1"/>
          <w:docGrid w:linePitch="628" w:charSpace="0"/>
        </w:sectPr>
      </w:pPr>
    </w:p>
    <w:p>
      <w:pPr>
        <w:pStyle w:val="2"/>
        <w:ind w:firstLine="161"/>
      </w:pPr>
      <w:bookmarkStart w:id="53" w:name="_Toc51575337"/>
      <w:r>
        <w:t>7</w:t>
      </w:r>
      <w:r>
        <w:rPr>
          <w:rFonts w:hint="eastAsia"/>
        </w:rPr>
        <w:t>应急演练、宣传教育培训</w:t>
      </w:r>
      <w:bookmarkEnd w:id="53"/>
    </w:p>
    <w:p>
      <w:pPr>
        <w:pStyle w:val="3"/>
        <w:ind w:firstLine="301"/>
      </w:pPr>
      <w:bookmarkStart w:id="54" w:name="33"/>
      <w:bookmarkStart w:id="55" w:name="_Toc51575338"/>
      <w:r>
        <w:t>7</w:t>
      </w:r>
      <w:r>
        <w:rPr>
          <w:rFonts w:hint="eastAsia"/>
        </w:rPr>
        <w:t>.1</w:t>
      </w:r>
      <w:bookmarkEnd w:id="54"/>
      <w:r>
        <w:rPr>
          <w:rFonts w:hint="eastAsia"/>
        </w:rPr>
        <w:t>预案的应急演练</w:t>
      </w:r>
      <w:bookmarkEnd w:id="55"/>
    </w:p>
    <w:p>
      <w:pPr>
        <w:ind w:firstLine="560"/>
      </w:pPr>
      <w:r>
        <w:rPr>
          <w:rFonts w:hint="eastAsia"/>
        </w:rPr>
        <w:t>7</w:t>
      </w:r>
      <w:r>
        <w:t>.1.1</w:t>
      </w:r>
      <w:r>
        <w:rPr>
          <w:rFonts w:hint="eastAsia"/>
        </w:rPr>
        <w:t>应急办公室按照办事处要求统筹街道应急演练工作，各专项应急指挥部和相关部门、有关单位负责本领域、本部门、本单位的应急演练工作。</w:t>
      </w:r>
    </w:p>
    <w:p>
      <w:pPr>
        <w:ind w:firstLine="560"/>
      </w:pPr>
      <w:r>
        <w:rPr>
          <w:rFonts w:hint="eastAsia"/>
        </w:rPr>
        <w:t>7</w:t>
      </w:r>
      <w:r>
        <w:t>.1.</w:t>
      </w:r>
      <w:r>
        <w:rPr>
          <w:rFonts w:hint="eastAsia"/>
        </w:rPr>
        <w:t>2专项应急预案每2年至少进行1次应急演练；上年度发生较大以上级别突发事件的，本年度至少进行1次同类型突发事件的应急演练。</w:t>
      </w:r>
    </w:p>
    <w:p>
      <w:pPr>
        <w:ind w:firstLine="560"/>
      </w:pPr>
      <w:r>
        <w:rPr>
          <w:rFonts w:hint="eastAsia"/>
        </w:rPr>
        <w:t>7</w:t>
      </w:r>
      <w:r>
        <w:t>.1.</w:t>
      </w:r>
      <w:r>
        <w:rPr>
          <w:rFonts w:hint="eastAsia"/>
        </w:rPr>
        <w:t>3基层组织和单位根据实际情况，开展针对性强的应急预案演练。</w:t>
      </w:r>
    </w:p>
    <w:p>
      <w:pPr>
        <w:ind w:firstLine="560"/>
      </w:pPr>
      <w:r>
        <w:rPr>
          <w:rFonts w:hint="eastAsia"/>
        </w:rPr>
        <w:t>7</w:t>
      </w:r>
      <w:r>
        <w:t>.1.</w:t>
      </w:r>
      <w:r>
        <w:rPr>
          <w:rFonts w:hint="eastAsia"/>
        </w:rPr>
        <w:t>4</w:t>
      </w:r>
      <w:r>
        <w:t>演练计划由专项应急预案的牵头部门负责编制，</w:t>
      </w:r>
      <w:r>
        <w:rPr>
          <w:rFonts w:hint="eastAsia"/>
        </w:rPr>
        <w:t>并</w:t>
      </w:r>
      <w:r>
        <w:t>组织实施。应急预案的演练计划、演练方案、演练脚本、总结评估报告</w:t>
      </w:r>
      <w:r>
        <w:rPr>
          <w:rFonts w:hint="eastAsia"/>
        </w:rPr>
        <w:t>、</w:t>
      </w:r>
      <w:r>
        <w:t>有关音像资料</w:t>
      </w:r>
      <w:r>
        <w:rPr>
          <w:rFonts w:hint="eastAsia"/>
        </w:rPr>
        <w:t>等资料</w:t>
      </w:r>
      <w:r>
        <w:t>要及时归档备查。</w:t>
      </w:r>
    </w:p>
    <w:p>
      <w:pPr>
        <w:pStyle w:val="3"/>
        <w:ind w:firstLine="301"/>
      </w:pPr>
      <w:bookmarkStart w:id="56" w:name="_Toc51575339"/>
      <w:r>
        <w:t>7</w:t>
      </w:r>
      <w:r>
        <w:rPr>
          <w:rFonts w:hint="eastAsia"/>
        </w:rPr>
        <w:t>.</w:t>
      </w:r>
      <w:r>
        <w:t>2</w:t>
      </w:r>
      <w:r>
        <w:rPr>
          <w:rFonts w:hint="eastAsia"/>
        </w:rPr>
        <w:t>预案的宣传教育</w:t>
      </w:r>
      <w:bookmarkEnd w:id="56"/>
    </w:p>
    <w:p>
      <w:pPr>
        <w:ind w:firstLine="560"/>
      </w:pPr>
      <w:r>
        <w:rPr>
          <w:rFonts w:hint="eastAsia"/>
        </w:rPr>
        <w:t>7</w:t>
      </w:r>
      <w:r>
        <w:t>.2.1</w:t>
      </w:r>
      <w:r>
        <w:rPr>
          <w:rFonts w:hint="eastAsia"/>
        </w:rPr>
        <w:t>街道办事处要充分利用各类信息发布平台，广泛宣传应急预案，使广大群众掌握避险知识和自救互救技能，深入普及应急法律法规，增强公众的防范意识和责任意识。</w:t>
      </w:r>
    </w:p>
    <w:p>
      <w:pPr>
        <w:ind w:firstLine="560"/>
      </w:pPr>
      <w:r>
        <w:rPr>
          <w:rFonts w:hint="eastAsia"/>
        </w:rPr>
        <w:t>7</w:t>
      </w:r>
      <w:r>
        <w:t>.2.2</w:t>
      </w:r>
      <w:r>
        <w:rPr>
          <w:rFonts w:hint="eastAsia"/>
        </w:rPr>
        <w:t>街道各有关部门、社区居委会、企事业单位组织本部门、本领域、本区域的人员进行应急预案和应急法律法规的宣传教育，同时进行防灾减灾有关的应急避险、自救互救等应急知识的宣传教育。</w:t>
      </w:r>
    </w:p>
    <w:p>
      <w:pPr>
        <w:pStyle w:val="3"/>
        <w:ind w:firstLine="301"/>
      </w:pPr>
      <w:bookmarkStart w:id="57" w:name="_Toc51575340"/>
      <w:r>
        <w:t>7</w:t>
      </w:r>
      <w:r>
        <w:rPr>
          <w:rFonts w:hint="eastAsia"/>
        </w:rPr>
        <w:t>.</w:t>
      </w:r>
      <w:r>
        <w:t>3</w:t>
      </w:r>
      <w:r>
        <w:rPr>
          <w:rFonts w:hint="eastAsia"/>
        </w:rPr>
        <w:t>预案的培训</w:t>
      </w:r>
      <w:bookmarkEnd w:id="57"/>
    </w:p>
    <w:p>
      <w:pPr>
        <w:ind w:firstLine="560"/>
      </w:pPr>
      <w:r>
        <w:rPr>
          <w:rFonts w:hint="eastAsia"/>
        </w:rPr>
        <w:t>新北街道办事处应定期开展面向各级领导干部、应急管理干部、基层干部等人员的应急知识培训，将突发事件的预防、应对、应急指挥、综合协调、法律法规等作为重要内容，增强安全意识、责任意识，提升应对突发事件的能力。</w:t>
      </w:r>
    </w:p>
    <w:p>
      <w:pPr>
        <w:ind w:firstLine="560"/>
        <w:sectPr>
          <w:pgSz w:w="11905" w:h="16840"/>
          <w:pgMar w:top="1418" w:right="1134" w:bottom="1247" w:left="1588" w:header="851" w:footer="850" w:gutter="0"/>
          <w:paperSrc w:first="7" w:other="7"/>
          <w:cols w:space="720" w:num="1"/>
          <w:docGrid w:linePitch="628" w:charSpace="0"/>
        </w:sectPr>
      </w:pPr>
    </w:p>
    <w:p>
      <w:pPr>
        <w:pStyle w:val="2"/>
        <w:ind w:firstLine="161"/>
      </w:pPr>
      <w:bookmarkStart w:id="58" w:name="_Toc51575341"/>
      <w:r>
        <w:t>8</w:t>
      </w:r>
      <w:r>
        <w:rPr>
          <w:rFonts w:hint="eastAsia"/>
        </w:rPr>
        <w:t>附则</w:t>
      </w:r>
      <w:bookmarkEnd w:id="58"/>
    </w:p>
    <w:p>
      <w:pPr>
        <w:pStyle w:val="3"/>
        <w:ind w:firstLine="301"/>
      </w:pPr>
      <w:bookmarkStart w:id="59" w:name="36"/>
      <w:bookmarkStart w:id="60" w:name="_Toc51575342"/>
      <w:r>
        <w:t>8</w:t>
      </w:r>
      <w:r>
        <w:rPr>
          <w:rFonts w:hint="eastAsia"/>
        </w:rPr>
        <w:t>.</w:t>
      </w:r>
      <w:bookmarkEnd w:id="59"/>
      <w:r>
        <w:t>1责任与奖惩</w:t>
      </w:r>
      <w:bookmarkEnd w:id="60"/>
    </w:p>
    <w:p>
      <w:pPr>
        <w:ind w:firstLine="560"/>
      </w:pPr>
      <w:r>
        <w:t>8.1.1突发事件应急处置工作实行行政领导负责制和责任追究制。</w:t>
      </w:r>
    </w:p>
    <w:p>
      <w:pPr>
        <w:ind w:firstLine="560"/>
      </w:pPr>
      <w:r>
        <w:t>8.1.2</w:t>
      </w:r>
      <w:r>
        <w:rPr>
          <w:rFonts w:hint="eastAsia"/>
        </w:rPr>
        <w:t>对在应急管理工作中成绩突出的单位和个人，按照有关规定依法予以表彰和奖励。有下列情形之一的，依据有关规定，对相关责任人员依法给予行政处分：未按规定制定、修订应急预案；未按应急预案规定履行职责，导致突发事件发生或危害扩大；不服从上级政府统一指挥；迟报、瞒报突发事件信息；未及时组织开展生产自救和善后工作；截留、挤占、挪用应急资金等。涉嫌犯罪的，移交司法机关依法追究刑事责任。</w:t>
      </w:r>
    </w:p>
    <w:p>
      <w:pPr>
        <w:pStyle w:val="3"/>
        <w:ind w:firstLine="301"/>
      </w:pPr>
      <w:bookmarkStart w:id="61" w:name="_Toc51575343"/>
      <w:r>
        <w:t>8</w:t>
      </w:r>
      <w:r>
        <w:rPr>
          <w:rFonts w:hint="eastAsia"/>
        </w:rPr>
        <w:t>.</w:t>
      </w:r>
      <w:r>
        <w:t>2</w:t>
      </w:r>
      <w:r>
        <w:rPr>
          <w:rFonts w:hint="eastAsia"/>
        </w:rPr>
        <w:t>预案管理</w:t>
      </w:r>
      <w:bookmarkEnd w:id="61"/>
    </w:p>
    <w:p>
      <w:pPr>
        <w:ind w:firstLine="560"/>
      </w:pPr>
      <w:r>
        <w:t>8.2.</w:t>
      </w:r>
      <w:r>
        <w:rPr>
          <w:rFonts w:hint="eastAsia"/>
        </w:rPr>
        <w:t>1本预案由天津滨海新区新北街道办事处组织制定，并报送区人民政府备案，抄送区应急管理局。</w:t>
      </w:r>
    </w:p>
    <w:p>
      <w:pPr>
        <w:ind w:firstLine="560"/>
      </w:pPr>
      <w:r>
        <w:t>8.2.</w:t>
      </w:r>
      <w:r>
        <w:rPr>
          <w:rFonts w:hint="eastAsia"/>
        </w:rPr>
        <w:t>2专项应急预案由牵头处置部门负责制定，报街道领导班子会议研究审议，以街道办事处名义印发，报区人民政府备案，抄送区应急管理部门。</w:t>
      </w:r>
    </w:p>
    <w:p>
      <w:pPr>
        <w:ind w:firstLine="560"/>
      </w:pPr>
      <w:r>
        <w:t>8.2.</w:t>
      </w:r>
      <w:r>
        <w:rPr>
          <w:rFonts w:hint="eastAsia"/>
        </w:rPr>
        <w:t>3基层组织和单位应急预案经主要负责人审定、签发，以组织或单位名义印发。居委会应急预案报新北街道办事处备案</w:t>
      </w:r>
      <w:r>
        <w:t>。</w:t>
      </w:r>
      <w:r>
        <w:rPr>
          <w:rFonts w:hint="eastAsia"/>
        </w:rPr>
        <w:t>重点企事业单位应急预案需报街道应急管理部门备案。</w:t>
      </w:r>
    </w:p>
    <w:p>
      <w:pPr>
        <w:ind w:firstLine="560"/>
      </w:pPr>
      <w:r>
        <w:t>8.2.4</w:t>
      </w:r>
      <w:r>
        <w:rPr>
          <w:rFonts w:hint="eastAsia"/>
        </w:rPr>
        <w:t>大型活动应急预案由承办单位以大型活动组委会名义报送区人民政府备案，抄送应急管理和公安部门。</w:t>
      </w:r>
    </w:p>
    <w:p>
      <w:pPr>
        <w:ind w:firstLine="560"/>
      </w:pPr>
      <w:r>
        <w:t>8.2.5</w:t>
      </w:r>
      <w:r>
        <w:rPr>
          <w:rFonts w:hint="eastAsia"/>
        </w:rPr>
        <w:t>各预案制定部门应结合应急演练及突发事件应急处置工作实际，及时修订完善应急预案。总体应急预案、专项应急预案原则上每</w:t>
      </w:r>
      <w:r>
        <w:t>3年修订一次，其他各类应急预案由牵头制定部门适时组织修订。</w:t>
      </w:r>
    </w:p>
    <w:p>
      <w:pPr>
        <w:ind w:firstLine="560"/>
      </w:pPr>
      <w:r>
        <w:t>8.2.6</w:t>
      </w:r>
      <w:r>
        <w:rPr>
          <w:rFonts w:hint="eastAsia"/>
        </w:rPr>
        <w:t>本预案自发布之日起实施。</w:t>
      </w:r>
    </w:p>
    <w:p>
      <w:pPr>
        <w:widowControl/>
        <w:wordWrap w:val="0"/>
        <w:spacing w:before="100" w:beforeAutospacing="1" w:after="100" w:afterAutospacing="1" w:line="432" w:lineRule="auto"/>
        <w:ind w:firstLine="402"/>
        <w:jc w:val="center"/>
        <w:rPr>
          <w:rFonts w:hint="eastAsia" w:ascii="̥_GB2312" w:hAnsi="̥_GB2312" w:eastAsia="宋体" w:cs="宋体"/>
          <w:b/>
          <w:bCs/>
          <w:smallCaps/>
          <w:color w:val="000000"/>
          <w:kern w:val="0"/>
          <w:sz w:val="20"/>
          <w:szCs w:val="20"/>
        </w:rPr>
        <w:sectPr>
          <w:pgSz w:w="11905" w:h="16840"/>
          <w:pgMar w:top="1418" w:right="1134" w:bottom="1247" w:left="1588" w:header="851" w:footer="850" w:gutter="0"/>
          <w:paperSrc w:first="7" w:other="7"/>
          <w:cols w:space="720" w:num="1"/>
          <w:docGrid w:linePitch="628" w:charSpace="0"/>
        </w:sectPr>
      </w:pPr>
    </w:p>
    <w:p>
      <w:pPr>
        <w:pStyle w:val="2"/>
        <w:ind w:firstLine="161"/>
      </w:pPr>
      <w:bookmarkStart w:id="62" w:name="_Toc51575344"/>
      <w:r>
        <w:t>9</w:t>
      </w:r>
      <w:r>
        <w:rPr>
          <w:rFonts w:hint="eastAsia"/>
        </w:rPr>
        <w:t>附件</w:t>
      </w:r>
      <w:bookmarkEnd w:id="62"/>
    </w:p>
    <w:p>
      <w:pPr>
        <w:ind w:firstLine="560"/>
      </w:pPr>
      <w:r>
        <w:rPr>
          <w:rFonts w:hint="eastAsia"/>
        </w:rPr>
        <w:t>附件</w:t>
      </w:r>
      <w:r>
        <w:t>1 区域概况与突发事件风险分析</w:t>
      </w:r>
    </w:p>
    <w:p>
      <w:pPr>
        <w:ind w:firstLine="560"/>
      </w:pPr>
      <w:r>
        <w:rPr>
          <w:rFonts w:hint="eastAsia"/>
        </w:rPr>
        <w:t>附件</w:t>
      </w:r>
      <w:r>
        <w:t>2 突发事件分级标准</w:t>
      </w:r>
    </w:p>
    <w:p>
      <w:pPr>
        <w:ind w:firstLine="560"/>
      </w:pPr>
      <w:r>
        <w:rPr>
          <w:rFonts w:hint="eastAsia"/>
        </w:rPr>
        <w:t>附件</w:t>
      </w:r>
      <w:r>
        <w:t>3 新北街突发事件专项应急预案目录</w:t>
      </w:r>
    </w:p>
    <w:p>
      <w:pPr>
        <w:ind w:firstLine="560"/>
      </w:pPr>
      <w:r>
        <w:rPr>
          <w:rFonts w:hint="eastAsia"/>
        </w:rPr>
        <w:t>附件4</w:t>
      </w:r>
      <w:r>
        <w:t xml:space="preserve"> 突发事件应急处置流程图</w:t>
      </w:r>
    </w:p>
    <w:p>
      <w:pPr>
        <w:ind w:firstLine="560"/>
      </w:pPr>
      <w:r>
        <w:rPr>
          <w:rFonts w:hint="eastAsia"/>
        </w:rPr>
        <w:t>附件5</w:t>
      </w:r>
      <w:r>
        <w:t xml:space="preserve"> 资源调集与援助联络表</w:t>
      </w:r>
    </w:p>
    <w:p>
      <w:pPr>
        <w:ind w:firstLine="560"/>
      </w:pPr>
      <w:r>
        <w:rPr>
          <w:rFonts w:hint="eastAsia"/>
        </w:rPr>
        <w:t>附件6</w:t>
      </w:r>
      <w:r>
        <w:t xml:space="preserve"> 医疗资源</w:t>
      </w:r>
    </w:p>
    <w:p>
      <w:pPr>
        <w:ind w:firstLine="560"/>
      </w:pPr>
      <w:r>
        <w:rPr>
          <w:rFonts w:hint="eastAsia"/>
        </w:rPr>
        <w:t>附件7</w:t>
      </w:r>
      <w:r>
        <w:t xml:space="preserve"> 应急避难场所</w:t>
      </w:r>
    </w:p>
    <w:p>
      <w:pPr>
        <w:ind w:firstLine="560"/>
      </w:pPr>
      <w:r>
        <w:rPr>
          <w:rFonts w:hint="eastAsia"/>
        </w:rPr>
        <w:t>附件8</w:t>
      </w:r>
      <w:r>
        <w:t xml:space="preserve"> 应急物资储备情况表</w:t>
      </w:r>
    </w:p>
    <w:p>
      <w:pPr>
        <w:ind w:firstLine="560"/>
      </w:pPr>
    </w:p>
    <w:p>
      <w:pPr>
        <w:ind w:firstLine="560"/>
      </w:pPr>
    </w:p>
    <w:p>
      <w:pPr>
        <w:ind w:firstLine="560"/>
        <w:sectPr>
          <w:pgSz w:w="11905" w:h="16840"/>
          <w:pgMar w:top="1418" w:right="1134" w:bottom="1247" w:left="1588" w:header="851" w:footer="850" w:gutter="0"/>
          <w:paperSrc w:first="7" w:other="7"/>
          <w:cols w:space="720" w:num="1"/>
          <w:docGrid w:linePitch="628" w:charSpace="0"/>
        </w:sectPr>
      </w:pPr>
    </w:p>
    <w:p>
      <w:pPr>
        <w:pStyle w:val="3"/>
        <w:ind w:firstLine="301"/>
      </w:pPr>
      <w:bookmarkStart w:id="63" w:name="_Toc51575345"/>
      <w:r>
        <w:rPr>
          <w:rFonts w:hint="eastAsia"/>
        </w:rPr>
        <w:t>附件1</w:t>
      </w:r>
      <w:r>
        <w:t xml:space="preserve"> 区域概况与突发事件风险分析</w:t>
      </w:r>
      <w:bookmarkEnd w:id="63"/>
    </w:p>
    <w:p>
      <w:pPr>
        <w:pStyle w:val="4"/>
        <w:ind w:firstLine="394"/>
      </w:pPr>
      <w:r>
        <w:t>1.1基本概况</w:t>
      </w:r>
    </w:p>
    <w:p>
      <w:pPr>
        <w:ind w:firstLine="560"/>
      </w:pPr>
      <w:r>
        <w:rPr>
          <w:rFonts w:hint="eastAsia"/>
        </w:rPr>
        <w:t>滨海新区新北街道行政区划东起京山铁路，西至新河干渠，南至京津塘高速延长线，北至北</w:t>
      </w:r>
      <w:r>
        <w:t>环铁路。毗邻天津经济技术开发区和</w:t>
      </w:r>
      <w:r>
        <w:rPr>
          <w:rFonts w:hint="eastAsia"/>
        </w:rPr>
        <w:t>天津滨海高新区，</w:t>
      </w:r>
      <w:r>
        <w:t>有明显的人力资源优势，构成了辖区特有的年轻化、生机化的人文环境。</w:t>
      </w:r>
    </w:p>
    <w:p>
      <w:pPr>
        <w:ind w:firstLine="560"/>
      </w:pPr>
      <w:r>
        <w:rPr>
          <w:rFonts w:hint="eastAsia"/>
        </w:rPr>
        <w:t>行政区划面积</w:t>
      </w:r>
      <w:r>
        <w:t>15.88km</w:t>
      </w:r>
      <w:r>
        <w:rPr>
          <w:vertAlign w:val="superscript"/>
        </w:rPr>
        <w:t>2</w:t>
      </w:r>
      <w:r>
        <w:t>，安全监管面积9.51km</w:t>
      </w:r>
      <w:r>
        <w:rPr>
          <w:vertAlign w:val="superscript"/>
        </w:rPr>
        <w:t>2</w:t>
      </w:r>
      <w:r>
        <w:t>，常住人口5万余人，流动人口10万余人。</w:t>
      </w:r>
    </w:p>
    <w:p>
      <w:pPr>
        <w:ind w:firstLine="560"/>
      </w:pPr>
      <w:r>
        <w:rPr>
          <w:rFonts w:hint="eastAsia"/>
        </w:rPr>
        <w:t>新北街道</w:t>
      </w:r>
      <w:r>
        <w:t>2010年7月成立，</w:t>
      </w:r>
      <w:r>
        <w:rPr>
          <w:rFonts w:hint="eastAsia"/>
        </w:rPr>
        <w:t>管理区域</w:t>
      </w:r>
      <w:r>
        <w:t>为原塘沽区工农村片区和开发区交界区，</w:t>
      </w:r>
      <w:r>
        <w:rPr>
          <w:rFonts w:hint="eastAsia"/>
        </w:rPr>
        <w:t>有36</w:t>
      </w:r>
      <w:r>
        <w:t>个自然小区，其中高层住宅小区为23个，占新北街总住宅区数量的</w:t>
      </w:r>
      <w:r>
        <w:rPr>
          <w:rFonts w:hint="eastAsia"/>
        </w:rPr>
        <w:t>63.9</w:t>
      </w:r>
      <w:r>
        <w:t>%。</w:t>
      </w:r>
    </w:p>
    <w:p>
      <w:pPr>
        <w:ind w:firstLine="560"/>
      </w:pPr>
      <w:r>
        <w:rPr>
          <w:rFonts w:hint="eastAsia"/>
        </w:rPr>
        <w:t>新北街道辖</w:t>
      </w:r>
      <w:r>
        <w:t>1</w:t>
      </w:r>
      <w:r>
        <w:rPr>
          <w:rFonts w:hint="eastAsia"/>
        </w:rPr>
        <w:t>3</w:t>
      </w:r>
      <w:r>
        <w:t>各社区</w:t>
      </w:r>
      <w:r>
        <w:rPr>
          <w:rFonts w:hint="eastAsia"/>
        </w:rPr>
        <w:t>和1个居委会筹备组</w:t>
      </w:r>
      <w:r>
        <w:t>，分别是：</w:t>
      </w:r>
      <w:r>
        <w:rPr>
          <w:rFonts w:hint="eastAsia"/>
        </w:rPr>
        <w:t>迎宾园</w:t>
      </w:r>
      <w:r>
        <w:t>社区、</w:t>
      </w:r>
      <w:r>
        <w:rPr>
          <w:rFonts w:hint="eastAsia"/>
        </w:rPr>
        <w:t>融盛</w:t>
      </w:r>
      <w:r>
        <w:t>社区、</w:t>
      </w:r>
      <w:r>
        <w:rPr>
          <w:rFonts w:hint="eastAsia"/>
        </w:rPr>
        <w:t>新新家园</w:t>
      </w:r>
      <w:r>
        <w:t>社区、</w:t>
      </w:r>
      <w:r>
        <w:rPr>
          <w:rFonts w:hint="eastAsia"/>
        </w:rPr>
        <w:t>贻成尚北</w:t>
      </w:r>
      <w:r>
        <w:t>社区、</w:t>
      </w:r>
      <w:r>
        <w:rPr>
          <w:rFonts w:hint="eastAsia"/>
        </w:rPr>
        <w:t>欧美小镇</w:t>
      </w:r>
      <w:r>
        <w:t>社区、</w:t>
      </w:r>
      <w:r>
        <w:rPr>
          <w:rFonts w:hint="eastAsia"/>
        </w:rPr>
        <w:t>贻正嘉合</w:t>
      </w:r>
      <w:r>
        <w:t>社区、</w:t>
      </w:r>
      <w:r>
        <w:rPr>
          <w:rFonts w:hint="eastAsia"/>
        </w:rPr>
        <w:t>贻锦台</w:t>
      </w:r>
      <w:r>
        <w:t>社区、</w:t>
      </w:r>
      <w:r>
        <w:rPr>
          <w:rFonts w:hint="eastAsia"/>
        </w:rPr>
        <w:t>蓝山国际</w:t>
      </w:r>
      <w:r>
        <w:t>社区、</w:t>
      </w:r>
      <w:r>
        <w:rPr>
          <w:rFonts w:hint="eastAsia"/>
        </w:rPr>
        <w:t>首创国际</w:t>
      </w:r>
      <w:r>
        <w:t>社区、</w:t>
      </w:r>
      <w:r>
        <w:rPr>
          <w:rFonts w:hint="eastAsia"/>
        </w:rPr>
        <w:t>晓镇家园</w:t>
      </w:r>
      <w:r>
        <w:t>社区、</w:t>
      </w:r>
      <w:r>
        <w:rPr>
          <w:rFonts w:hint="eastAsia"/>
        </w:rPr>
        <w:t>贻成豪庭</w:t>
      </w:r>
      <w:r>
        <w:t>社区、</w:t>
      </w:r>
      <w:r>
        <w:rPr>
          <w:rFonts w:hint="eastAsia"/>
        </w:rPr>
        <w:t>诺德名苑</w:t>
      </w:r>
      <w:r>
        <w:t>社区、</w:t>
      </w:r>
      <w:r>
        <w:rPr>
          <w:rFonts w:hint="eastAsia"/>
        </w:rPr>
        <w:t>贻成峰景</w:t>
      </w:r>
      <w:r>
        <w:t>社区</w:t>
      </w:r>
      <w:r>
        <w:rPr>
          <w:rFonts w:hint="eastAsia"/>
        </w:rPr>
        <w:t>，桃源居</w:t>
      </w:r>
      <w:r>
        <w:t>社区</w:t>
      </w:r>
      <w:r>
        <w:rPr>
          <w:rFonts w:hint="eastAsia"/>
        </w:rPr>
        <w:t>居委会筹备组</w:t>
      </w:r>
      <w:r>
        <w:t>。</w:t>
      </w:r>
    </w:p>
    <w:p>
      <w:pPr>
        <w:ind w:firstLine="560"/>
      </w:pPr>
      <w:r>
        <w:rPr>
          <w:rFonts w:hint="eastAsia"/>
        </w:rPr>
        <w:t>街道辖区企业众多、经济活跃；天津波音复合材料有限公司、中海油天津公司；</w:t>
      </w:r>
      <w:r>
        <w:t>区域内路网发达、交通便利；京山铁路、京津塘高速、河北路等众多交通要到贯穿辖区；滨海职业技术学院、塘沽第一职业中专，新区军事部、武警滨海支队等部队院校坐落在</w:t>
      </w:r>
      <w:r>
        <w:rPr>
          <w:rFonts w:hint="eastAsia"/>
        </w:rPr>
        <w:t>行政区域</w:t>
      </w:r>
      <w:r>
        <w:t>。</w:t>
      </w:r>
    </w:p>
    <w:p>
      <w:pPr>
        <w:pStyle w:val="4"/>
        <w:ind w:firstLine="394"/>
      </w:pPr>
      <w:r>
        <w:t>1.2</w:t>
      </w:r>
      <w:r>
        <w:rPr>
          <w:rFonts w:hint="eastAsia"/>
        </w:rPr>
        <w:t>自然条件</w:t>
      </w:r>
    </w:p>
    <w:p>
      <w:pPr>
        <w:pStyle w:val="5"/>
        <w:ind w:firstLine="562"/>
      </w:pPr>
      <w:r>
        <w:rPr>
          <w:rFonts w:hint="eastAsia"/>
        </w:rPr>
        <w:t>1</w:t>
      </w:r>
      <w:r>
        <w:t>.2.</w:t>
      </w:r>
      <w:r>
        <w:rPr>
          <w:rFonts w:hint="eastAsia"/>
        </w:rPr>
        <w:t>1</w:t>
      </w:r>
      <w:r>
        <w:t>气象条件</w:t>
      </w:r>
    </w:p>
    <w:p>
      <w:pPr>
        <w:ind w:firstLine="560"/>
        <w:rPr>
          <w:highlight w:val="yellow"/>
        </w:rPr>
      </w:pPr>
      <w:r>
        <w:rPr>
          <w:rFonts w:hint="eastAsia"/>
        </w:rPr>
        <w:t>滨海新区新北街属于大陆性季风气候，具有海洋性气候特点：冬季寒冷、少雪；春季干旱、多风；夏季气温高、湿度大、降水集中；秋季秋高气爽、风和日丽。全年平均气温</w:t>
      </w:r>
      <w:r>
        <w:t>12.3℃，高温极值40.9℃，低温极值零下18.3℃。降水随季节变化显著，冬、春季少，夏季集中。全年大风日数较多，8级以上大风日数57天。</w:t>
      </w:r>
    </w:p>
    <w:p>
      <w:pPr>
        <w:pStyle w:val="5"/>
        <w:ind w:firstLine="562"/>
      </w:pPr>
      <w:r>
        <w:rPr>
          <w:rFonts w:hint="eastAsia"/>
        </w:rPr>
        <w:t>1</w:t>
      </w:r>
      <w:r>
        <w:t>.2.</w:t>
      </w:r>
      <w:r>
        <w:rPr>
          <w:rFonts w:hint="eastAsia"/>
        </w:rPr>
        <w:t>2</w:t>
      </w:r>
      <w:r>
        <w:t>地质和水文条件</w:t>
      </w:r>
    </w:p>
    <w:p>
      <w:pPr>
        <w:ind w:firstLine="560"/>
        <w:rPr>
          <w:highlight w:val="yellow"/>
        </w:rPr>
      </w:pPr>
      <w:r>
        <w:rPr>
          <w:rFonts w:hint="eastAsia"/>
        </w:rPr>
        <w:t>滨海新区区域构造处在华北地台的二级构造单元——华北断坳中，位于其三级构造单元—黄骅坳陷的北部，自北东至南西分别涉及宁河凸北塘凹陷、板桥凹陷和歧口凹陷</w:t>
      </w:r>
      <w:r>
        <w:t>四个4级构造单元，接近近黄骅坳陷的沉降中心。</w:t>
      </w:r>
    </w:p>
    <w:p>
      <w:pPr>
        <w:pStyle w:val="5"/>
        <w:ind w:firstLine="562"/>
      </w:pPr>
      <w:r>
        <w:rPr>
          <w:rFonts w:hint="eastAsia"/>
        </w:rPr>
        <w:t>1</w:t>
      </w:r>
      <w:r>
        <w:t>.2</w:t>
      </w:r>
      <w:r>
        <w:rPr>
          <w:rFonts w:hint="eastAsia"/>
        </w:rPr>
        <w:t>.3</w:t>
      </w:r>
      <w:r>
        <w:t>地震烈度</w:t>
      </w:r>
    </w:p>
    <w:p>
      <w:pPr>
        <w:ind w:firstLine="560"/>
      </w:pPr>
      <w:r>
        <w:rPr>
          <w:rFonts w:hint="eastAsia"/>
        </w:rPr>
        <w:t>依据《中国地震动参数区划图》（</w:t>
      </w:r>
      <w:r>
        <w:t>GB18306-2015）滨海新区</w:t>
      </w:r>
      <w:r>
        <w:rPr>
          <w:rFonts w:hint="eastAsia"/>
        </w:rPr>
        <w:t>新北</w:t>
      </w:r>
      <w:r>
        <w:t>街道抗震设防烈度</w:t>
      </w:r>
      <w:r>
        <w:rPr>
          <w:rFonts w:hint="eastAsia"/>
        </w:rPr>
        <w:t>为</w:t>
      </w:r>
      <w:r>
        <w:t>8度，设计基本地震加速度为0.20g。</w:t>
      </w:r>
    </w:p>
    <w:p>
      <w:pPr>
        <w:pStyle w:val="4"/>
        <w:ind w:firstLine="394"/>
      </w:pPr>
      <w:r>
        <w:t>1.3</w:t>
      </w:r>
      <w:r>
        <w:rPr>
          <w:rFonts w:hint="eastAsia"/>
        </w:rPr>
        <w:t>新北街道产业发展结构</w:t>
      </w:r>
    </w:p>
    <w:p>
      <w:pPr>
        <w:pStyle w:val="5"/>
        <w:ind w:firstLine="562"/>
      </w:pPr>
      <w:r>
        <w:t>1.3</w:t>
      </w:r>
      <w:r>
        <w:rPr>
          <w:rFonts w:hint="eastAsia"/>
        </w:rPr>
        <w:t>.1功能分区及产业发展规划</w:t>
      </w:r>
    </w:p>
    <w:p>
      <w:pPr>
        <w:ind w:firstLine="560"/>
      </w:pPr>
      <w:r>
        <w:rPr>
          <w:rFonts w:hint="eastAsia"/>
        </w:rPr>
        <w:t>现阶段，新北街道主要承载滨海新区的居住社区功能，附以其它居住设施，安全监管区涉及危险化学品除</w:t>
      </w:r>
      <w:r>
        <w:t>3座加油站外，无危险化学品生产、经营、储存企业，无危险化学品运输、管道运输等设施，街道</w:t>
      </w:r>
      <w:r>
        <w:rPr>
          <w:rFonts w:hint="eastAsia"/>
        </w:rPr>
        <w:t>经营单位、场所</w:t>
      </w:r>
      <w:r>
        <w:t>主要以人员密集场所和九小场所为主。</w:t>
      </w:r>
    </w:p>
    <w:p>
      <w:pPr>
        <w:ind w:firstLine="560"/>
        <w:rPr>
          <w:highlight w:val="yellow"/>
        </w:rPr>
      </w:pPr>
      <w:r>
        <w:rPr>
          <w:rFonts w:hint="eastAsia"/>
        </w:rPr>
        <w:t>新北街道未来发展规划为生态宜居国际港口新城区，产业重点为商业商贸、</w:t>
      </w:r>
      <w:r>
        <w:t>科技与信息服务。</w:t>
      </w:r>
    </w:p>
    <w:p>
      <w:pPr>
        <w:pStyle w:val="5"/>
        <w:ind w:firstLine="562"/>
      </w:pPr>
      <w:r>
        <w:t>1.3</w:t>
      </w:r>
      <w:r>
        <w:rPr>
          <w:rFonts w:hint="eastAsia"/>
        </w:rPr>
        <w:t>.</w:t>
      </w:r>
      <w:r>
        <w:t>2</w:t>
      </w:r>
      <w:r>
        <w:rPr>
          <w:rFonts w:hint="eastAsia"/>
        </w:rPr>
        <w:t>重点行业分布</w:t>
      </w:r>
    </w:p>
    <w:p>
      <w:pPr>
        <w:ind w:firstLine="560"/>
      </w:pPr>
      <w:r>
        <w:rPr>
          <w:rFonts w:hint="eastAsia"/>
        </w:rPr>
        <w:t>新北街道以居住社区为主，以公共附属设施和商业、商贸为辅。街道区域内基本不涉及危险化</w:t>
      </w:r>
      <w:r>
        <w:t>学品行业生产、储存，危险化学品经营仅涉及关系民生的3座加油站，未涉及道路运输危险化学品，重点行业仅涉及以人员密集场所为主的教育、商业商贸、餐饮住宿和建筑施工工地</w:t>
      </w:r>
      <w:r>
        <w:rPr>
          <w:rFonts w:hint="eastAsia"/>
        </w:rPr>
        <w:t>。截止到201</w:t>
      </w:r>
      <w:r>
        <w:t>9</w:t>
      </w:r>
      <w:r>
        <w:rPr>
          <w:rFonts w:hint="eastAsia"/>
        </w:rPr>
        <w:t>年底，新北街区域内重点行业领域分布情况如下。</w:t>
      </w:r>
    </w:p>
    <w:p>
      <w:pPr>
        <w:ind w:firstLine="560"/>
      </w:pPr>
      <w:r>
        <w:rPr>
          <w:rFonts w:hint="eastAsia"/>
        </w:rPr>
        <w:t>（1）危险化学品行业</w:t>
      </w:r>
    </w:p>
    <w:p>
      <w:pPr>
        <w:ind w:firstLine="560"/>
      </w:pPr>
      <w:r>
        <w:rPr>
          <w:rFonts w:hint="eastAsia"/>
        </w:rPr>
        <w:t>新北街道为生态宜居的大型国际港口新城区，街道区域内涉及的危险化学品行业为服务保障民生的</w:t>
      </w:r>
      <w:r>
        <w:t>3座加油站。</w:t>
      </w:r>
    </w:p>
    <w:p>
      <w:pPr>
        <w:ind w:firstLine="560"/>
      </w:pPr>
      <w:r>
        <w:rPr>
          <w:rFonts w:hint="eastAsia"/>
        </w:rPr>
        <w:t>（2）高层建筑</w:t>
      </w:r>
    </w:p>
    <w:p>
      <w:pPr>
        <w:ind w:firstLine="560"/>
      </w:pPr>
      <w:r>
        <w:rPr>
          <w:rFonts w:hint="eastAsia"/>
        </w:rPr>
        <w:t>新北街道主要以生态居住社区为主，高层居住建筑居多，高层建筑共计</w:t>
      </w:r>
      <w:r>
        <w:t>328座，主要高层居住建筑为主，遍布于街道的各个</w:t>
      </w:r>
      <w:r>
        <w:rPr>
          <w:rFonts w:hint="eastAsia"/>
        </w:rPr>
        <w:t>社区；高层公共建筑仅有</w:t>
      </w:r>
      <w:r>
        <w:t>2座。</w:t>
      </w:r>
    </w:p>
    <w:p>
      <w:pPr>
        <w:ind w:firstLine="560"/>
      </w:pPr>
      <w:r>
        <w:rPr>
          <w:rFonts w:hint="eastAsia"/>
        </w:rPr>
        <w:t>（3）教育领域</w:t>
      </w:r>
    </w:p>
    <w:p>
      <w:pPr>
        <w:ind w:firstLine="560"/>
      </w:pPr>
      <w:r>
        <w:rPr>
          <w:rFonts w:hint="eastAsia"/>
        </w:rPr>
        <w:t>截止</w:t>
      </w:r>
      <w:r>
        <w:t>2019年底，新北街道共有学校11所，其中，高职院校1所、中专1所、</w:t>
      </w:r>
      <w:r>
        <w:rPr>
          <w:rFonts w:hint="eastAsia"/>
        </w:rPr>
        <w:t>九年一贯制学校</w:t>
      </w:r>
      <w:r>
        <w:t>2所、小学3所和民办幼儿园6所，在校教职工、学生达到约1.57万人。</w:t>
      </w:r>
    </w:p>
    <w:p>
      <w:pPr>
        <w:ind w:firstLine="560"/>
      </w:pPr>
      <w:r>
        <w:rPr>
          <w:rFonts w:hint="eastAsia"/>
        </w:rPr>
        <w:t>（4）商业商贸领域</w:t>
      </w:r>
    </w:p>
    <w:p>
      <w:pPr>
        <w:ind w:firstLine="560"/>
      </w:pPr>
      <w:r>
        <w:rPr>
          <w:rFonts w:hint="eastAsia"/>
        </w:rPr>
        <w:t>新北街道内规模以上的商业商贸行业</w:t>
      </w:r>
      <w:r>
        <w:t>25家，以市场、商场为主，</w:t>
      </w:r>
      <w:r>
        <w:rPr>
          <w:rFonts w:hint="eastAsia"/>
        </w:rPr>
        <w:t>其中建筑面</w:t>
      </w:r>
      <w:r>
        <w:t>200m</w:t>
      </w:r>
      <w:r>
        <w:rPr>
          <w:vertAlign w:val="superscript"/>
        </w:rPr>
        <w:t>2</w:t>
      </w:r>
      <w:r>
        <w:t>以上超市16家、菜市场5处，汽配城2处，</w:t>
      </w:r>
      <w:r>
        <w:rPr>
          <w:rFonts w:hint="eastAsia"/>
        </w:rPr>
        <w:t>及其加工企业1家</w:t>
      </w:r>
      <w:r>
        <w:t>，主要集中分布在的欧美小镇社区、贻成豪庭社区、贻正嘉合社区。</w:t>
      </w:r>
    </w:p>
    <w:p>
      <w:pPr>
        <w:ind w:firstLine="560"/>
      </w:pPr>
      <w:r>
        <w:rPr>
          <w:rFonts w:hint="eastAsia"/>
        </w:rPr>
        <w:t>（5）住宿、餐饮领域</w:t>
      </w:r>
    </w:p>
    <w:p>
      <w:pPr>
        <w:ind w:firstLine="560"/>
      </w:pPr>
      <w:r>
        <w:rPr>
          <w:rFonts w:hint="eastAsia"/>
        </w:rPr>
        <w:t>街道建筑面积</w:t>
      </w:r>
      <w:r>
        <w:t>200m</w:t>
      </w:r>
      <w:r>
        <w:rPr>
          <w:vertAlign w:val="superscript"/>
        </w:rPr>
        <w:t>2</w:t>
      </w:r>
      <w:r>
        <w:t>以上的</w:t>
      </w:r>
      <w:r>
        <w:rPr>
          <w:rFonts w:hint="eastAsia"/>
        </w:rPr>
        <w:t>宾馆酒店、饭店</w:t>
      </w:r>
      <w:r>
        <w:t>33家，其中住宿31家，餐饮2家，其余</w:t>
      </w:r>
      <w:r>
        <w:rPr>
          <w:rFonts w:hint="eastAsia"/>
        </w:rPr>
        <w:t>场所</w:t>
      </w:r>
      <w:r>
        <w:t>为建筑面积200m</w:t>
      </w:r>
      <w:r>
        <w:rPr>
          <w:vertAlign w:val="superscript"/>
        </w:rPr>
        <w:t>2</w:t>
      </w:r>
      <w:r>
        <w:t>以下的</w:t>
      </w:r>
      <w:r>
        <w:rPr>
          <w:rFonts w:hint="eastAsia"/>
        </w:rPr>
        <w:t>九小场所。</w:t>
      </w:r>
    </w:p>
    <w:p>
      <w:pPr>
        <w:ind w:firstLine="560"/>
      </w:pPr>
      <w:r>
        <w:rPr>
          <w:rFonts w:hint="eastAsia"/>
        </w:rPr>
        <w:t>（</w:t>
      </w:r>
      <w:r>
        <w:t>6</w:t>
      </w:r>
      <w:r>
        <w:rPr>
          <w:rFonts w:hint="eastAsia"/>
        </w:rPr>
        <w:t>）</w:t>
      </w:r>
      <w:r>
        <w:t>文化、体育和娱乐场所</w:t>
      </w:r>
    </w:p>
    <w:p>
      <w:pPr>
        <w:ind w:firstLine="560"/>
      </w:pPr>
      <w:r>
        <w:rPr>
          <w:rFonts w:hint="eastAsia"/>
        </w:rPr>
        <w:t>新北街道文化、体育和娱乐场所</w:t>
      </w:r>
      <w:r>
        <w:t>22处，其中，体育场馆4</w:t>
      </w:r>
      <w:r>
        <w:rPr>
          <w:rFonts w:hint="eastAsia"/>
        </w:rPr>
        <w:t>处（含健身场所），歌舞娱乐场所</w:t>
      </w:r>
      <w:r>
        <w:t>10处，网吧4家。</w:t>
      </w:r>
    </w:p>
    <w:p>
      <w:pPr>
        <w:ind w:firstLine="560"/>
      </w:pPr>
      <w:r>
        <w:rPr>
          <w:rFonts w:hint="eastAsia"/>
        </w:rPr>
        <w:t>（</w:t>
      </w:r>
      <w:r>
        <w:t>7</w:t>
      </w:r>
      <w:r>
        <w:rPr>
          <w:rFonts w:hint="eastAsia"/>
        </w:rPr>
        <w:t>）医疗卫生和社会工作领域</w:t>
      </w:r>
    </w:p>
    <w:p>
      <w:pPr>
        <w:ind w:firstLine="560"/>
      </w:pPr>
      <w:r>
        <w:rPr>
          <w:rFonts w:hint="eastAsia"/>
        </w:rPr>
        <w:t>新北街道医疗卫生和社会工作领域相对较少，区域内除社区医疗门诊外，专科医院</w:t>
      </w:r>
      <w:r>
        <w:t>3所，老年人养护院1所</w:t>
      </w:r>
      <w:r>
        <w:rPr>
          <w:rFonts w:hint="eastAsia"/>
        </w:rPr>
        <w:t>。</w:t>
      </w:r>
    </w:p>
    <w:p>
      <w:pPr>
        <w:ind w:firstLine="560"/>
      </w:pPr>
      <w:r>
        <w:t>(8)工程建筑施工</w:t>
      </w:r>
    </w:p>
    <w:p>
      <w:pPr>
        <w:ind w:firstLine="560"/>
      </w:pPr>
      <w:r>
        <w:t>新北街在建工程3处，施工面积3万m</w:t>
      </w:r>
      <w:r>
        <w:rPr>
          <w:vertAlign w:val="superscript"/>
        </w:rPr>
        <w:t>2</w:t>
      </w:r>
      <w:r>
        <w:t>，涉及建筑工程重大危险源主要有模板支护，脚手架</w:t>
      </w:r>
      <w:r>
        <w:rPr>
          <w:rFonts w:hint="eastAsia"/>
        </w:rPr>
        <w:t>、高空坠落、</w:t>
      </w:r>
      <w:r>
        <w:t>起重吊装</w:t>
      </w:r>
      <w:r>
        <w:rPr>
          <w:rFonts w:hint="eastAsia"/>
        </w:rPr>
        <w:t>等</w:t>
      </w:r>
      <w:r>
        <w:t>。</w:t>
      </w:r>
    </w:p>
    <w:p>
      <w:pPr>
        <w:pStyle w:val="87"/>
      </w:pPr>
      <w:bookmarkStart w:id="64" w:name="表2-1____新北街道辖区行业、场所汇总表"/>
      <w:bookmarkEnd w:id="64"/>
    </w:p>
    <w:p>
      <w:pPr>
        <w:pStyle w:val="87"/>
      </w:pPr>
    </w:p>
    <w:p>
      <w:pPr>
        <w:pStyle w:val="87"/>
      </w:pPr>
      <w:r>
        <w:t>表</w:t>
      </w:r>
      <w:r>
        <w:rPr>
          <w:rFonts w:hint="eastAsia"/>
        </w:rPr>
        <w:t>2-</w:t>
      </w:r>
      <w:r>
        <w:t xml:space="preserve">1 新北街道行业、场所汇总表 </w:t>
      </w:r>
    </w:p>
    <w:tbl>
      <w:tblPr>
        <w:tblStyle w:val="20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3620"/>
        <w:gridCol w:w="2841"/>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exact"/>
        </w:trPr>
        <w:tc>
          <w:tcPr>
            <w:tcW w:w="543" w:type="pct"/>
            <w:vAlign w:val="center"/>
          </w:tcPr>
          <w:p>
            <w:pPr>
              <w:pStyle w:val="89"/>
              <w:jc w:val="center"/>
              <w:rPr>
                <w:lang w:eastAsia="en-US"/>
              </w:rPr>
            </w:pPr>
            <w:r>
              <w:rPr>
                <w:rFonts w:hint="eastAsia"/>
                <w:lang w:eastAsia="en-US"/>
              </w:rPr>
              <w:t>序号</w:t>
            </w:r>
          </w:p>
        </w:tc>
        <w:tc>
          <w:tcPr>
            <w:tcW w:w="1969" w:type="pct"/>
            <w:vAlign w:val="center"/>
          </w:tcPr>
          <w:p>
            <w:pPr>
              <w:pStyle w:val="89"/>
              <w:jc w:val="center"/>
              <w:rPr>
                <w:lang w:eastAsia="en-US"/>
              </w:rPr>
            </w:pPr>
            <w:r>
              <w:rPr>
                <w:rFonts w:hint="eastAsia"/>
                <w:lang w:eastAsia="en-US"/>
              </w:rPr>
              <w:t>行业类</w:t>
            </w:r>
            <w:r>
              <w:rPr>
                <w:rFonts w:hint="eastAsia"/>
                <w:spacing w:val="-3"/>
                <w:lang w:eastAsia="en-US"/>
              </w:rPr>
              <w:t>别</w:t>
            </w:r>
          </w:p>
        </w:tc>
        <w:tc>
          <w:tcPr>
            <w:tcW w:w="1545" w:type="pct"/>
            <w:vAlign w:val="center"/>
          </w:tcPr>
          <w:p>
            <w:pPr>
              <w:pStyle w:val="89"/>
              <w:jc w:val="center"/>
              <w:rPr>
                <w:lang w:eastAsia="en-US"/>
              </w:rPr>
            </w:pPr>
            <w:r>
              <w:rPr>
                <w:rFonts w:hint="eastAsia"/>
                <w:lang w:eastAsia="en-US"/>
              </w:rPr>
              <w:t>涉及风险</w:t>
            </w:r>
            <w:r>
              <w:rPr>
                <w:rFonts w:hint="eastAsia"/>
                <w:spacing w:val="-3"/>
                <w:lang w:eastAsia="en-US"/>
              </w:rPr>
              <w:t>源</w:t>
            </w:r>
          </w:p>
        </w:tc>
        <w:tc>
          <w:tcPr>
            <w:tcW w:w="943" w:type="pct"/>
            <w:vAlign w:val="center"/>
          </w:tcPr>
          <w:p>
            <w:pPr>
              <w:pStyle w:val="89"/>
              <w:jc w:val="center"/>
              <w:rPr>
                <w:lang w:eastAsia="en-US"/>
              </w:rPr>
            </w:pPr>
            <w:r>
              <w:rPr>
                <w:rFonts w:hint="eastAsia"/>
                <w:lang w:eastAsia="en-U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43" w:type="pct"/>
            <w:vAlign w:val="center"/>
          </w:tcPr>
          <w:p>
            <w:pPr>
              <w:pStyle w:val="89"/>
              <w:jc w:val="center"/>
              <w:rPr>
                <w:rFonts w:hAnsi="Times New Roman"/>
                <w:lang w:eastAsia="en-US"/>
              </w:rPr>
            </w:pPr>
            <w:r>
              <w:rPr>
                <w:rFonts w:hint="eastAsia" w:hAnsi="Times New Roman"/>
                <w:lang w:eastAsia="en-US"/>
              </w:rPr>
              <w:t>1</w:t>
            </w:r>
          </w:p>
        </w:tc>
        <w:tc>
          <w:tcPr>
            <w:tcW w:w="1969" w:type="pct"/>
            <w:vAlign w:val="center"/>
          </w:tcPr>
          <w:p>
            <w:pPr>
              <w:pStyle w:val="89"/>
              <w:jc w:val="center"/>
              <w:rPr>
                <w:lang w:eastAsia="en-US"/>
              </w:rPr>
            </w:pPr>
            <w:r>
              <w:rPr>
                <w:rFonts w:hint="eastAsia"/>
                <w:lang w:eastAsia="en-US"/>
              </w:rPr>
              <w:t>危险</w:t>
            </w:r>
            <w:r>
              <w:rPr>
                <w:rFonts w:hint="eastAsia"/>
                <w:spacing w:val="-3"/>
                <w:lang w:eastAsia="en-US"/>
              </w:rPr>
              <w:t>化</w:t>
            </w:r>
            <w:r>
              <w:rPr>
                <w:rFonts w:hint="eastAsia"/>
                <w:lang w:eastAsia="en-US"/>
              </w:rPr>
              <w:t>学</w:t>
            </w:r>
            <w:r>
              <w:rPr>
                <w:rFonts w:hint="eastAsia"/>
                <w:spacing w:val="-3"/>
                <w:lang w:eastAsia="en-US"/>
              </w:rPr>
              <w:t>品</w:t>
            </w:r>
            <w:r>
              <w:rPr>
                <w:rFonts w:hint="eastAsia"/>
                <w:lang w:eastAsia="en-US"/>
              </w:rPr>
              <w:t>领</w:t>
            </w:r>
            <w:r>
              <w:rPr>
                <w:rFonts w:hint="eastAsia"/>
                <w:spacing w:val="-3"/>
                <w:lang w:eastAsia="en-US"/>
              </w:rPr>
              <w:t>域</w:t>
            </w:r>
          </w:p>
        </w:tc>
        <w:tc>
          <w:tcPr>
            <w:tcW w:w="1545" w:type="pct"/>
            <w:vAlign w:val="center"/>
          </w:tcPr>
          <w:p>
            <w:pPr>
              <w:pStyle w:val="89"/>
              <w:jc w:val="center"/>
              <w:rPr>
                <w:lang w:eastAsia="en-US"/>
              </w:rPr>
            </w:pPr>
            <w:r>
              <w:rPr>
                <w:rFonts w:hint="eastAsia"/>
                <w:lang w:eastAsia="en-US"/>
              </w:rPr>
              <w:t>加油</w:t>
            </w:r>
            <w:r>
              <w:rPr>
                <w:rFonts w:hint="eastAsia"/>
                <w:spacing w:val="-3"/>
                <w:lang w:eastAsia="en-US"/>
              </w:rPr>
              <w:t>站</w:t>
            </w:r>
          </w:p>
        </w:tc>
        <w:tc>
          <w:tcPr>
            <w:tcW w:w="943" w:type="pct"/>
            <w:vAlign w:val="center"/>
          </w:tcPr>
          <w:p>
            <w:pPr>
              <w:pStyle w:val="89"/>
              <w:jc w:val="center"/>
              <w:rPr>
                <w:rFonts w:hAnsi="Times New Roman"/>
                <w:lang w:eastAsia="en-US"/>
              </w:rPr>
            </w:pPr>
            <w:r>
              <w:rPr>
                <w:rFonts w:hint="eastAsia" w:hAnsi="Times New Roman"/>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43" w:type="pct"/>
            <w:vAlign w:val="center"/>
          </w:tcPr>
          <w:p>
            <w:pPr>
              <w:pStyle w:val="89"/>
              <w:jc w:val="center"/>
              <w:rPr>
                <w:rFonts w:hAnsi="Times New Roman"/>
                <w:lang w:eastAsia="en-US"/>
              </w:rPr>
            </w:pPr>
            <w:r>
              <w:rPr>
                <w:rFonts w:hint="eastAsia" w:hAnsi="Times New Roman"/>
                <w:lang w:eastAsia="en-US"/>
              </w:rPr>
              <w:t>2</w:t>
            </w:r>
          </w:p>
        </w:tc>
        <w:tc>
          <w:tcPr>
            <w:tcW w:w="1969" w:type="pct"/>
            <w:vAlign w:val="center"/>
          </w:tcPr>
          <w:p>
            <w:pPr>
              <w:pStyle w:val="89"/>
              <w:jc w:val="center"/>
              <w:rPr>
                <w:lang w:eastAsia="en-US"/>
              </w:rPr>
            </w:pPr>
            <w:r>
              <w:rPr>
                <w:rFonts w:hint="eastAsia"/>
                <w:lang w:eastAsia="en-US"/>
              </w:rPr>
              <w:t>工贸</w:t>
            </w:r>
            <w:r>
              <w:rPr>
                <w:rFonts w:hint="eastAsia"/>
                <w:spacing w:val="-3"/>
                <w:lang w:eastAsia="en-US"/>
              </w:rPr>
              <w:t>领域</w:t>
            </w:r>
          </w:p>
        </w:tc>
        <w:tc>
          <w:tcPr>
            <w:tcW w:w="1545" w:type="pct"/>
            <w:vAlign w:val="center"/>
          </w:tcPr>
          <w:p>
            <w:pPr>
              <w:pStyle w:val="89"/>
              <w:jc w:val="center"/>
              <w:rPr>
                <w:lang w:eastAsia="en-US"/>
              </w:rPr>
            </w:pPr>
            <w:r>
              <w:rPr>
                <w:rFonts w:hint="eastAsia"/>
                <w:lang w:eastAsia="en-US"/>
              </w:rPr>
              <w:t>一般</w:t>
            </w:r>
            <w:r>
              <w:rPr>
                <w:rFonts w:hint="eastAsia"/>
                <w:spacing w:val="-3"/>
                <w:lang w:eastAsia="en-US"/>
              </w:rPr>
              <w:t>工贸</w:t>
            </w:r>
          </w:p>
        </w:tc>
        <w:tc>
          <w:tcPr>
            <w:tcW w:w="943" w:type="pct"/>
            <w:vAlign w:val="center"/>
          </w:tcPr>
          <w:p>
            <w:pPr>
              <w:pStyle w:val="89"/>
              <w:jc w:val="center"/>
              <w:rPr>
                <w:rFonts w:hAnsi="Times New Roman"/>
                <w:lang w:eastAsia="en-US"/>
              </w:rPr>
            </w:pPr>
            <w:r>
              <w:rPr>
                <w:rFonts w:hint="eastAsia" w:hAnsi="Times New Roman"/>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43" w:type="pct"/>
            <w:vAlign w:val="center"/>
          </w:tcPr>
          <w:p>
            <w:pPr>
              <w:pStyle w:val="89"/>
              <w:jc w:val="center"/>
              <w:rPr>
                <w:rFonts w:hAnsi="Times New Roman"/>
                <w:lang w:eastAsia="en-US"/>
              </w:rPr>
            </w:pPr>
            <w:r>
              <w:rPr>
                <w:rFonts w:hint="eastAsia" w:hAnsi="Times New Roman"/>
                <w:lang w:eastAsia="en-US"/>
              </w:rPr>
              <w:t>3</w:t>
            </w:r>
          </w:p>
        </w:tc>
        <w:tc>
          <w:tcPr>
            <w:tcW w:w="1969" w:type="pct"/>
            <w:vMerge w:val="restart"/>
            <w:vAlign w:val="center"/>
          </w:tcPr>
          <w:p>
            <w:pPr>
              <w:pStyle w:val="89"/>
              <w:jc w:val="center"/>
              <w:rPr>
                <w:lang w:eastAsia="en-US"/>
              </w:rPr>
            </w:pPr>
            <w:r>
              <w:rPr>
                <w:rFonts w:hint="eastAsia"/>
                <w:lang w:eastAsia="en-US"/>
              </w:rPr>
              <w:t>居住</w:t>
            </w:r>
            <w:r>
              <w:rPr>
                <w:rFonts w:hint="eastAsia"/>
                <w:spacing w:val="-3"/>
                <w:lang w:eastAsia="en-US"/>
              </w:rPr>
              <w:t>类</w:t>
            </w:r>
            <w:r>
              <w:rPr>
                <w:rFonts w:hint="eastAsia"/>
                <w:lang w:eastAsia="en-US"/>
              </w:rPr>
              <w:t>建</w:t>
            </w:r>
            <w:r>
              <w:rPr>
                <w:rFonts w:hint="eastAsia"/>
                <w:spacing w:val="-3"/>
                <w:lang w:eastAsia="en-US"/>
              </w:rPr>
              <w:t>筑</w:t>
            </w:r>
          </w:p>
        </w:tc>
        <w:tc>
          <w:tcPr>
            <w:tcW w:w="1545" w:type="pct"/>
            <w:vAlign w:val="center"/>
          </w:tcPr>
          <w:p>
            <w:pPr>
              <w:pStyle w:val="89"/>
              <w:jc w:val="center"/>
              <w:rPr>
                <w:lang w:eastAsia="en-US"/>
              </w:rPr>
            </w:pPr>
            <w:r>
              <w:rPr>
                <w:rFonts w:hint="eastAsia"/>
                <w:lang w:eastAsia="en-US"/>
              </w:rPr>
              <w:t>高层</w:t>
            </w:r>
            <w:r>
              <w:rPr>
                <w:rFonts w:hint="eastAsia"/>
                <w:spacing w:val="-3"/>
                <w:lang w:eastAsia="en-US"/>
              </w:rPr>
              <w:t>公</w:t>
            </w:r>
            <w:r>
              <w:rPr>
                <w:rFonts w:hint="eastAsia"/>
                <w:lang w:eastAsia="en-US"/>
              </w:rPr>
              <w:t>共</w:t>
            </w:r>
            <w:r>
              <w:rPr>
                <w:rFonts w:hint="eastAsia"/>
                <w:spacing w:val="-3"/>
                <w:lang w:eastAsia="en-US"/>
              </w:rPr>
              <w:t>建筑</w:t>
            </w:r>
          </w:p>
        </w:tc>
        <w:tc>
          <w:tcPr>
            <w:tcW w:w="943" w:type="pct"/>
            <w:vAlign w:val="center"/>
          </w:tcPr>
          <w:p>
            <w:pPr>
              <w:pStyle w:val="89"/>
              <w:jc w:val="center"/>
              <w:rPr>
                <w:rFonts w:hAnsi="Times New Roman"/>
                <w:lang w:eastAsia="en-US"/>
              </w:rPr>
            </w:pPr>
            <w:r>
              <w:rPr>
                <w:rFonts w:hint="eastAsia" w:hAnsi="Times New Roman"/>
                <w:lang w:eastAsia="en-US"/>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43" w:type="pct"/>
            <w:vAlign w:val="center"/>
          </w:tcPr>
          <w:p>
            <w:pPr>
              <w:pStyle w:val="89"/>
              <w:jc w:val="center"/>
              <w:rPr>
                <w:rFonts w:hAnsi="Times New Roman"/>
                <w:lang w:eastAsia="en-US"/>
              </w:rPr>
            </w:pPr>
            <w:r>
              <w:rPr>
                <w:rFonts w:hint="eastAsia" w:hAnsi="Times New Roman"/>
                <w:lang w:eastAsia="en-US"/>
              </w:rPr>
              <w:t>4</w:t>
            </w:r>
          </w:p>
        </w:tc>
        <w:tc>
          <w:tcPr>
            <w:tcW w:w="1969" w:type="pct"/>
            <w:vMerge w:val="continue"/>
            <w:vAlign w:val="center"/>
          </w:tcPr>
          <w:p>
            <w:pPr>
              <w:pStyle w:val="89"/>
              <w:jc w:val="center"/>
              <w:rPr>
                <w:lang w:eastAsia="en-US"/>
              </w:rPr>
            </w:pPr>
          </w:p>
        </w:tc>
        <w:tc>
          <w:tcPr>
            <w:tcW w:w="1545" w:type="pct"/>
            <w:vAlign w:val="center"/>
          </w:tcPr>
          <w:p>
            <w:pPr>
              <w:pStyle w:val="89"/>
              <w:jc w:val="center"/>
              <w:rPr>
                <w:lang w:eastAsia="en-US"/>
              </w:rPr>
            </w:pPr>
            <w:r>
              <w:rPr>
                <w:rFonts w:hint="eastAsia"/>
                <w:lang w:eastAsia="en-US"/>
              </w:rPr>
              <w:t>棚户</w:t>
            </w:r>
            <w:r>
              <w:rPr>
                <w:rFonts w:hint="eastAsia"/>
                <w:spacing w:val="-3"/>
                <w:lang w:eastAsia="en-US"/>
              </w:rPr>
              <w:t>区</w:t>
            </w:r>
            <w:r>
              <w:rPr>
                <w:rFonts w:hint="eastAsia"/>
                <w:lang w:eastAsia="en-US"/>
              </w:rPr>
              <w:t>、</w:t>
            </w:r>
            <w:r>
              <w:rPr>
                <w:rFonts w:hint="eastAsia"/>
                <w:spacing w:val="-3"/>
                <w:lang w:eastAsia="en-US"/>
              </w:rPr>
              <w:t>危楼</w:t>
            </w:r>
          </w:p>
        </w:tc>
        <w:tc>
          <w:tcPr>
            <w:tcW w:w="943" w:type="pct"/>
            <w:vAlign w:val="center"/>
          </w:tcPr>
          <w:p>
            <w:pPr>
              <w:pStyle w:val="89"/>
              <w:jc w:val="center"/>
              <w:rPr>
                <w:rFonts w:hAnsi="Times New Roman"/>
                <w:lang w:eastAsia="en-US"/>
              </w:rPr>
            </w:pPr>
            <w:r>
              <w:rPr>
                <w:rFonts w:hint="eastAsia" w:hAnsi="Times New Roman"/>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43" w:type="pct"/>
            <w:vAlign w:val="center"/>
          </w:tcPr>
          <w:p>
            <w:pPr>
              <w:pStyle w:val="89"/>
              <w:jc w:val="center"/>
              <w:rPr>
                <w:rFonts w:hAnsi="Times New Roman"/>
                <w:lang w:eastAsia="en-US"/>
              </w:rPr>
            </w:pPr>
            <w:r>
              <w:rPr>
                <w:rFonts w:hint="eastAsia" w:hAnsi="Times New Roman"/>
                <w:lang w:eastAsia="en-US"/>
              </w:rPr>
              <w:t>5</w:t>
            </w:r>
          </w:p>
        </w:tc>
        <w:tc>
          <w:tcPr>
            <w:tcW w:w="1969" w:type="pct"/>
            <w:vAlign w:val="center"/>
          </w:tcPr>
          <w:p>
            <w:pPr>
              <w:pStyle w:val="89"/>
              <w:jc w:val="center"/>
              <w:rPr>
                <w:lang w:eastAsia="en-US"/>
              </w:rPr>
            </w:pPr>
            <w:r>
              <w:rPr>
                <w:rFonts w:hint="eastAsia"/>
                <w:lang w:eastAsia="en-US"/>
              </w:rPr>
              <w:t>商贸</w:t>
            </w:r>
            <w:r>
              <w:rPr>
                <w:rFonts w:hint="eastAsia"/>
                <w:spacing w:val="-3"/>
                <w:lang w:eastAsia="en-US"/>
              </w:rPr>
              <w:t>领域</w:t>
            </w:r>
          </w:p>
        </w:tc>
        <w:tc>
          <w:tcPr>
            <w:tcW w:w="1545" w:type="pct"/>
            <w:vAlign w:val="center"/>
          </w:tcPr>
          <w:p>
            <w:pPr>
              <w:pStyle w:val="89"/>
              <w:jc w:val="center"/>
              <w:rPr>
                <w:lang w:eastAsia="en-US"/>
              </w:rPr>
            </w:pPr>
            <w:r>
              <w:rPr>
                <w:rFonts w:hint="eastAsia"/>
                <w:lang w:eastAsia="en-US"/>
              </w:rPr>
              <w:t>市场</w:t>
            </w:r>
            <w:r>
              <w:rPr>
                <w:rFonts w:hint="eastAsia"/>
                <w:spacing w:val="-3"/>
                <w:lang w:eastAsia="en-US"/>
              </w:rPr>
              <w:t>、</w:t>
            </w:r>
            <w:r>
              <w:rPr>
                <w:rFonts w:hint="eastAsia"/>
                <w:lang w:eastAsia="en-US"/>
              </w:rPr>
              <w:t>商</w:t>
            </w:r>
            <w:r>
              <w:rPr>
                <w:rFonts w:hint="eastAsia"/>
                <w:spacing w:val="-3"/>
                <w:lang w:eastAsia="en-US"/>
              </w:rPr>
              <w:t>场</w:t>
            </w:r>
          </w:p>
        </w:tc>
        <w:tc>
          <w:tcPr>
            <w:tcW w:w="943" w:type="pct"/>
            <w:vAlign w:val="center"/>
          </w:tcPr>
          <w:p>
            <w:pPr>
              <w:pStyle w:val="89"/>
              <w:jc w:val="center"/>
              <w:rPr>
                <w:rFonts w:hAnsi="Times New Roman"/>
                <w:lang w:eastAsia="en-US"/>
              </w:rPr>
            </w:pPr>
            <w:r>
              <w:rPr>
                <w:rFonts w:hint="eastAsia" w:hAnsi="Times New Roman"/>
                <w:lang w:eastAsia="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rPr>
        <w:tc>
          <w:tcPr>
            <w:tcW w:w="543" w:type="pct"/>
            <w:vAlign w:val="center"/>
          </w:tcPr>
          <w:p>
            <w:pPr>
              <w:pStyle w:val="89"/>
              <w:jc w:val="center"/>
              <w:rPr>
                <w:rFonts w:hAnsi="Times New Roman"/>
                <w:lang w:eastAsia="en-US"/>
              </w:rPr>
            </w:pPr>
            <w:r>
              <w:rPr>
                <w:rFonts w:hint="eastAsia" w:hAnsi="Times New Roman"/>
                <w:lang w:eastAsia="en-US"/>
              </w:rPr>
              <w:t>6</w:t>
            </w:r>
          </w:p>
        </w:tc>
        <w:tc>
          <w:tcPr>
            <w:tcW w:w="1969" w:type="pct"/>
            <w:vMerge w:val="restart"/>
            <w:vAlign w:val="center"/>
          </w:tcPr>
          <w:p>
            <w:pPr>
              <w:pStyle w:val="89"/>
              <w:jc w:val="center"/>
              <w:rPr>
                <w:lang w:eastAsia="en-US"/>
              </w:rPr>
            </w:pPr>
            <w:r>
              <w:rPr>
                <w:rFonts w:hint="eastAsia"/>
                <w:lang w:eastAsia="en-US"/>
              </w:rPr>
              <w:t>教育</w:t>
            </w:r>
            <w:r>
              <w:rPr>
                <w:rFonts w:hint="eastAsia"/>
                <w:spacing w:val="-3"/>
                <w:lang w:eastAsia="en-US"/>
              </w:rPr>
              <w:t>领域</w:t>
            </w:r>
          </w:p>
        </w:tc>
        <w:tc>
          <w:tcPr>
            <w:tcW w:w="1545" w:type="pct"/>
            <w:vAlign w:val="center"/>
          </w:tcPr>
          <w:p>
            <w:pPr>
              <w:pStyle w:val="89"/>
              <w:jc w:val="center"/>
              <w:rPr>
                <w:lang w:eastAsia="en-US"/>
              </w:rPr>
            </w:pPr>
            <w:r>
              <w:rPr>
                <w:rFonts w:hint="eastAsia"/>
                <w:lang w:eastAsia="en-US"/>
              </w:rPr>
              <w:t>大中</w:t>
            </w:r>
            <w:r>
              <w:rPr>
                <w:rFonts w:hint="eastAsia"/>
                <w:spacing w:val="-3"/>
                <w:lang w:eastAsia="en-US"/>
              </w:rPr>
              <w:t>专</w:t>
            </w:r>
            <w:r>
              <w:rPr>
                <w:rFonts w:hint="eastAsia"/>
                <w:lang w:eastAsia="en-US"/>
              </w:rPr>
              <w:t>院</w:t>
            </w:r>
            <w:r>
              <w:rPr>
                <w:rFonts w:hint="eastAsia"/>
                <w:spacing w:val="-3"/>
                <w:lang w:eastAsia="en-US"/>
              </w:rPr>
              <w:t>校</w:t>
            </w:r>
          </w:p>
        </w:tc>
        <w:tc>
          <w:tcPr>
            <w:tcW w:w="943" w:type="pct"/>
            <w:vAlign w:val="center"/>
          </w:tcPr>
          <w:p>
            <w:pPr>
              <w:pStyle w:val="89"/>
              <w:jc w:val="center"/>
              <w:rPr>
                <w:rFonts w:hAnsi="Times New Roman"/>
                <w:lang w:eastAsia="en-US"/>
              </w:rPr>
            </w:pPr>
            <w:r>
              <w:rPr>
                <w:rFonts w:hint="eastAsia" w:hAnsi="Times New Roman"/>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43" w:type="pct"/>
            <w:vAlign w:val="center"/>
          </w:tcPr>
          <w:p>
            <w:pPr>
              <w:pStyle w:val="89"/>
              <w:jc w:val="center"/>
              <w:rPr>
                <w:rFonts w:hAnsi="Times New Roman"/>
                <w:lang w:eastAsia="en-US"/>
              </w:rPr>
            </w:pPr>
            <w:r>
              <w:rPr>
                <w:rFonts w:hint="eastAsia" w:hAnsi="Times New Roman"/>
                <w:lang w:eastAsia="en-US"/>
              </w:rPr>
              <w:t>7</w:t>
            </w:r>
          </w:p>
        </w:tc>
        <w:tc>
          <w:tcPr>
            <w:tcW w:w="1969" w:type="pct"/>
            <w:vMerge w:val="continue"/>
            <w:vAlign w:val="center"/>
          </w:tcPr>
          <w:p>
            <w:pPr>
              <w:pStyle w:val="89"/>
              <w:jc w:val="center"/>
              <w:rPr>
                <w:lang w:eastAsia="en-US"/>
              </w:rPr>
            </w:pPr>
          </w:p>
        </w:tc>
        <w:tc>
          <w:tcPr>
            <w:tcW w:w="1545" w:type="pct"/>
            <w:vAlign w:val="center"/>
          </w:tcPr>
          <w:p>
            <w:pPr>
              <w:pStyle w:val="89"/>
              <w:jc w:val="center"/>
              <w:rPr>
                <w:lang w:eastAsia="en-US"/>
              </w:rPr>
            </w:pPr>
            <w:r>
              <w:rPr>
                <w:rFonts w:hint="eastAsia"/>
                <w:lang w:eastAsia="en-US"/>
              </w:rPr>
              <w:t>中小</w:t>
            </w:r>
            <w:r>
              <w:rPr>
                <w:rFonts w:hint="eastAsia"/>
                <w:spacing w:val="-3"/>
                <w:lang w:eastAsia="en-US"/>
              </w:rPr>
              <w:t>学</w:t>
            </w:r>
          </w:p>
        </w:tc>
        <w:tc>
          <w:tcPr>
            <w:tcW w:w="943" w:type="pct"/>
            <w:vAlign w:val="center"/>
          </w:tcPr>
          <w:p>
            <w:pPr>
              <w:pStyle w:val="89"/>
              <w:jc w:val="center"/>
              <w:rPr>
                <w:rFonts w:hAnsi="Times New Roman"/>
                <w:lang w:eastAsia="en-US"/>
              </w:rPr>
            </w:pPr>
            <w:r>
              <w:rPr>
                <w:rFonts w:hint="eastAsia" w:hAnsi="Times New Roman"/>
                <w:lang w:eastAsia="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43" w:type="pct"/>
            <w:vAlign w:val="center"/>
          </w:tcPr>
          <w:p>
            <w:pPr>
              <w:pStyle w:val="89"/>
              <w:jc w:val="center"/>
              <w:rPr>
                <w:rFonts w:hAnsi="Times New Roman"/>
                <w:lang w:eastAsia="en-US"/>
              </w:rPr>
            </w:pPr>
            <w:r>
              <w:rPr>
                <w:rFonts w:hint="eastAsia" w:hAnsi="Times New Roman"/>
                <w:lang w:eastAsia="en-US"/>
              </w:rPr>
              <w:t>8</w:t>
            </w:r>
          </w:p>
        </w:tc>
        <w:tc>
          <w:tcPr>
            <w:tcW w:w="1969" w:type="pct"/>
            <w:vMerge w:val="continue"/>
            <w:vAlign w:val="center"/>
          </w:tcPr>
          <w:p>
            <w:pPr>
              <w:pStyle w:val="89"/>
              <w:jc w:val="center"/>
              <w:rPr>
                <w:lang w:eastAsia="en-US"/>
              </w:rPr>
            </w:pPr>
          </w:p>
        </w:tc>
        <w:tc>
          <w:tcPr>
            <w:tcW w:w="1545" w:type="pct"/>
            <w:vAlign w:val="center"/>
          </w:tcPr>
          <w:p>
            <w:pPr>
              <w:pStyle w:val="89"/>
              <w:jc w:val="center"/>
              <w:rPr>
                <w:lang w:eastAsia="en-US"/>
              </w:rPr>
            </w:pPr>
            <w:r>
              <w:rPr>
                <w:rFonts w:hint="eastAsia"/>
                <w:lang w:eastAsia="en-US"/>
              </w:rPr>
              <w:t>幼儿</w:t>
            </w:r>
            <w:r>
              <w:rPr>
                <w:rFonts w:hint="eastAsia"/>
                <w:spacing w:val="-3"/>
                <w:lang w:eastAsia="en-US"/>
              </w:rPr>
              <w:t>园</w:t>
            </w:r>
          </w:p>
        </w:tc>
        <w:tc>
          <w:tcPr>
            <w:tcW w:w="943" w:type="pct"/>
            <w:vAlign w:val="center"/>
          </w:tcPr>
          <w:p>
            <w:pPr>
              <w:pStyle w:val="89"/>
              <w:jc w:val="center"/>
              <w:rPr>
                <w:rFonts w:hAnsi="Times New Roman"/>
                <w:lang w:eastAsia="en-US"/>
              </w:rPr>
            </w:pPr>
            <w:r>
              <w:rPr>
                <w:rFonts w:hint="eastAsia" w:hAnsi="Times New Roman"/>
                <w:lang w:eastAsia="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43" w:type="pct"/>
            <w:vAlign w:val="center"/>
          </w:tcPr>
          <w:p>
            <w:pPr>
              <w:pStyle w:val="89"/>
              <w:jc w:val="center"/>
              <w:rPr>
                <w:rFonts w:hAnsi="Times New Roman"/>
                <w:lang w:eastAsia="en-US"/>
              </w:rPr>
            </w:pPr>
            <w:r>
              <w:rPr>
                <w:rFonts w:hint="eastAsia" w:hAnsi="Times New Roman"/>
                <w:lang w:eastAsia="en-US"/>
              </w:rPr>
              <w:t>9</w:t>
            </w:r>
          </w:p>
        </w:tc>
        <w:tc>
          <w:tcPr>
            <w:tcW w:w="1969" w:type="pct"/>
            <w:vMerge w:val="restart"/>
            <w:vAlign w:val="center"/>
          </w:tcPr>
          <w:p>
            <w:pPr>
              <w:pStyle w:val="89"/>
              <w:jc w:val="center"/>
              <w:rPr>
                <w:lang w:eastAsia="en-US"/>
              </w:rPr>
            </w:pPr>
            <w:r>
              <w:rPr>
                <w:rFonts w:hint="eastAsia"/>
                <w:lang w:eastAsia="en-US"/>
              </w:rPr>
              <w:t>住宿、餐饮领域</w:t>
            </w:r>
          </w:p>
        </w:tc>
        <w:tc>
          <w:tcPr>
            <w:tcW w:w="1545" w:type="pct"/>
            <w:vAlign w:val="center"/>
          </w:tcPr>
          <w:p>
            <w:pPr>
              <w:pStyle w:val="89"/>
              <w:jc w:val="center"/>
              <w:rPr>
                <w:lang w:eastAsia="en-US"/>
              </w:rPr>
            </w:pPr>
            <w:r>
              <w:rPr>
                <w:rFonts w:hint="eastAsia"/>
                <w:lang w:eastAsia="en-US"/>
              </w:rPr>
              <w:t>宾馆、酒店</w:t>
            </w:r>
          </w:p>
        </w:tc>
        <w:tc>
          <w:tcPr>
            <w:tcW w:w="943" w:type="pct"/>
            <w:vAlign w:val="center"/>
          </w:tcPr>
          <w:p>
            <w:pPr>
              <w:pStyle w:val="89"/>
              <w:jc w:val="center"/>
              <w:rPr>
                <w:lang w:eastAsia="en-US"/>
              </w:rPr>
            </w:pPr>
            <w:r>
              <w:rPr>
                <w:rFonts w:hint="eastAsia"/>
                <w:lang w:eastAsia="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43" w:type="pct"/>
            <w:vAlign w:val="center"/>
          </w:tcPr>
          <w:p>
            <w:pPr>
              <w:pStyle w:val="89"/>
              <w:jc w:val="center"/>
              <w:rPr>
                <w:rFonts w:hAnsi="Times New Roman"/>
                <w:lang w:eastAsia="en-US"/>
              </w:rPr>
            </w:pPr>
            <w:r>
              <w:rPr>
                <w:rFonts w:hint="eastAsia" w:hAnsi="Times New Roman"/>
                <w:lang w:eastAsia="en-US"/>
              </w:rPr>
              <w:t>10</w:t>
            </w:r>
          </w:p>
        </w:tc>
        <w:tc>
          <w:tcPr>
            <w:tcW w:w="1969" w:type="pct"/>
            <w:vMerge w:val="continue"/>
            <w:vAlign w:val="center"/>
          </w:tcPr>
          <w:p>
            <w:pPr>
              <w:pStyle w:val="89"/>
              <w:jc w:val="center"/>
              <w:rPr>
                <w:lang w:eastAsia="en-US"/>
              </w:rPr>
            </w:pPr>
          </w:p>
        </w:tc>
        <w:tc>
          <w:tcPr>
            <w:tcW w:w="1545" w:type="pct"/>
            <w:vAlign w:val="center"/>
          </w:tcPr>
          <w:p>
            <w:pPr>
              <w:pStyle w:val="89"/>
              <w:jc w:val="center"/>
              <w:rPr>
                <w:lang w:eastAsia="en-US"/>
              </w:rPr>
            </w:pPr>
            <w:r>
              <w:rPr>
                <w:rFonts w:hint="eastAsia"/>
                <w:lang w:eastAsia="en-US"/>
              </w:rPr>
              <w:t>饭店</w:t>
            </w:r>
          </w:p>
        </w:tc>
        <w:tc>
          <w:tcPr>
            <w:tcW w:w="943" w:type="pct"/>
            <w:vAlign w:val="center"/>
          </w:tcPr>
          <w:p>
            <w:pPr>
              <w:pStyle w:val="89"/>
              <w:jc w:val="center"/>
              <w:rPr>
                <w:lang w:eastAsia="en-US"/>
              </w:rPr>
            </w:pPr>
            <w:r>
              <w:rPr>
                <w:rFonts w:hint="eastAsia"/>
                <w:lang w:eastAsia="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43" w:type="pct"/>
            <w:vAlign w:val="center"/>
          </w:tcPr>
          <w:p>
            <w:pPr>
              <w:pStyle w:val="89"/>
              <w:jc w:val="center"/>
              <w:rPr>
                <w:rFonts w:hAnsi="Times New Roman"/>
                <w:lang w:eastAsia="en-US"/>
              </w:rPr>
            </w:pPr>
            <w:r>
              <w:rPr>
                <w:rFonts w:hint="eastAsia" w:hAnsi="Times New Roman"/>
                <w:lang w:eastAsia="en-US"/>
              </w:rPr>
              <w:t>11</w:t>
            </w:r>
          </w:p>
        </w:tc>
        <w:tc>
          <w:tcPr>
            <w:tcW w:w="1969" w:type="pct"/>
            <w:vMerge w:val="restart"/>
            <w:vAlign w:val="center"/>
          </w:tcPr>
          <w:p>
            <w:pPr>
              <w:pStyle w:val="89"/>
              <w:jc w:val="center"/>
              <w:rPr>
                <w:lang w:eastAsia="zh-CN"/>
              </w:rPr>
            </w:pPr>
            <w:r>
              <w:rPr>
                <w:rFonts w:hint="eastAsia"/>
                <w:lang w:eastAsia="zh-CN"/>
              </w:rPr>
              <w:t>文化、体育和娱乐领域</w:t>
            </w:r>
          </w:p>
        </w:tc>
        <w:tc>
          <w:tcPr>
            <w:tcW w:w="1545" w:type="pct"/>
            <w:vAlign w:val="center"/>
          </w:tcPr>
          <w:p>
            <w:pPr>
              <w:pStyle w:val="89"/>
              <w:jc w:val="center"/>
              <w:rPr>
                <w:lang w:eastAsia="en-US"/>
              </w:rPr>
            </w:pPr>
            <w:r>
              <w:rPr>
                <w:rFonts w:hint="eastAsia"/>
                <w:lang w:eastAsia="en-US"/>
              </w:rPr>
              <w:t>场馆</w:t>
            </w:r>
          </w:p>
        </w:tc>
        <w:tc>
          <w:tcPr>
            <w:tcW w:w="943" w:type="pct"/>
            <w:vAlign w:val="center"/>
          </w:tcPr>
          <w:p>
            <w:pPr>
              <w:pStyle w:val="89"/>
              <w:jc w:val="center"/>
              <w:rPr>
                <w:lang w:eastAsia="en-US"/>
              </w:rPr>
            </w:pPr>
            <w:r>
              <w:rPr>
                <w:rFonts w:hint="eastAsia"/>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43" w:type="pct"/>
            <w:vAlign w:val="center"/>
          </w:tcPr>
          <w:p>
            <w:pPr>
              <w:pStyle w:val="89"/>
              <w:jc w:val="center"/>
              <w:rPr>
                <w:rFonts w:hAnsi="Times New Roman"/>
                <w:lang w:eastAsia="en-US"/>
              </w:rPr>
            </w:pPr>
            <w:r>
              <w:rPr>
                <w:rFonts w:hint="eastAsia" w:hAnsi="Times New Roman"/>
                <w:lang w:eastAsia="en-US"/>
              </w:rPr>
              <w:t>12</w:t>
            </w:r>
          </w:p>
        </w:tc>
        <w:tc>
          <w:tcPr>
            <w:tcW w:w="1969" w:type="pct"/>
            <w:vMerge w:val="continue"/>
            <w:vAlign w:val="center"/>
          </w:tcPr>
          <w:p>
            <w:pPr>
              <w:pStyle w:val="89"/>
              <w:jc w:val="center"/>
              <w:rPr>
                <w:lang w:eastAsia="en-US"/>
              </w:rPr>
            </w:pPr>
          </w:p>
        </w:tc>
        <w:tc>
          <w:tcPr>
            <w:tcW w:w="1545" w:type="pct"/>
            <w:vAlign w:val="center"/>
          </w:tcPr>
          <w:p>
            <w:pPr>
              <w:pStyle w:val="89"/>
              <w:jc w:val="center"/>
              <w:rPr>
                <w:lang w:eastAsia="en-US"/>
              </w:rPr>
            </w:pPr>
            <w:r>
              <w:rPr>
                <w:rFonts w:hint="eastAsia"/>
                <w:lang w:eastAsia="en-US"/>
              </w:rPr>
              <w:t>歌舞娱乐场所</w:t>
            </w:r>
          </w:p>
        </w:tc>
        <w:tc>
          <w:tcPr>
            <w:tcW w:w="943" w:type="pct"/>
            <w:vAlign w:val="center"/>
          </w:tcPr>
          <w:p>
            <w:pPr>
              <w:pStyle w:val="89"/>
              <w:jc w:val="center"/>
              <w:rPr>
                <w:lang w:eastAsia="en-US"/>
              </w:rPr>
            </w:pPr>
            <w:r>
              <w:rPr>
                <w:rFonts w:hint="eastAsia"/>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43" w:type="pct"/>
            <w:vAlign w:val="center"/>
          </w:tcPr>
          <w:p>
            <w:pPr>
              <w:pStyle w:val="89"/>
              <w:jc w:val="center"/>
              <w:rPr>
                <w:rFonts w:hAnsi="Times New Roman"/>
                <w:lang w:eastAsia="en-US"/>
              </w:rPr>
            </w:pPr>
            <w:r>
              <w:rPr>
                <w:rFonts w:hint="eastAsia" w:hAnsi="Times New Roman"/>
                <w:lang w:eastAsia="en-US"/>
              </w:rPr>
              <w:t>13</w:t>
            </w:r>
          </w:p>
        </w:tc>
        <w:tc>
          <w:tcPr>
            <w:tcW w:w="1969" w:type="pct"/>
            <w:vMerge w:val="continue"/>
            <w:vAlign w:val="center"/>
          </w:tcPr>
          <w:p>
            <w:pPr>
              <w:pStyle w:val="89"/>
              <w:jc w:val="center"/>
              <w:rPr>
                <w:lang w:eastAsia="en-US"/>
              </w:rPr>
            </w:pPr>
          </w:p>
        </w:tc>
        <w:tc>
          <w:tcPr>
            <w:tcW w:w="1545" w:type="pct"/>
            <w:vAlign w:val="center"/>
          </w:tcPr>
          <w:p>
            <w:pPr>
              <w:pStyle w:val="89"/>
              <w:jc w:val="center"/>
              <w:rPr>
                <w:lang w:eastAsia="en-US"/>
              </w:rPr>
            </w:pPr>
            <w:r>
              <w:rPr>
                <w:rFonts w:hint="eastAsia"/>
                <w:lang w:eastAsia="en-US"/>
              </w:rPr>
              <w:t>网吧</w:t>
            </w:r>
          </w:p>
        </w:tc>
        <w:tc>
          <w:tcPr>
            <w:tcW w:w="943" w:type="pct"/>
            <w:vAlign w:val="center"/>
          </w:tcPr>
          <w:p>
            <w:pPr>
              <w:pStyle w:val="89"/>
              <w:jc w:val="center"/>
              <w:rPr>
                <w:lang w:eastAsia="en-US"/>
              </w:rPr>
            </w:pPr>
            <w:r>
              <w:rPr>
                <w:rFonts w:hint="eastAsia"/>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43" w:type="pct"/>
            <w:vAlign w:val="center"/>
          </w:tcPr>
          <w:p>
            <w:pPr>
              <w:pStyle w:val="89"/>
              <w:jc w:val="center"/>
              <w:rPr>
                <w:rFonts w:hAnsi="Times New Roman"/>
                <w:lang w:eastAsia="en-US"/>
              </w:rPr>
            </w:pPr>
            <w:r>
              <w:rPr>
                <w:rFonts w:hint="eastAsia" w:hAnsi="Times New Roman"/>
                <w:lang w:eastAsia="en-US"/>
              </w:rPr>
              <w:t>14</w:t>
            </w:r>
          </w:p>
        </w:tc>
        <w:tc>
          <w:tcPr>
            <w:tcW w:w="1969" w:type="pct"/>
            <w:vMerge w:val="restart"/>
            <w:vAlign w:val="center"/>
          </w:tcPr>
          <w:p>
            <w:pPr>
              <w:pStyle w:val="89"/>
              <w:jc w:val="center"/>
              <w:rPr>
                <w:lang w:eastAsia="zh-CN"/>
              </w:rPr>
            </w:pPr>
            <w:r>
              <w:rPr>
                <w:rFonts w:hint="eastAsia"/>
                <w:lang w:eastAsia="zh-CN"/>
              </w:rPr>
              <w:t>医疗卫生和社会工作领域</w:t>
            </w:r>
          </w:p>
        </w:tc>
        <w:tc>
          <w:tcPr>
            <w:tcW w:w="1545" w:type="pct"/>
            <w:vAlign w:val="center"/>
          </w:tcPr>
          <w:p>
            <w:pPr>
              <w:pStyle w:val="89"/>
              <w:jc w:val="center"/>
              <w:rPr>
                <w:lang w:eastAsia="en-US"/>
              </w:rPr>
            </w:pPr>
            <w:r>
              <w:rPr>
                <w:rFonts w:hint="eastAsia"/>
                <w:lang w:eastAsia="en-US"/>
              </w:rPr>
              <w:t>社区医疗门诊</w:t>
            </w:r>
          </w:p>
        </w:tc>
        <w:tc>
          <w:tcPr>
            <w:tcW w:w="943" w:type="pct"/>
            <w:vAlign w:val="center"/>
          </w:tcPr>
          <w:p>
            <w:pPr>
              <w:pStyle w:val="89"/>
              <w:jc w:val="center"/>
              <w:rPr>
                <w:lang w:eastAsia="en-US"/>
              </w:rPr>
            </w:pPr>
            <w:r>
              <w:rPr>
                <w:rFonts w:hint="eastAsia"/>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43" w:type="pct"/>
            <w:vAlign w:val="center"/>
          </w:tcPr>
          <w:p>
            <w:pPr>
              <w:pStyle w:val="89"/>
              <w:jc w:val="center"/>
              <w:rPr>
                <w:rFonts w:hAnsi="Times New Roman"/>
                <w:lang w:eastAsia="en-US"/>
              </w:rPr>
            </w:pPr>
            <w:r>
              <w:rPr>
                <w:rFonts w:hint="eastAsia" w:hAnsi="Times New Roman"/>
                <w:lang w:eastAsia="en-US"/>
              </w:rPr>
              <w:t>15</w:t>
            </w:r>
          </w:p>
        </w:tc>
        <w:tc>
          <w:tcPr>
            <w:tcW w:w="1969" w:type="pct"/>
            <w:vMerge w:val="continue"/>
            <w:vAlign w:val="center"/>
          </w:tcPr>
          <w:p>
            <w:pPr>
              <w:pStyle w:val="89"/>
              <w:jc w:val="center"/>
              <w:rPr>
                <w:lang w:eastAsia="en-US"/>
              </w:rPr>
            </w:pPr>
          </w:p>
        </w:tc>
        <w:tc>
          <w:tcPr>
            <w:tcW w:w="1545" w:type="pct"/>
            <w:vAlign w:val="center"/>
          </w:tcPr>
          <w:p>
            <w:pPr>
              <w:pStyle w:val="89"/>
              <w:jc w:val="center"/>
              <w:rPr>
                <w:lang w:eastAsia="en-US"/>
              </w:rPr>
            </w:pPr>
            <w:r>
              <w:rPr>
                <w:rFonts w:hint="eastAsia"/>
                <w:lang w:eastAsia="en-US"/>
              </w:rPr>
              <w:t>养老院</w:t>
            </w:r>
          </w:p>
        </w:tc>
        <w:tc>
          <w:tcPr>
            <w:tcW w:w="943" w:type="pct"/>
            <w:vAlign w:val="center"/>
          </w:tcPr>
          <w:p>
            <w:pPr>
              <w:pStyle w:val="89"/>
              <w:jc w:val="center"/>
              <w:rPr>
                <w:lang w:eastAsia="en-US"/>
              </w:rPr>
            </w:pPr>
            <w:r>
              <w:rPr>
                <w:rFonts w:hint="eastAsia"/>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43" w:type="pct"/>
            <w:vAlign w:val="center"/>
          </w:tcPr>
          <w:p>
            <w:pPr>
              <w:pStyle w:val="89"/>
              <w:jc w:val="center"/>
              <w:rPr>
                <w:rFonts w:hAnsi="Times New Roman"/>
                <w:lang w:eastAsia="en-US"/>
              </w:rPr>
            </w:pPr>
            <w:r>
              <w:rPr>
                <w:rFonts w:hint="eastAsia" w:hAnsi="Times New Roman"/>
                <w:lang w:eastAsia="en-US"/>
              </w:rPr>
              <w:t>16</w:t>
            </w:r>
          </w:p>
        </w:tc>
        <w:tc>
          <w:tcPr>
            <w:tcW w:w="1969" w:type="pct"/>
            <w:vAlign w:val="center"/>
          </w:tcPr>
          <w:p>
            <w:pPr>
              <w:pStyle w:val="89"/>
              <w:jc w:val="center"/>
              <w:rPr>
                <w:lang w:eastAsia="zh-CN"/>
              </w:rPr>
            </w:pPr>
            <w:r>
              <w:rPr>
                <w:rFonts w:hint="eastAsia"/>
                <w:lang w:eastAsia="zh-CN"/>
              </w:rPr>
              <w:t>电力、热力生产和供应</w:t>
            </w:r>
          </w:p>
        </w:tc>
        <w:tc>
          <w:tcPr>
            <w:tcW w:w="1545" w:type="pct"/>
            <w:vAlign w:val="center"/>
          </w:tcPr>
          <w:p>
            <w:pPr>
              <w:pStyle w:val="89"/>
              <w:jc w:val="center"/>
              <w:rPr>
                <w:lang w:eastAsia="en-US"/>
              </w:rPr>
            </w:pPr>
            <w:r>
              <w:rPr>
                <w:rFonts w:hint="eastAsia"/>
                <w:lang w:eastAsia="en-US"/>
              </w:rPr>
              <w:t>供热站</w:t>
            </w:r>
          </w:p>
        </w:tc>
        <w:tc>
          <w:tcPr>
            <w:tcW w:w="943" w:type="pct"/>
            <w:vAlign w:val="center"/>
          </w:tcPr>
          <w:p>
            <w:pPr>
              <w:pStyle w:val="89"/>
              <w:jc w:val="center"/>
              <w:rPr>
                <w:lang w:eastAsia="en-US"/>
              </w:rPr>
            </w:pPr>
            <w:r>
              <w:rPr>
                <w:rFonts w:hint="eastAsia"/>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43" w:type="pct"/>
            <w:vAlign w:val="center"/>
          </w:tcPr>
          <w:p>
            <w:pPr>
              <w:pStyle w:val="89"/>
              <w:jc w:val="center"/>
              <w:rPr>
                <w:rFonts w:hAnsi="Times New Roman"/>
                <w:lang w:eastAsia="en-US"/>
              </w:rPr>
            </w:pPr>
            <w:r>
              <w:rPr>
                <w:rFonts w:hint="eastAsia" w:hAnsi="Times New Roman"/>
                <w:lang w:eastAsia="en-US"/>
              </w:rPr>
              <w:t>17</w:t>
            </w:r>
          </w:p>
        </w:tc>
        <w:tc>
          <w:tcPr>
            <w:tcW w:w="1969" w:type="pct"/>
            <w:vAlign w:val="center"/>
          </w:tcPr>
          <w:p>
            <w:pPr>
              <w:pStyle w:val="89"/>
              <w:jc w:val="center"/>
              <w:rPr>
                <w:lang w:eastAsia="en-US"/>
              </w:rPr>
            </w:pPr>
            <w:r>
              <w:rPr>
                <w:rFonts w:hint="eastAsia"/>
                <w:lang w:eastAsia="en-US"/>
              </w:rPr>
              <w:t>工程建设施工</w:t>
            </w:r>
          </w:p>
        </w:tc>
        <w:tc>
          <w:tcPr>
            <w:tcW w:w="1545" w:type="pct"/>
            <w:vAlign w:val="center"/>
          </w:tcPr>
          <w:p>
            <w:pPr>
              <w:pStyle w:val="89"/>
              <w:jc w:val="center"/>
              <w:rPr>
                <w:lang w:eastAsia="en-US"/>
              </w:rPr>
            </w:pPr>
            <w:r>
              <w:rPr>
                <w:rFonts w:hint="eastAsia"/>
                <w:lang w:eastAsia="en-US"/>
              </w:rPr>
              <w:t>建筑施工</w:t>
            </w:r>
          </w:p>
        </w:tc>
        <w:tc>
          <w:tcPr>
            <w:tcW w:w="943" w:type="pct"/>
            <w:vAlign w:val="center"/>
          </w:tcPr>
          <w:p>
            <w:pPr>
              <w:pStyle w:val="89"/>
              <w:jc w:val="center"/>
              <w:rPr>
                <w:lang w:eastAsia="en-US"/>
              </w:rPr>
            </w:pPr>
            <w:r>
              <w:rPr>
                <w:rFonts w:hint="eastAsia"/>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4057" w:type="pct"/>
            <w:gridSpan w:val="3"/>
            <w:vAlign w:val="center"/>
          </w:tcPr>
          <w:p>
            <w:pPr>
              <w:pStyle w:val="89"/>
              <w:jc w:val="center"/>
              <w:rPr>
                <w:lang w:eastAsia="en-US"/>
              </w:rPr>
            </w:pPr>
            <w:r>
              <w:rPr>
                <w:rFonts w:hint="eastAsia"/>
                <w:lang w:eastAsia="en-US"/>
              </w:rPr>
              <w:t>合计</w:t>
            </w:r>
          </w:p>
        </w:tc>
        <w:tc>
          <w:tcPr>
            <w:tcW w:w="943" w:type="pct"/>
            <w:vAlign w:val="center"/>
          </w:tcPr>
          <w:p>
            <w:pPr>
              <w:pStyle w:val="89"/>
              <w:jc w:val="center"/>
              <w:rPr>
                <w:lang w:eastAsia="en-US"/>
              </w:rPr>
            </w:pPr>
            <w:r>
              <w:rPr>
                <w:rFonts w:hint="eastAsia"/>
                <w:lang w:eastAsia="en-US"/>
              </w:rPr>
              <w:t>430</w:t>
            </w:r>
          </w:p>
        </w:tc>
      </w:tr>
    </w:tbl>
    <w:p>
      <w:pPr>
        <w:spacing w:line="240" w:lineRule="exact"/>
        <w:ind w:left="212" w:firstLine="300"/>
        <w:rPr>
          <w:sz w:val="15"/>
          <w:szCs w:val="15"/>
        </w:rPr>
      </w:pPr>
    </w:p>
    <w:p>
      <w:pPr>
        <w:spacing w:line="240" w:lineRule="exact"/>
        <w:ind w:left="212" w:firstLine="420"/>
        <w:rPr>
          <w:rFonts w:hAnsi="宋体" w:cs="宋体"/>
          <w:sz w:val="21"/>
          <w:szCs w:val="21"/>
        </w:rPr>
      </w:pPr>
      <w:r>
        <w:rPr>
          <w:rFonts w:hint="eastAsia" w:hAnsi="宋体" w:cs="宋体"/>
          <w:sz w:val="21"/>
          <w:szCs w:val="21"/>
        </w:rPr>
        <w:t>注：</w:t>
      </w:r>
      <w:r>
        <w:rPr>
          <w:rFonts w:hint="eastAsia" w:hAnsi="宋体" w:cs="宋体"/>
          <w:spacing w:val="-3"/>
          <w:sz w:val="21"/>
          <w:szCs w:val="21"/>
        </w:rPr>
        <w:t>医</w:t>
      </w:r>
      <w:r>
        <w:rPr>
          <w:rFonts w:hint="eastAsia" w:hAnsi="宋体" w:cs="宋体"/>
          <w:sz w:val="21"/>
          <w:szCs w:val="21"/>
        </w:rPr>
        <w:t>疗</w:t>
      </w:r>
      <w:r>
        <w:rPr>
          <w:rFonts w:hint="eastAsia" w:hAnsi="宋体" w:cs="宋体"/>
          <w:spacing w:val="-3"/>
          <w:sz w:val="21"/>
          <w:szCs w:val="21"/>
        </w:rPr>
        <w:t>卫</w:t>
      </w:r>
      <w:r>
        <w:rPr>
          <w:rFonts w:hint="eastAsia" w:hAnsi="宋体" w:cs="宋体"/>
          <w:sz w:val="21"/>
          <w:szCs w:val="21"/>
        </w:rPr>
        <w:t>生</w:t>
      </w:r>
      <w:r>
        <w:rPr>
          <w:rFonts w:hint="eastAsia" w:hAnsi="宋体" w:cs="宋体"/>
          <w:spacing w:val="-3"/>
          <w:sz w:val="21"/>
          <w:szCs w:val="21"/>
        </w:rPr>
        <w:t>和</w:t>
      </w:r>
      <w:r>
        <w:rPr>
          <w:rFonts w:hint="eastAsia" w:hAnsi="宋体" w:cs="宋体"/>
          <w:sz w:val="21"/>
          <w:szCs w:val="21"/>
        </w:rPr>
        <w:t>社</w:t>
      </w:r>
      <w:r>
        <w:rPr>
          <w:rFonts w:hint="eastAsia" w:hAnsi="宋体" w:cs="宋体"/>
          <w:spacing w:val="-3"/>
          <w:sz w:val="21"/>
          <w:szCs w:val="21"/>
        </w:rPr>
        <w:t>会</w:t>
      </w:r>
      <w:r>
        <w:rPr>
          <w:rFonts w:hint="eastAsia" w:hAnsi="宋体" w:cs="宋体"/>
          <w:sz w:val="21"/>
          <w:szCs w:val="21"/>
        </w:rPr>
        <w:t>工</w:t>
      </w:r>
      <w:r>
        <w:rPr>
          <w:rFonts w:hint="eastAsia" w:hAnsi="宋体" w:cs="宋体"/>
          <w:spacing w:val="-3"/>
          <w:sz w:val="21"/>
          <w:szCs w:val="21"/>
        </w:rPr>
        <w:t>作</w:t>
      </w:r>
      <w:r>
        <w:rPr>
          <w:rFonts w:hint="eastAsia" w:hAnsi="宋体" w:cs="宋体"/>
          <w:sz w:val="21"/>
          <w:szCs w:val="21"/>
        </w:rPr>
        <w:t>领域</w:t>
      </w:r>
      <w:r>
        <w:rPr>
          <w:rFonts w:hint="eastAsia" w:hAnsi="宋体" w:cs="宋体"/>
          <w:spacing w:val="-3"/>
          <w:sz w:val="21"/>
          <w:szCs w:val="21"/>
        </w:rPr>
        <w:t>中</w:t>
      </w:r>
      <w:r>
        <w:rPr>
          <w:rFonts w:hint="eastAsia" w:hAnsi="宋体" w:cs="宋体"/>
          <w:sz w:val="21"/>
          <w:szCs w:val="21"/>
        </w:rPr>
        <w:t>各</w:t>
      </w:r>
      <w:r>
        <w:rPr>
          <w:rFonts w:hint="eastAsia" w:hAnsi="宋体" w:cs="宋体"/>
          <w:spacing w:val="-3"/>
          <w:sz w:val="21"/>
          <w:szCs w:val="21"/>
        </w:rPr>
        <w:t>社</w:t>
      </w:r>
      <w:r>
        <w:rPr>
          <w:rFonts w:hint="eastAsia" w:hAnsi="宋体" w:cs="宋体"/>
          <w:sz w:val="21"/>
          <w:szCs w:val="21"/>
        </w:rPr>
        <w:t>区</w:t>
      </w:r>
      <w:r>
        <w:rPr>
          <w:rFonts w:hint="eastAsia" w:hAnsi="宋体" w:cs="宋体"/>
          <w:spacing w:val="-3"/>
          <w:sz w:val="21"/>
          <w:szCs w:val="21"/>
        </w:rPr>
        <w:t>的</w:t>
      </w:r>
      <w:r>
        <w:rPr>
          <w:rFonts w:hint="eastAsia" w:hAnsi="宋体" w:cs="宋体"/>
          <w:sz w:val="21"/>
          <w:szCs w:val="21"/>
        </w:rPr>
        <w:t>医</w:t>
      </w:r>
      <w:r>
        <w:rPr>
          <w:rFonts w:hint="eastAsia" w:hAnsi="宋体" w:cs="宋体"/>
          <w:spacing w:val="-3"/>
          <w:sz w:val="21"/>
          <w:szCs w:val="21"/>
        </w:rPr>
        <w:t>疗</w:t>
      </w:r>
      <w:r>
        <w:rPr>
          <w:rFonts w:hint="eastAsia" w:hAnsi="宋体" w:cs="宋体"/>
          <w:sz w:val="21"/>
          <w:szCs w:val="21"/>
        </w:rPr>
        <w:t>门</w:t>
      </w:r>
      <w:r>
        <w:rPr>
          <w:rFonts w:hint="eastAsia" w:hAnsi="宋体" w:cs="宋体"/>
          <w:spacing w:val="-3"/>
          <w:sz w:val="21"/>
          <w:szCs w:val="21"/>
        </w:rPr>
        <w:t>诊</w:t>
      </w:r>
      <w:r>
        <w:rPr>
          <w:rFonts w:hint="eastAsia" w:hAnsi="宋体" w:cs="宋体"/>
          <w:sz w:val="21"/>
          <w:szCs w:val="21"/>
        </w:rPr>
        <w:t>不在</w:t>
      </w:r>
      <w:r>
        <w:rPr>
          <w:rFonts w:hint="eastAsia" w:hAnsi="宋体" w:cs="宋体"/>
          <w:spacing w:val="-3"/>
          <w:sz w:val="21"/>
          <w:szCs w:val="21"/>
        </w:rPr>
        <w:t>统</w:t>
      </w:r>
      <w:r>
        <w:rPr>
          <w:rFonts w:hint="eastAsia" w:hAnsi="宋体" w:cs="宋体"/>
          <w:sz w:val="21"/>
          <w:szCs w:val="21"/>
        </w:rPr>
        <w:t>计</w:t>
      </w:r>
      <w:r>
        <w:rPr>
          <w:rFonts w:hint="eastAsia" w:hAnsi="宋体" w:cs="宋体"/>
          <w:spacing w:val="-3"/>
          <w:sz w:val="21"/>
          <w:szCs w:val="21"/>
        </w:rPr>
        <w:t>范</w:t>
      </w:r>
      <w:r>
        <w:rPr>
          <w:rFonts w:hint="eastAsia" w:hAnsi="宋体" w:cs="宋体"/>
          <w:sz w:val="21"/>
          <w:szCs w:val="21"/>
        </w:rPr>
        <w:t>围</w:t>
      </w:r>
      <w:r>
        <w:rPr>
          <w:rFonts w:hint="eastAsia" w:hAnsi="宋体" w:cs="宋体"/>
          <w:spacing w:val="-4"/>
          <w:sz w:val="21"/>
          <w:szCs w:val="21"/>
        </w:rPr>
        <w:t>内</w:t>
      </w:r>
      <w:r>
        <w:rPr>
          <w:rFonts w:hint="eastAsia" w:hAnsi="宋体" w:cs="宋体"/>
          <w:sz w:val="21"/>
          <w:szCs w:val="21"/>
        </w:rPr>
        <w:t>。</w:t>
      </w:r>
    </w:p>
    <w:p>
      <w:pPr>
        <w:pStyle w:val="92"/>
      </w:pPr>
    </w:p>
    <w:p>
      <w:pPr>
        <w:pStyle w:val="4"/>
        <w:ind w:firstLine="394"/>
      </w:pPr>
      <w:r>
        <w:t>1.</w:t>
      </w:r>
      <w:r>
        <w:rPr>
          <w:rFonts w:hint="eastAsia"/>
        </w:rPr>
        <w:t>4突发事件风险描述</w:t>
      </w:r>
    </w:p>
    <w:p>
      <w:pPr>
        <w:ind w:firstLine="560"/>
      </w:pPr>
      <w:r>
        <w:t>1.4.1</w:t>
      </w:r>
      <w:r>
        <w:rPr>
          <w:rFonts w:hint="eastAsia"/>
        </w:rPr>
        <w:t>自然灾害</w:t>
      </w:r>
    </w:p>
    <w:p>
      <w:pPr>
        <w:ind w:firstLine="560"/>
      </w:pPr>
      <w:r>
        <w:rPr>
          <w:rFonts w:hint="eastAsia"/>
        </w:rPr>
        <w:t>新北街面临的主要自然灾害包括气象灾害和地质灾害两类。其中气象灾害包括台风、暴雨、暴雪、寒潮、大风、沙尘暴、低温、高温、干旱、雷电、冰雹、霜冻、冰冻、大雾、霾、道路结冰等；地质灾害包括地震、地面沉降等。新北街自然灾害表现出以下特点：</w:t>
      </w:r>
    </w:p>
    <w:p>
      <w:pPr>
        <w:ind w:firstLine="560"/>
      </w:pPr>
      <w:r>
        <w:rPr>
          <w:rFonts w:hint="eastAsia"/>
        </w:rPr>
        <w:t>（1）地震风险日益突出。新北街位于郯庐强地震活动带以西，地处河北平原地震带与张家口——渤海地震带的复合部位，处于“首都圈地震重点监视防御区”，属地震多发地区。断裂构造数量多、类型复杂，且活断裂较多。其中，与地震活动关系较密切的主要断裂有：沧东断裂、海河断裂、天津断裂和汉沽断裂等。历史上，新北街曾受到过多次地震影响，影响最大的是</w:t>
      </w:r>
      <w:r>
        <w:t>1976年唐山7.8级大地震。唐山地震使地面产生严重破坏，平原型地震地质灾害表现的十分显著，以喷砂冒水普遍、地面裂缝发育和地面沉降显著为主要特征。</w:t>
      </w:r>
    </w:p>
    <w:p>
      <w:pPr>
        <w:ind w:firstLine="560"/>
      </w:pPr>
      <w:r>
        <w:rPr>
          <w:rFonts w:hint="eastAsia"/>
        </w:rPr>
        <w:t>（2）洪涝灾害。暴雨易造成内涝，随着城市化程度的提高，积水排除难度不断增加。</w:t>
      </w:r>
      <w:r>
        <w:t>地面沉降进一步影响行洪、排水、供水能力。</w:t>
      </w:r>
    </w:p>
    <w:p>
      <w:pPr>
        <w:ind w:firstLine="560"/>
      </w:pPr>
      <w:r>
        <w:rPr>
          <w:rFonts w:hint="eastAsia"/>
        </w:rPr>
        <w:t>（</w:t>
      </w:r>
      <w:r>
        <w:t>3</w:t>
      </w:r>
      <w:r>
        <w:rPr>
          <w:rFonts w:hint="eastAsia"/>
        </w:rPr>
        <w:t>）气象灾害时有发生。在全球气候变化背景下，特大干旱、大风、雪灾、冰雹、雷电、雾、霾、酸雨等极端天气气候事件发生的频率和强度明显增强，对农业生产造成严重影响。随着新北街经济社会快速发展，气象高影响行业和领域越来越多，极端天气气候事件和气象灾害的破坏程度越来越强，监测预警和防御难度越来越大。</w:t>
      </w:r>
    </w:p>
    <w:p>
      <w:pPr>
        <w:ind w:firstLine="560"/>
      </w:pPr>
      <w:r>
        <w:t>1.4.2事故灾难</w:t>
      </w:r>
    </w:p>
    <w:p>
      <w:pPr>
        <w:ind w:firstLine="560"/>
      </w:pPr>
      <w:r>
        <w:rPr>
          <w:rFonts w:hint="eastAsia"/>
        </w:rPr>
        <w:t>（1）加油站</w:t>
      </w:r>
    </w:p>
    <w:p>
      <w:pPr>
        <w:ind w:firstLine="560"/>
      </w:pPr>
      <w:r>
        <w:rPr>
          <w:rFonts w:hint="eastAsia"/>
        </w:rPr>
        <w:t>加油站储存的主要危险有害物质是汽油、柴油，属于易燃易爆危险性物质。当这些易燃易爆物质发生泄漏就易在空气中弥漫，形成爆炸性气体混合物，如遇明火即可酿成火灾、爆炸事故。</w:t>
      </w:r>
    </w:p>
    <w:p>
      <w:pPr>
        <w:ind w:firstLine="560"/>
      </w:pPr>
      <w:r>
        <w:rPr>
          <w:rFonts w:hint="eastAsia"/>
        </w:rPr>
        <w:t>（2）人员密集场所</w:t>
      </w:r>
    </w:p>
    <w:p>
      <w:pPr>
        <w:ind w:firstLine="56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大型</w:t>
      </w:r>
      <w:r>
        <w:rPr>
          <w:rFonts w:hint="eastAsia"/>
        </w:rPr>
        <w:t>商场、市场</w:t>
      </w:r>
    </w:p>
    <w:p>
      <w:pPr>
        <w:ind w:firstLine="560"/>
      </w:pPr>
      <w:r>
        <w:rPr>
          <w:rFonts w:hint="eastAsia"/>
        </w:rPr>
        <w:t>大型商场、市场</w:t>
      </w:r>
      <w:r>
        <w:rPr>
          <w:rFonts w:hAnsi="宋体"/>
        </w:rPr>
        <w:t>是集生产、生活和人们社会活动的所有用品于一体，周转快、流动量大，是人员高度密集的场所，流动的人群带来了流动的火种</w:t>
      </w:r>
      <w:r>
        <w:rPr>
          <w:rFonts w:hint="eastAsia" w:hAnsi="宋体"/>
        </w:rPr>
        <w:t>，具有人员数量多、密度大、人员流动性强、人群组织程度低的特点，潜在火灾危害严重度较高。</w:t>
      </w:r>
    </w:p>
    <w:p>
      <w:pPr>
        <w:ind w:firstLine="56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公共娱乐场所</w:t>
      </w:r>
    </w:p>
    <w:p>
      <w:pPr>
        <w:ind w:firstLine="560"/>
      </w:pPr>
      <w:r>
        <w:t>公共文化娱乐场所用电设备多、线路杂，形成间接着火源</w:t>
      </w:r>
      <w:r>
        <w:rPr>
          <w:rFonts w:hint="eastAsia"/>
        </w:rPr>
        <w:t>，同时娱乐场所的室</w:t>
      </w:r>
      <w:r>
        <w:t>内装饰、装修往往使用木材、塑料、纤维</w:t>
      </w:r>
      <w:r>
        <w:rPr>
          <w:rFonts w:hint="eastAsia"/>
        </w:rPr>
        <w:t>织品</w:t>
      </w:r>
      <w:r>
        <w:t>等可燃材料，火灾荷载超出规</w:t>
      </w:r>
      <w:r>
        <w:rPr>
          <w:rFonts w:hint="eastAsia"/>
        </w:rPr>
        <w:t>定要</w:t>
      </w:r>
      <w:r>
        <w:t>求</w:t>
      </w:r>
      <w:r>
        <w:rPr>
          <w:rFonts w:hint="eastAsia"/>
        </w:rPr>
        <w:t>，一旦发生火灾事故，</w:t>
      </w:r>
      <w:r>
        <w:t>火灾蔓延快，</w:t>
      </w:r>
      <w:r>
        <w:rPr>
          <w:rFonts w:hint="eastAsia"/>
        </w:rPr>
        <w:t>加上</w:t>
      </w:r>
      <w:r>
        <w:t>娱乐场所人员集中，疏散困难</w:t>
      </w:r>
      <w:r>
        <w:rPr>
          <w:rFonts w:hint="eastAsia"/>
        </w:rPr>
        <w:t>，</w:t>
      </w:r>
      <w:r>
        <w:t>秩序混乱，如果疏散通道不畅，极易造成群死群伤。</w:t>
      </w:r>
    </w:p>
    <w:p>
      <w:pPr>
        <w:ind w:firstLine="56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酒店、宾馆</w:t>
      </w:r>
    </w:p>
    <w:p>
      <w:pPr>
        <w:ind w:firstLine="560"/>
        <w:rPr>
          <w:rFonts w:ascii="仿宋" w:hAnsi="仿宋"/>
        </w:rPr>
      </w:pPr>
      <w:r>
        <w:t>宾馆</w:t>
      </w:r>
      <w:r>
        <w:rPr>
          <w:rFonts w:hint="eastAsia"/>
        </w:rPr>
        <w:t>、酒店</w:t>
      </w:r>
      <w:r>
        <w:t>和一般都具有多功能、综合性的特点，使用功能复杂，装修豪华，</w:t>
      </w:r>
      <w:r>
        <w:rPr>
          <w:rFonts w:hint="eastAsia" w:ascii="仿宋" w:hAnsi="仿宋"/>
        </w:rPr>
        <w:t>有大量的易燃装修材料，一旦在住宿客人晚上休息发生火灾，可能导致逃生不及时造成群死群伤。</w:t>
      </w:r>
      <w:r>
        <w:t>宾馆</w:t>
      </w:r>
      <w:r>
        <w:rPr>
          <w:rFonts w:hint="eastAsia"/>
        </w:rPr>
        <w:t>、酒店</w:t>
      </w:r>
      <w:r>
        <w:rPr>
          <w:rFonts w:hint="eastAsia" w:ascii="仿宋" w:hAnsi="仿宋"/>
        </w:rPr>
        <w:t>厨房存在使用液化天然气罐或天然气管道，部分供热水采用燃气锅炉，有发生火灾、爆炸的危险。</w:t>
      </w:r>
    </w:p>
    <w:p>
      <w:pPr>
        <w:ind w:firstLine="56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饭店</w:t>
      </w:r>
    </w:p>
    <w:p>
      <w:pPr>
        <w:ind w:firstLine="560"/>
      </w:pPr>
      <w:r>
        <w:rPr>
          <w:rFonts w:hint="eastAsia" w:ascii="仿宋" w:hAnsi="仿宋"/>
        </w:rPr>
        <w:t>饭店存在使用液化天然气罐或天然气管道，管道维护不到位可能导致爆炸。</w:t>
      </w:r>
      <w:r>
        <w:rPr>
          <w:rFonts w:hint="eastAsia"/>
        </w:rPr>
        <w:t>饭店用餐时间人员较多，</w:t>
      </w:r>
      <w:r>
        <w:rPr>
          <w:rFonts w:hint="eastAsia" w:ascii="仿宋" w:hAnsi="仿宋"/>
        </w:rPr>
        <w:t>一旦遇到火情等安全事故，短时间大量客人疏散的过程中，恐慌导致跌倒或在楼梯转角和出口等位置堵塞导致踩踏。</w:t>
      </w:r>
    </w:p>
    <w:p>
      <w:pPr>
        <w:ind w:firstLine="560"/>
      </w:pPr>
      <w:r>
        <w:rPr>
          <w:rFonts w:hint="eastAsia"/>
        </w:rPr>
        <w:t>（3）学校、幼儿园</w:t>
      </w:r>
    </w:p>
    <w:p>
      <w:pPr>
        <w:ind w:firstLine="560"/>
      </w:pPr>
      <w:r>
        <w:rPr>
          <w:rFonts w:hint="eastAsia"/>
        </w:rPr>
        <w:t>学生公寓和宿舍人数多、活动时间相对集中</w:t>
      </w:r>
      <w:r>
        <w:t>，易形成人员拥挤和围观现象，一旦发</w:t>
      </w:r>
      <w:r>
        <w:rPr>
          <w:rFonts w:hint="eastAsia"/>
        </w:rPr>
        <w:t>生火灾</w:t>
      </w:r>
      <w:r>
        <w:t>，疏散困难，易造成重大伤亡。</w:t>
      </w:r>
    </w:p>
    <w:p>
      <w:pPr>
        <w:ind w:firstLine="560"/>
      </w:pPr>
      <w:r>
        <w:rPr>
          <w:rFonts w:hint="eastAsia"/>
        </w:rPr>
        <w:t>（4）医疗机构</w:t>
      </w:r>
    </w:p>
    <w:p>
      <w:pPr>
        <w:ind w:firstLine="560"/>
      </w:pPr>
      <w:r>
        <w:rPr>
          <w:rFonts w:hint="eastAsia"/>
        </w:rPr>
        <w:t>医疗机构的药库、药房、胶片室、制剂室</w:t>
      </w:r>
      <w:r>
        <w:t>，放射机房内都存有大量的易燃、易爆物品和</w:t>
      </w:r>
      <w:r>
        <w:rPr>
          <w:rFonts w:hint="eastAsia"/>
        </w:rPr>
        <w:t>放射性物品</w:t>
      </w:r>
      <w:r>
        <w:t>，而且种类繁多，性质复杂，若发生火灾，加上脆弱性人群密集，不便控制</w:t>
      </w:r>
      <w:r>
        <w:rPr>
          <w:rFonts w:hint="eastAsia"/>
        </w:rPr>
        <w:t>和处理。医院是人员构成较为复杂的场所</w:t>
      </w:r>
      <w:r>
        <w:t>，若医患关系处理不当，则可能发生医闹事件，</w:t>
      </w:r>
      <w:r>
        <w:rPr>
          <w:rFonts w:hint="eastAsia"/>
        </w:rPr>
        <w:t>从而导致人员伤亡或财产损失。</w:t>
      </w:r>
    </w:p>
    <w:p>
      <w:pPr>
        <w:ind w:firstLine="560"/>
      </w:pPr>
      <w:r>
        <w:rPr>
          <w:rFonts w:hint="eastAsia"/>
        </w:rPr>
        <w:t>（</w:t>
      </w:r>
      <w:r>
        <w:t>5</w:t>
      </w:r>
      <w:r>
        <w:rPr>
          <w:rFonts w:hint="eastAsia"/>
        </w:rPr>
        <w:t>）工程建筑施工危险源</w:t>
      </w:r>
    </w:p>
    <w:p>
      <w:pPr>
        <w:ind w:firstLine="560"/>
      </w:pPr>
      <w:r>
        <w:rPr>
          <w:rFonts w:hint="eastAsia"/>
        </w:rPr>
        <w:t>工程建筑施工因具有作业流动性大、交叉作业、露天作业多、形式多样、施工周期长、劳动强度大和作业人员更换频繁等普遍特点，导致生产安全事故频发，高处坠落、物体打击、触电、机械伤害、坍塌等安全事故是此类场所生产安全事故频发的具体表现。</w:t>
      </w:r>
    </w:p>
    <w:p>
      <w:pPr>
        <w:ind w:firstLine="560"/>
      </w:pPr>
      <w:r>
        <w:rPr>
          <w:rFonts w:hint="eastAsia"/>
        </w:rPr>
        <w:t>（</w:t>
      </w:r>
      <w:r>
        <w:t>6</w:t>
      </w:r>
      <w:r>
        <w:rPr>
          <w:rFonts w:hint="eastAsia"/>
        </w:rPr>
        <w:t>）公共设施危险源</w:t>
      </w:r>
    </w:p>
    <w:p>
      <w:pPr>
        <w:ind w:firstLine="560"/>
      </w:pPr>
      <w:r>
        <w:rPr>
          <w:rFonts w:hint="eastAsia"/>
        </w:rPr>
        <w:t>新北街经济高速发展，伴随着配套公用设施水、电、气、暖、道路交通等各方面的基本保障需求压力增大，存在保障不足的情况，由于上述保障性设施多为大型设备施工、运行，因此，在施工运行过程中会引发各类型火灾、人员伤害等事故风险。</w:t>
      </w:r>
    </w:p>
    <w:p>
      <w:pPr>
        <w:ind w:firstLine="560"/>
      </w:pPr>
      <w:r>
        <w:rPr>
          <w:rFonts w:hint="eastAsia"/>
        </w:rPr>
        <w:t>新北街事故突发事件特点是：</w:t>
      </w:r>
    </w:p>
    <w:p>
      <w:pPr>
        <w:ind w:firstLine="560"/>
      </w:pPr>
      <w:r>
        <w:rPr>
          <w:rFonts w:hint="eastAsia"/>
        </w:rPr>
        <w:t>（1）人为致灾因素突出。随着开发开放的不断加快，市政、交通和基础建设项目数量及各地来新北街的建筑施工企业和施工队伍的数量不断增加，增加了事故灾难类突发事件发生几率。并在今后很长一段时间内，这些仍将是新北街发生频率高、伤亡多、危害大的突发事件。</w:t>
      </w:r>
    </w:p>
    <w:p>
      <w:pPr>
        <w:ind w:firstLine="560"/>
      </w:pPr>
      <w:r>
        <w:rPr>
          <w:rFonts w:hint="eastAsia"/>
        </w:rPr>
        <w:t>（2）危害程度严重，波及范围大。按照新北街总体规划，企业生产集中化程度提高和城市化进程的加快，加大了事故灾难类的波及范围，加重了其危害程度，往往会对城市功能、环境与资源等造成严重破坏，给人民群众的生活、经济的正常运转造成强烈冲击。</w:t>
      </w:r>
    </w:p>
    <w:p>
      <w:pPr>
        <w:ind w:firstLine="560"/>
      </w:pPr>
      <w:r>
        <w:t>1.4.3公共卫生事件</w:t>
      </w:r>
    </w:p>
    <w:p>
      <w:pPr>
        <w:ind w:firstLine="560"/>
      </w:pPr>
      <w:r>
        <w:rPr>
          <w:rFonts w:hint="eastAsia"/>
        </w:rPr>
        <w:t>近些年来，传统传染病肆虐，新型冠状病毒肺炎等新发传染病不断出现，再加上全球气候变化、人口流动频繁、药物滥用等因素，使新北街各种传染病和群体性不明原因疾病的爆发流行风险日益加大。新能源技术、现代工业和服务业的快速发展，在客观上加剧了食品安全、职业安全和环境安全突发事件的威胁。</w:t>
      </w:r>
    </w:p>
    <w:p>
      <w:pPr>
        <w:ind w:firstLine="560"/>
      </w:pPr>
      <w:r>
        <w:t>1.4.4</w:t>
      </w:r>
      <w:r>
        <w:rPr>
          <w:rFonts w:hint="eastAsia"/>
        </w:rPr>
        <w:t>社会安全事件</w:t>
      </w:r>
    </w:p>
    <w:p>
      <w:pPr>
        <w:ind w:firstLine="560"/>
      </w:pPr>
      <w:r>
        <w:rPr>
          <w:rFonts w:hint="eastAsia"/>
        </w:rPr>
        <w:t>新北街处于经济高速增长时期，也是各种社会矛盾的凸显期和高发期。因生活琐事引发的矛盾冲突时有发生；金融领域，特别是金融衍生品、投融资平台的风险依然存在；民族、宗教问题以不同的形态长期存在于各种社会矛盾之中；涉外突发事件伴随开发开放进一步提高将逐步增多。</w:t>
      </w:r>
    </w:p>
    <w:p>
      <w:pPr>
        <w:ind w:firstLine="560"/>
      </w:pPr>
      <w:r>
        <w:rPr>
          <w:rFonts w:hint="eastAsia"/>
        </w:rPr>
        <w:t>社会治安事件会干扰正常工作和社会秩序，造成不良社会影响，可能诱发危及社会稳定的集群行为。如不及时处理，会造成交通阻塞，影响工作人员进出办公场所，保安与群众对峙，引发人员伤亡，对正常生产甚至社会秩序造成重大影响。</w:t>
      </w:r>
    </w:p>
    <w:p>
      <w:pPr>
        <w:ind w:firstLine="560"/>
      </w:pPr>
      <w:r>
        <w:rPr>
          <w:rFonts w:hint="eastAsia"/>
        </w:rPr>
        <w:t>恐怖袭击事件可能造成无辜群众伤亡，破坏正常生产和社会秩序，破坏和谐稳定的社会生活，在群众中产生难以磨灭的阴影，产生恶劣的社会影响。</w:t>
      </w:r>
    </w:p>
    <w:p>
      <w:pPr>
        <w:ind w:firstLine="560"/>
      </w:pPr>
      <w:r>
        <w:t>1.4.5小结</w:t>
      </w:r>
    </w:p>
    <w:p>
      <w:pPr>
        <w:ind w:firstLine="560"/>
      </w:pPr>
      <w:r>
        <w:rPr>
          <w:rFonts w:hint="eastAsia"/>
        </w:rPr>
        <w:t>依据危险性分析的结果和发生的可能性，结合新北街的特点，制定生产安全事故、火灾事故、地震疏散、防汛、气象灾害、食品安全事故等专项应急预案。</w:t>
      </w:r>
    </w:p>
    <w:p>
      <w:pPr>
        <w:pStyle w:val="3"/>
        <w:ind w:firstLine="301"/>
      </w:pPr>
      <w:r>
        <w:br w:type="page"/>
      </w:r>
      <w:bookmarkStart w:id="65" w:name="_Toc51575346"/>
      <w:r>
        <w:rPr>
          <w:rFonts w:hint="eastAsia"/>
        </w:rPr>
        <w:t>附件</w:t>
      </w:r>
      <w:r>
        <w:t xml:space="preserve">2 </w:t>
      </w:r>
      <w:r>
        <w:rPr>
          <w:rFonts w:hint="eastAsia"/>
        </w:rPr>
        <w:t>突发事件分级标准</w:t>
      </w:r>
      <w:bookmarkEnd w:id="65"/>
    </w:p>
    <w:p>
      <w:pPr>
        <w:pStyle w:val="4"/>
        <w:ind w:firstLine="394"/>
      </w:pPr>
      <w:r>
        <w:t>2.1</w:t>
      </w:r>
      <w:r>
        <w:rPr>
          <w:rFonts w:hint="eastAsia"/>
        </w:rPr>
        <w:t>特别重大、重大突发公共事件分级标准</w:t>
      </w:r>
    </w:p>
    <w:p>
      <w:pPr>
        <w:ind w:firstLine="560"/>
      </w:pPr>
      <w:r>
        <w:rPr>
          <w:rFonts w:hint="eastAsia"/>
        </w:rPr>
        <w:t>此分级标准由国务院颁布，作为各地区、各部门报送特别重大、重大突发公共事件信息的标准和按照突发公共事件总体应急预案、专项应急预案规定进行分级处置的依据。</w:t>
      </w:r>
    </w:p>
    <w:p>
      <w:pPr>
        <w:ind w:firstLine="560"/>
      </w:pPr>
      <w:r>
        <w:rPr>
          <w:rFonts w:hint="eastAsia"/>
        </w:rPr>
        <w:t>一、自然灾害类</w:t>
      </w:r>
    </w:p>
    <w:p>
      <w:pPr>
        <w:ind w:firstLine="560"/>
      </w:pPr>
      <w:r>
        <w:rPr>
          <w:rFonts w:hint="eastAsia"/>
        </w:rPr>
        <w:t>（一）水旱灾害</w:t>
      </w:r>
    </w:p>
    <w:p>
      <w:pPr>
        <w:ind w:firstLine="560"/>
      </w:pPr>
      <w:r>
        <w:rPr>
          <w:rFonts w:hint="eastAsia"/>
        </w:rPr>
        <w:t>特别重大水旱灾害包括：</w:t>
      </w:r>
    </w:p>
    <w:p>
      <w:pPr>
        <w:ind w:firstLine="560"/>
      </w:pPr>
      <w:r>
        <w:t>1．一个流域发生特大洪水，或多个流域同时发生大水；</w:t>
      </w:r>
    </w:p>
    <w:p>
      <w:pPr>
        <w:ind w:firstLine="560"/>
      </w:pPr>
      <w:r>
        <w:t>2．大江大河干流重要河段堤防发生决口；</w:t>
      </w:r>
    </w:p>
    <w:p>
      <w:pPr>
        <w:ind w:firstLine="560"/>
      </w:pPr>
      <w:r>
        <w:t>3．重点大型水库发生垮堤；</w:t>
      </w:r>
    </w:p>
    <w:p>
      <w:pPr>
        <w:ind w:firstLine="560"/>
      </w:pPr>
      <w:r>
        <w:t>4．洪水造成铁路繁忙干线、国家高速公路网和主要航道中断，48小时无法恢复通行；</w:t>
      </w:r>
    </w:p>
    <w:p>
      <w:pPr>
        <w:ind w:firstLine="560"/>
      </w:pPr>
      <w:r>
        <w:t>5．多个省（区、市）发生特大干旱；</w:t>
      </w:r>
    </w:p>
    <w:p>
      <w:pPr>
        <w:ind w:firstLine="560"/>
      </w:pPr>
      <w:r>
        <w:t>6．多个大城市发生极度干旱。</w:t>
      </w:r>
    </w:p>
    <w:p>
      <w:pPr>
        <w:ind w:firstLine="560"/>
      </w:pPr>
      <w:r>
        <w:rPr>
          <w:rFonts w:hint="eastAsia"/>
        </w:rPr>
        <w:t>重大水旱灾害包括：</w:t>
      </w:r>
    </w:p>
    <w:p>
      <w:pPr>
        <w:ind w:firstLine="560"/>
      </w:pPr>
      <w:r>
        <w:t>1．一个流域或其部分区域发生大洪水；</w:t>
      </w:r>
    </w:p>
    <w:p>
      <w:pPr>
        <w:ind w:firstLine="560"/>
      </w:pPr>
      <w:r>
        <w:t>2．大江大河干流一般河段及主要支流堤防发生决口或出现重大险情；</w:t>
      </w:r>
    </w:p>
    <w:p>
      <w:pPr>
        <w:ind w:firstLine="560"/>
      </w:pPr>
      <w:r>
        <w:t>3．数省（区、市）多个市（地）发生严重洪涝灾害；</w:t>
      </w:r>
    </w:p>
    <w:p>
      <w:pPr>
        <w:ind w:firstLine="560"/>
      </w:pPr>
      <w:r>
        <w:t>4．一般大中型水库发生垮坝或出现对下游安全造成直接影响的重大险情；</w:t>
      </w:r>
    </w:p>
    <w:p>
      <w:pPr>
        <w:ind w:firstLine="560"/>
      </w:pPr>
      <w:r>
        <w:t>5．洪水造成铁路干线、国家高速公路网和航道通行中断，24小时无法恢复通行；</w:t>
      </w:r>
    </w:p>
    <w:p>
      <w:pPr>
        <w:ind w:firstLine="560"/>
      </w:pPr>
      <w:r>
        <w:t>6．数省（区、市）多个市(地)发生严重干旱，或一省（区、市）发生特大干旱；</w:t>
      </w:r>
    </w:p>
    <w:p>
      <w:pPr>
        <w:ind w:firstLine="560"/>
      </w:pPr>
      <w:r>
        <w:t>7．多个大城市发生严重干旱，或大中城市发生极度干旱。</w:t>
      </w:r>
    </w:p>
    <w:p>
      <w:pPr>
        <w:ind w:firstLine="560"/>
      </w:pPr>
      <w:r>
        <w:rPr>
          <w:rFonts w:hint="eastAsia"/>
        </w:rPr>
        <w:t>（二）气象灾害</w:t>
      </w:r>
    </w:p>
    <w:p>
      <w:pPr>
        <w:ind w:firstLine="560"/>
      </w:pPr>
      <w:r>
        <w:rPr>
          <w:rFonts w:hint="eastAsia"/>
        </w:rPr>
        <w:t>特别重大气象灾害包括：</w:t>
      </w:r>
    </w:p>
    <w:p>
      <w:pPr>
        <w:ind w:firstLine="560"/>
      </w:pPr>
      <w:r>
        <w:t>1．特大暴雨、大雪、龙卷风、沙尘暴、台风等极端天气气候事件影响重要城市和50平方公里以上较大区域，造成30人以上死亡，或5000万元以上经济损失的气象灾害；</w:t>
      </w:r>
    </w:p>
    <w:p>
      <w:pPr>
        <w:ind w:firstLine="560"/>
      </w:pPr>
      <w:r>
        <w:t>2．一个或多个省（区、市）范围内将出现极端天气气候事件或极强灾害性天气过程，并会造成特大人员伤亡和巨大经济损失的气象灾害；</w:t>
      </w:r>
    </w:p>
    <w:p>
      <w:pPr>
        <w:ind w:firstLine="560"/>
      </w:pPr>
      <w:r>
        <w:t>3．在其它国家和地区发生的可能对我国经济社会产生重大影响的极端天气气候事件。</w:t>
      </w:r>
    </w:p>
    <w:p>
      <w:pPr>
        <w:ind w:firstLine="560"/>
      </w:pPr>
      <w:r>
        <w:rPr>
          <w:rFonts w:hint="eastAsia"/>
        </w:rPr>
        <w:t>重大气象灾害包括：</w:t>
      </w:r>
    </w:p>
    <w:p>
      <w:pPr>
        <w:ind w:firstLine="560"/>
      </w:pPr>
      <w:r>
        <w:t>1．暴雨、冰雹、龙卷风、大雪、寒潮、沙尘暴、大风和台风等造成10人以上、30人以下死亡，或1000万元以上、5000万元以下经济损失的气象灾害；</w:t>
      </w:r>
    </w:p>
    <w:p>
      <w:pPr>
        <w:ind w:firstLine="560"/>
      </w:pPr>
      <w:r>
        <w:t>2．对社会、经济及群众生产生活等造成严重影响的高温、热浪、干热风、干旱、大雾、低温、霜冻、雷电、冰雹、雪崩等气候灾害；</w:t>
      </w:r>
    </w:p>
    <w:p>
      <w:pPr>
        <w:ind w:firstLine="560"/>
      </w:pPr>
      <w:r>
        <w:t>3．因各种气象原因，造成机场、港口、国家高速公路网线路连续封闭12小时以上的。</w:t>
      </w:r>
    </w:p>
    <w:p>
      <w:pPr>
        <w:ind w:firstLine="560"/>
      </w:pPr>
      <w:r>
        <w:rPr>
          <w:rFonts w:hint="eastAsia"/>
        </w:rPr>
        <w:t>（三）地震灾害</w:t>
      </w:r>
    </w:p>
    <w:p>
      <w:pPr>
        <w:ind w:firstLine="560"/>
      </w:pPr>
      <w:r>
        <w:rPr>
          <w:rFonts w:hint="eastAsia"/>
        </w:rPr>
        <w:t>特别重大地震灾害包括：</w:t>
      </w:r>
    </w:p>
    <w:p>
      <w:pPr>
        <w:ind w:firstLine="560"/>
      </w:pPr>
      <w:r>
        <w:t>1．造成300人以上死亡，直接经济损失占该省（区、市）上年国内生产总值1%以上的地；</w:t>
      </w:r>
    </w:p>
    <w:p>
      <w:pPr>
        <w:ind w:firstLine="560"/>
      </w:pPr>
      <w:r>
        <w:t>2．发生在人口较密集地区7.0级以上地震。</w:t>
      </w:r>
    </w:p>
    <w:p>
      <w:pPr>
        <w:ind w:firstLine="560"/>
      </w:pPr>
      <w:r>
        <w:rPr>
          <w:rFonts w:hint="eastAsia"/>
        </w:rPr>
        <w:t>重大地震灾害包括：</w:t>
      </w:r>
    </w:p>
    <w:p>
      <w:pPr>
        <w:ind w:firstLine="560"/>
      </w:pPr>
      <w:r>
        <w:t>1．造成50人以上、300人以下死亡，或造成一定经济损失的地震；</w:t>
      </w:r>
    </w:p>
    <w:p>
      <w:pPr>
        <w:ind w:firstLine="560"/>
      </w:pPr>
      <w:r>
        <w:t>2．发生在首都圈、长江和珠江三角洲等人口密集地区4.0级以上地震；</w:t>
      </w:r>
    </w:p>
    <w:p>
      <w:pPr>
        <w:ind w:firstLine="560"/>
      </w:pPr>
      <w:r>
        <w:t>3．发生在国内其它地区（含港澳台地区）5.0级以上地震；</w:t>
      </w:r>
    </w:p>
    <w:p>
      <w:pPr>
        <w:ind w:firstLine="560"/>
      </w:pPr>
      <w:r>
        <w:t>4．发生在周边国家6.5级以上，其它国家和地区7.0级以上地震（无人地区和海域除外）；</w:t>
      </w:r>
    </w:p>
    <w:p>
      <w:pPr>
        <w:ind w:firstLine="560"/>
      </w:pPr>
      <w:r>
        <w:t>5．国内震级未达到上述标准但造成重大经济损失和人员伤亡损失或严重影响的地震。</w:t>
      </w:r>
    </w:p>
    <w:p>
      <w:pPr>
        <w:ind w:firstLine="560"/>
      </w:pPr>
      <w:r>
        <w:rPr>
          <w:rFonts w:hint="eastAsia"/>
        </w:rPr>
        <w:t>（四）地质灾害</w:t>
      </w:r>
    </w:p>
    <w:p>
      <w:pPr>
        <w:ind w:firstLine="560"/>
      </w:pPr>
      <w:r>
        <w:rPr>
          <w:rFonts w:hint="eastAsia"/>
        </w:rPr>
        <w:t>特别重大地质灾害包括：</w:t>
      </w:r>
    </w:p>
    <w:p>
      <w:pPr>
        <w:ind w:firstLine="560"/>
      </w:pPr>
      <w:r>
        <w:t>1．因山体崩塌、滑坡、泥石流、地面塌陷、地裂缝等灾害造成30人以上死亡，或直接经济损失1000万元以上的地质灾害；</w:t>
      </w:r>
    </w:p>
    <w:p>
      <w:pPr>
        <w:ind w:firstLine="560"/>
      </w:pPr>
      <w:r>
        <w:t>2．受地质灾害威胁，需转移人数在1000人以上，或潜在可能造成的经济损失在1亿元以上的灾害险情；</w:t>
      </w:r>
    </w:p>
    <w:p>
      <w:pPr>
        <w:ind w:firstLine="560"/>
      </w:pPr>
      <w:r>
        <w:t>3．因地质灾害造成大江大河支流被阻断，严重影响群众生命财产安全。</w:t>
      </w:r>
    </w:p>
    <w:p>
      <w:pPr>
        <w:ind w:firstLine="560"/>
      </w:pPr>
      <w:r>
        <w:rPr>
          <w:rFonts w:hint="eastAsia"/>
        </w:rPr>
        <w:t>重大地质灾害包括：</w:t>
      </w:r>
    </w:p>
    <w:p>
      <w:pPr>
        <w:ind w:firstLine="560"/>
      </w:pPr>
      <w:r>
        <w:t>1．因山体崩塌、滑坡、泥石流、地面塌陷、地裂缝等灾害造成10人以上、30人以下死亡，或因灾害造成直接经济损失500万元以上、1000万元以下的地质灾害；</w:t>
      </w:r>
    </w:p>
    <w:p>
      <w:pPr>
        <w:ind w:firstLine="560"/>
      </w:pPr>
      <w:r>
        <w:t>2．受地质灾害威胁需转移人数在500人以上、1000人以下，或潜在经济损失5000万元以上、1亿元以下的灾害险情；</w:t>
      </w:r>
    </w:p>
    <w:p>
      <w:pPr>
        <w:ind w:firstLine="560"/>
      </w:pPr>
      <w:r>
        <w:t>3．造成铁路繁忙干线、国家高速公路网线路、民航和航道中断，或严重威胁群众生命财产安全、有重大社会影响的地质灾害。</w:t>
      </w:r>
    </w:p>
    <w:p>
      <w:pPr>
        <w:ind w:firstLine="560"/>
      </w:pPr>
      <w:r>
        <w:rPr>
          <w:rFonts w:hint="eastAsia"/>
        </w:rPr>
        <w:t>（五）海洋灾害</w:t>
      </w:r>
    </w:p>
    <w:p>
      <w:pPr>
        <w:ind w:firstLine="560"/>
      </w:pPr>
      <w:r>
        <w:rPr>
          <w:rFonts w:hint="eastAsia"/>
        </w:rPr>
        <w:t>特别重大海洋灾害包括：</w:t>
      </w:r>
    </w:p>
    <w:p>
      <w:pPr>
        <w:ind w:firstLine="560"/>
      </w:pPr>
      <w:r>
        <w:t>1．风暴潮、巨浪、海啸、赤潮、海冰等造成30人以上死亡，或5000万元以上经济损失的海洋灾害；</w:t>
      </w:r>
    </w:p>
    <w:p>
      <w:pPr>
        <w:ind w:firstLine="560"/>
      </w:pPr>
      <w:r>
        <w:t>2．对沿海重要城市或者50平方公里以上较大区域经济、社会和群众生产、生活等造成特别严重影响的海洋灾害。</w:t>
      </w:r>
    </w:p>
    <w:p>
      <w:pPr>
        <w:ind w:firstLine="560"/>
      </w:pPr>
      <w:r>
        <w:rPr>
          <w:rFonts w:hint="eastAsia"/>
        </w:rPr>
        <w:t>重大海洋灾害包括：</w:t>
      </w:r>
    </w:p>
    <w:p>
      <w:pPr>
        <w:ind w:firstLine="560"/>
      </w:pPr>
      <w:r>
        <w:t>1．风暴潮、巨浪、海啸、赤潮、海冰等造成10人以上、30人以下死亡，或1000万元以上、5000万元以下经济损失的海洋灾害；</w:t>
      </w:r>
    </w:p>
    <w:p>
      <w:pPr>
        <w:ind w:firstLine="560"/>
      </w:pPr>
      <w:r>
        <w:t>2．对沿海经济、社会和群众生产、生活等造成严重影响的海洋灾害；</w:t>
      </w:r>
    </w:p>
    <w:p>
      <w:pPr>
        <w:ind w:firstLine="560"/>
      </w:pPr>
      <w:r>
        <w:t>3．对大型海上工程设施等造成重大损坏，或严重破坏海洋生态环境的海洋灾害。</w:t>
      </w:r>
    </w:p>
    <w:p>
      <w:pPr>
        <w:ind w:firstLine="560"/>
      </w:pPr>
      <w:r>
        <w:rPr>
          <w:rFonts w:hint="eastAsia"/>
        </w:rPr>
        <w:t>（六）生物灾害</w:t>
      </w:r>
    </w:p>
    <w:p>
      <w:pPr>
        <w:ind w:firstLine="560"/>
      </w:pPr>
      <w:r>
        <w:rPr>
          <w:rFonts w:hint="eastAsia"/>
        </w:rPr>
        <w:t>特别重大生物灾害包括：</w:t>
      </w:r>
    </w:p>
    <w:p>
      <w:pPr>
        <w:ind w:firstLine="560"/>
      </w:pPr>
      <w:r>
        <w:rPr>
          <w:rFonts w:hint="eastAsia"/>
        </w:rPr>
        <w:t>在</w:t>
      </w:r>
      <w:r>
        <w:t>2个以上省（区、市）病虫鼠草等有害生物暴发流行，或新传入我国的有害生物在2个以上省（区、市）内发生，或在1个省（区、市）内2个以上市（地）发生，对农业和林业造成巨大危害的生物灾害。</w:t>
      </w:r>
    </w:p>
    <w:p>
      <w:pPr>
        <w:ind w:firstLine="560"/>
      </w:pPr>
      <w:r>
        <w:rPr>
          <w:rFonts w:hint="eastAsia"/>
        </w:rPr>
        <w:t>重大生物灾害包括：</w:t>
      </w:r>
    </w:p>
    <w:p>
      <w:pPr>
        <w:ind w:firstLine="560"/>
      </w:pPr>
      <w:r>
        <w:t>1．因蝗虫、稻飞虱、水稻蟆虫、小麦条锈病、草地螟、草原毛虫、松毛虫、杨树食叶害虫和蛀干类害虫等大面积成灾并造成严重经济损失的生物灾害；</w:t>
      </w:r>
    </w:p>
    <w:p>
      <w:pPr>
        <w:ind w:firstLine="560"/>
      </w:pPr>
      <w:r>
        <w:t>2．新传入我国的有害生物发生、流行，对农业和林业生产等造成严重威胁的生物灾害。</w:t>
      </w:r>
    </w:p>
    <w:p>
      <w:pPr>
        <w:ind w:firstLine="560"/>
      </w:pPr>
      <w:r>
        <w:rPr>
          <w:rFonts w:hint="eastAsia"/>
        </w:rPr>
        <w:t>（七）森林草原火灾</w:t>
      </w:r>
    </w:p>
    <w:p>
      <w:pPr>
        <w:ind w:firstLine="560"/>
      </w:pPr>
      <w:r>
        <w:rPr>
          <w:rFonts w:hint="eastAsia"/>
        </w:rPr>
        <w:t>特别重大森林草原火灾包括：</w:t>
      </w:r>
    </w:p>
    <w:p>
      <w:pPr>
        <w:ind w:firstLine="560"/>
      </w:pPr>
      <w:r>
        <w:t>1．受害森林面积超过1000公顷、火场仍未得到有效控制或受害草原面积8000公顷以上、明火尚未扑灭的火灾；</w:t>
      </w:r>
    </w:p>
    <w:p>
      <w:pPr>
        <w:ind w:firstLine="560"/>
      </w:pPr>
      <w:r>
        <w:t>2．造成30人以上死亡或造成重大影响和财产损失的森林火灾，造成10人以上死亡，或伤亡20人以上的草原火灾；</w:t>
      </w:r>
    </w:p>
    <w:p>
      <w:pPr>
        <w:ind w:firstLine="560"/>
      </w:pPr>
      <w:r>
        <w:t>3．距重要军事目标和大型军工、危险化学品生产企业不足1公里的森林草原火灾；</w:t>
      </w:r>
    </w:p>
    <w:p>
      <w:pPr>
        <w:ind w:firstLine="560"/>
      </w:pPr>
      <w:r>
        <w:t>4．严重威胁或烧毁城镇、居民地、重要设施和原始森林的或需要国家支援的森林草原火灾。</w:t>
      </w:r>
    </w:p>
    <w:p>
      <w:pPr>
        <w:ind w:firstLine="560"/>
      </w:pPr>
      <w:r>
        <w:rPr>
          <w:rFonts w:hint="eastAsia"/>
        </w:rPr>
        <w:t>重大森林草原火灾包括：</w:t>
      </w:r>
    </w:p>
    <w:p>
      <w:pPr>
        <w:ind w:firstLine="560"/>
      </w:pPr>
      <w:r>
        <w:t>1．连续燃烧超过72小时没有得到控制的森林火灾，或距我国界5公里以内的国外草原燃烧面积蔓延500公里以上，或连续燃烧120小时没有得到控制的草原火灾；</w:t>
      </w:r>
    </w:p>
    <w:p>
      <w:pPr>
        <w:ind w:firstLine="560"/>
      </w:pPr>
      <w:r>
        <w:t>2．受害森林面积超过300公顷以上、1000公顷以下或受害草原面积2000公顷以上，8000公顷以下的火灾；</w:t>
      </w:r>
    </w:p>
    <w:p>
      <w:pPr>
        <w:ind w:firstLine="560"/>
      </w:pPr>
      <w:r>
        <w:t>3．造成10人以上、30人以下死亡的森林火灾，或者造成3人以上、10人以下死亡的草原火灾；</w:t>
      </w:r>
    </w:p>
    <w:p>
      <w:pPr>
        <w:ind w:firstLine="560"/>
      </w:pPr>
      <w:r>
        <w:t>4．威胁居民地、重要设施和原始森林，或位于省（区、市）交界地区，危险性较大的森林草原火灾。</w:t>
      </w:r>
    </w:p>
    <w:p>
      <w:pPr>
        <w:ind w:firstLine="560"/>
      </w:pPr>
      <w:r>
        <w:rPr>
          <w:rFonts w:hint="eastAsia"/>
        </w:rPr>
        <w:t>二、事故灾难类</w:t>
      </w:r>
    </w:p>
    <w:p>
      <w:pPr>
        <w:ind w:firstLine="560"/>
      </w:pPr>
      <w:r>
        <w:rPr>
          <w:rFonts w:hint="eastAsia"/>
        </w:rPr>
        <w:t>（一）安全事故</w:t>
      </w:r>
    </w:p>
    <w:p>
      <w:pPr>
        <w:ind w:firstLine="560"/>
      </w:pPr>
      <w:r>
        <w:rPr>
          <w:rFonts w:hint="eastAsia"/>
        </w:rPr>
        <w:t>特别重大安全事故包括：</w:t>
      </w:r>
    </w:p>
    <w:p>
      <w:pPr>
        <w:ind w:firstLine="560"/>
      </w:pPr>
      <w:r>
        <w:t>1．造成30人以上死亡（含失踪），或危及30人以上生命安全，或1亿元以上直接经济损失，或100人以上中毒（重伤），或需要紧急转移安置10万人以上的安全事故；</w:t>
      </w:r>
    </w:p>
    <w:p>
      <w:pPr>
        <w:ind w:firstLine="560"/>
      </w:pPr>
      <w:r>
        <w:t>2．国内外民用运输航空器在我国境内发生的，或我民用运输航空器在境外发生的坠机、撞机或紧急迫降等情况导致的特别重大飞行事故；</w:t>
      </w:r>
    </w:p>
    <w:p>
      <w:pPr>
        <w:ind w:firstLine="560"/>
      </w:pPr>
      <w:r>
        <w:t>3．危及30人以上生命安全的水上突发事件，或水上保安事件，或单船10000吨以上国内外民用运输船舶在我境内发生碰撞、触礁、火灾等对船舶及人员生命安全以及港口设施安全造成严重威胁的水上突发事件；</w:t>
      </w:r>
    </w:p>
    <w:p>
      <w:pPr>
        <w:ind w:firstLine="560"/>
      </w:pPr>
      <w:r>
        <w:t>4．铁路繁忙干线、国家高速公路网线路遭受破坏，造成行车中断，经抢修48小时内无法恢复通车；</w:t>
      </w:r>
    </w:p>
    <w:p>
      <w:pPr>
        <w:ind w:firstLine="560"/>
      </w:pPr>
      <w:r>
        <w:t>5．重要港口瘫痪或遭受灾难性损失，长江干线或黑龙江界河航道发生断航24小时以上；</w:t>
      </w:r>
    </w:p>
    <w:p>
      <w:pPr>
        <w:ind w:firstLine="560"/>
      </w:pPr>
      <w:r>
        <w:t>6．造成区域电网减供负荷达到事故前总负荷的30%以上，或造成重要政治、经济中心城市减供负荷达到事故前总负荷的50%以上；或因重要发电厂、变电站、输变电设备遭受毁灭性破坏或打击，造成区域电网大面积停电，减供负荷达到事故前的20%以上，对区域电网、跨区域电网安全稳定运行构成严重威胁；</w:t>
      </w:r>
    </w:p>
    <w:p>
      <w:pPr>
        <w:ind w:firstLine="560"/>
      </w:pPr>
      <w:r>
        <w:t>7．多省通信故障或大面积骨干网中断、通信枢纽遭到破坏等造成严重影响的事故；</w:t>
      </w:r>
    </w:p>
    <w:p>
      <w:pPr>
        <w:ind w:firstLine="560"/>
      </w:pPr>
      <w:r>
        <w:t>8．因自然灾害等不可抗拒的原因导致支付、清算系统国家处理中心发生故障或因人为破坏，造成整个支付、清算系统瘫痪的事故；</w:t>
      </w:r>
    </w:p>
    <w:p>
      <w:pPr>
        <w:ind w:firstLine="560"/>
      </w:pPr>
      <w:r>
        <w:t>9．城市5万户以上居民供气或供水连续停止48小时以上的事故；</w:t>
      </w:r>
    </w:p>
    <w:p>
      <w:pPr>
        <w:ind w:firstLine="560"/>
      </w:pPr>
      <w:r>
        <w:t>10．造成特别重大影响或损失的特种设备事故；</w:t>
      </w:r>
    </w:p>
    <w:p>
      <w:pPr>
        <w:ind w:firstLine="560"/>
      </w:pPr>
      <w:r>
        <w:t>11．大型集会和游园等群体性活动中，因拥挤、踩踏等造成30人以上死亡事故。</w:t>
      </w:r>
    </w:p>
    <w:p>
      <w:pPr>
        <w:ind w:firstLine="560"/>
      </w:pPr>
      <w:r>
        <w:rPr>
          <w:rFonts w:hint="eastAsia"/>
        </w:rPr>
        <w:t>重大安全事故包括：</w:t>
      </w:r>
    </w:p>
    <w:p>
      <w:pPr>
        <w:ind w:firstLine="560"/>
      </w:pPr>
      <w:r>
        <w:t>1．造成10人以上、30人以下死亡（含失踪），或危及10人以上、30人以下生命安全，或直接经济损失5000万元以上、1亿元以下的事故，或50人以上、100人以下中毒（重伤），或需紧急转移安置5万人以上、10万人以下事故；</w:t>
      </w:r>
    </w:p>
    <w:p>
      <w:pPr>
        <w:ind w:firstLine="560"/>
      </w:pPr>
      <w:r>
        <w:t>2．国内外民用运输航空器在我国境内，或我民用运输航空器在境外发生重大飞行事故；</w:t>
      </w:r>
    </w:p>
    <w:p>
      <w:pPr>
        <w:ind w:firstLine="560"/>
      </w:pPr>
      <w:r>
        <w:t>3．危及10人以上、30人以下生命安全的水上突发事件或水上保安事件；3000吨以上、10000吨以下的非客船、非危险化学品船发生碰撞、触礁、火灾等对船舶及人员生命安全造成威胁的水上突发事件；</w:t>
      </w:r>
    </w:p>
    <w:p>
      <w:pPr>
        <w:ind w:firstLine="560"/>
      </w:pPr>
      <w:r>
        <w:t>4．铁路繁忙干线、国家高速公路网线路遭受破坏，或因灾严重损毁，造成通行中断，经抢修24小时内无法恢复通车；</w:t>
      </w:r>
    </w:p>
    <w:p>
      <w:pPr>
        <w:ind w:firstLine="560"/>
      </w:pPr>
      <w:r>
        <w:t>5．重要港口遭受严重损坏，长江干线或黑龙江界河等重要航道断航12小时以上、24小时以内；</w:t>
      </w:r>
    </w:p>
    <w:p>
      <w:pPr>
        <w:ind w:firstLine="560"/>
      </w:pPr>
      <w:r>
        <w:t>6．造成跨区电网或区域电网减供负荷达到事故前总负荷的10%以上、30%以下，或造成重要政治、经济中心城市减供负荷达到事故前总负荷的20%以上、50%以下；</w:t>
      </w:r>
    </w:p>
    <w:p>
      <w:pPr>
        <w:ind w:firstLine="560"/>
      </w:pPr>
      <w:r>
        <w:t>7．造成重大影响和损失的通信、信息网络、特种设备事故和城市轨道、道路交通、大中城市供水、燃气设施供应中断，或造成3万户以上居民停水、停气24小时以上的事故；</w:t>
      </w:r>
    </w:p>
    <w:p>
      <w:pPr>
        <w:ind w:firstLine="560"/>
      </w:pPr>
      <w:r>
        <w:t>8．大型集会和游园等群体性活动中，因拥挤、踩踏等造成10人以上、30人以下死亡的事故；</w:t>
      </w:r>
    </w:p>
    <w:p>
      <w:pPr>
        <w:ind w:firstLine="560"/>
      </w:pPr>
      <w:r>
        <w:t>9．其它一些无法量化但性质严重，对社会稳定、对经济建设造成重大影响的事故。</w:t>
      </w:r>
    </w:p>
    <w:p>
      <w:pPr>
        <w:ind w:firstLine="560"/>
      </w:pPr>
      <w:r>
        <w:rPr>
          <w:rFonts w:hint="eastAsia"/>
        </w:rPr>
        <w:t>（二）环境污染和生态破坏事故</w:t>
      </w:r>
    </w:p>
    <w:p>
      <w:pPr>
        <w:ind w:firstLine="560"/>
      </w:pPr>
      <w:r>
        <w:rPr>
          <w:rFonts w:hint="eastAsia"/>
        </w:rPr>
        <w:t>特别重大环境污染和生态破坏事故包括：</w:t>
      </w:r>
    </w:p>
    <w:p>
      <w:pPr>
        <w:ind w:firstLine="560"/>
      </w:pPr>
      <w:r>
        <w:t>1．发生30人以上死亡，或100人以上中毒（重伤），或因环境事件需疏散、转移群众5万人以上，或直接经济损失1000万元以上，或区域生态功能严重丧失，或濒危物种生存环境遭到严重污染，或因环境污染使当地正常的经济、社会秩序受到严重影响，或1、2类放射源失控造成大范围严重辐射污染后果的；</w:t>
      </w:r>
    </w:p>
    <w:p>
      <w:pPr>
        <w:ind w:firstLine="560"/>
      </w:pPr>
      <w:r>
        <w:t>2．因环境污染造成重要城市主要水源地取水中断的污染事故；</w:t>
      </w:r>
    </w:p>
    <w:p>
      <w:pPr>
        <w:ind w:firstLine="560"/>
      </w:pPr>
      <w:r>
        <w:t>3．因危险化学品（含剧毒品）生产和贮运中发生泄漏，严重影响人民群众生产、生活的污染事故；</w:t>
      </w:r>
    </w:p>
    <w:p>
      <w:pPr>
        <w:ind w:firstLine="560"/>
      </w:pPr>
      <w:r>
        <w:t>4．核设施发生需要进入场外应急的严重核事故，或事故辐射后果可能影响邻省和境外的，或按照“国际核事件分级（INES）标准”3级以上的核事件；</w:t>
      </w:r>
    </w:p>
    <w:p>
      <w:pPr>
        <w:ind w:firstLine="560"/>
      </w:pPr>
      <w:r>
        <w:t>5．高致病病毒、细菌等微生物在实验室研究过程中造成的特大污染事故；</w:t>
      </w:r>
    </w:p>
    <w:p>
      <w:pPr>
        <w:ind w:firstLine="560"/>
      </w:pPr>
      <w:r>
        <w:t>6．转基因生物对人类、动物、植物、微生物和生态系统构成严重威胁，或造成高度侵袭性、传染性、转移性、致病性和破坏性的灾害；</w:t>
      </w:r>
    </w:p>
    <w:p>
      <w:pPr>
        <w:ind w:firstLine="560"/>
      </w:pPr>
      <w:r>
        <w:t>7．台湾省和周边国家核设施中发生的按照“国际核事件分级（INES）标准”属于4级以上的核事故；</w:t>
      </w:r>
    </w:p>
    <w:p>
      <w:pPr>
        <w:ind w:firstLine="560"/>
      </w:pPr>
      <w:r>
        <w:t>8．盗伐、滥伐、聚众哄抢森林、林木数量达5000立方米（幼树25万株）以上事件，毁林开垦、乱占林地、非法改变林地用途属防护林和特种用途林林地1500亩以上，属其它林地3000亩以上的事件。</w:t>
      </w:r>
    </w:p>
    <w:p>
      <w:pPr>
        <w:ind w:firstLine="560"/>
      </w:pPr>
      <w:r>
        <w:rPr>
          <w:rFonts w:hint="eastAsia"/>
        </w:rPr>
        <w:t>重大环境污染和生态破坏事故包括：</w:t>
      </w:r>
    </w:p>
    <w:p>
      <w:pPr>
        <w:ind w:firstLine="560"/>
      </w:pPr>
      <w:r>
        <w:t>1．发生10人以上、30人以下死亡，或50人以上、100人以下中毒，或区域生态功能部分丧失或濒危物种生存环境受到污染；或因环境污染使当地经济、社会活动受到较大影响，疏散转移群众1万人以上、5万人以下的；或1、2类放射源丢失、被盗或失控；</w:t>
      </w:r>
    </w:p>
    <w:p>
      <w:pPr>
        <w:ind w:firstLine="560"/>
      </w:pPr>
      <w:r>
        <w:t>2．因环境污染造成重要河流、湖泊、水库及沿海水域大面积污染，或县级以上城镇水源地取水中断的污染事故；</w:t>
      </w:r>
    </w:p>
    <w:p>
      <w:pPr>
        <w:ind w:firstLine="560"/>
      </w:pPr>
      <w:r>
        <w:t>3．盗伐、滥伐、聚众哄抢森林、林木数量达1000—5000立方米（幼树5万一25万株）的事件，毁林开垦、乱占林地、非法改变林地用途属防护林和特种用途林林地500一1500亩，属其它林地1000—3000亩的事件；‘</w:t>
      </w:r>
    </w:p>
    <w:p>
      <w:pPr>
        <w:ind w:firstLine="560"/>
      </w:pPr>
      <w:r>
        <w:t>4．对国家级自然保护区和风景名胜区造成重大直接经济损失的环境污染事故，或资源开发造成严重环境污染和生态破坏，可能导致主要保护对象或其栖息地遭受毁灭性破坏，或直接威胁当地群众生产、生活和游客安全的事故；</w:t>
      </w:r>
    </w:p>
    <w:p>
      <w:pPr>
        <w:ind w:firstLine="560"/>
      </w:pPr>
      <w:r>
        <w:t>5．由于自然、生物、人为因素造成国家重点保护野生动（植）物种群大批死亡或可能造成物种灭绝事件；</w:t>
      </w:r>
    </w:p>
    <w:p>
      <w:pPr>
        <w:ind w:firstLine="560"/>
      </w:pPr>
      <w:r>
        <w:t>6．核设备和铀矿冶炼设施发生的，达到进入场区应急状态标准；</w:t>
      </w:r>
    </w:p>
    <w:p>
      <w:pPr>
        <w:ind w:firstLine="560"/>
      </w:pPr>
      <w:r>
        <w:t>7．进口再生原料严重环保超标和进口货物严重核辐射超标或含有爆炸物品的事件；</w:t>
      </w:r>
    </w:p>
    <w:p>
      <w:pPr>
        <w:ind w:firstLine="560"/>
      </w:pPr>
      <w:r>
        <w:t>8．非法倾倒、埋藏剧毒危险废物事件。</w:t>
      </w:r>
    </w:p>
    <w:p>
      <w:pPr>
        <w:ind w:firstLine="560"/>
      </w:pPr>
      <w:r>
        <w:rPr>
          <w:rFonts w:hint="eastAsia"/>
        </w:rPr>
        <w:t>三、公共卫生事件类</w:t>
      </w:r>
    </w:p>
    <w:p>
      <w:pPr>
        <w:ind w:firstLine="560"/>
      </w:pPr>
      <w:r>
        <w:rPr>
          <w:rFonts w:hint="eastAsia"/>
        </w:rPr>
        <w:t>（一）公共卫生事件</w:t>
      </w:r>
    </w:p>
    <w:p>
      <w:pPr>
        <w:ind w:firstLine="560"/>
      </w:pPr>
      <w:r>
        <w:rPr>
          <w:rFonts w:hint="eastAsia"/>
        </w:rPr>
        <w:t>特别重大公共卫生事件包括：</w:t>
      </w:r>
    </w:p>
    <w:p>
      <w:pPr>
        <w:ind w:firstLine="560"/>
      </w:pPr>
      <w:r>
        <w:t>1．肺鼠疫、肺炭疽在大、中城市发生，疫情有扩散趋势；或肺鼠疫、肺炭疽疫情波及2个以上的省份，并有进一步扩散趋势；</w:t>
      </w:r>
    </w:p>
    <w:p>
      <w:pPr>
        <w:ind w:firstLine="560"/>
      </w:pPr>
      <w:r>
        <w:t>2．发生传染性非典型肺炎、人感染高致病性禽流感病例，疫情有扩散趋势：</w:t>
      </w:r>
    </w:p>
    <w:p>
      <w:pPr>
        <w:ind w:firstLine="560"/>
      </w:pPr>
      <w:r>
        <w:t>3．涉及多个省份的群体性不明原因疾病，并有扩散趋势；</w:t>
      </w:r>
    </w:p>
    <w:p>
      <w:pPr>
        <w:ind w:firstLine="560"/>
      </w:pPr>
      <w:r>
        <w:t>4．发生新传染病，或我国尚未发现的传染病发生或传入，并有扩散趋势；或发现我国已消灭传染病重新流行；</w:t>
      </w:r>
    </w:p>
    <w:p>
      <w:pPr>
        <w:ind w:firstLine="560"/>
      </w:pPr>
      <w:r>
        <w:t>5．发生烈性病菌株、毒株、致病因子等丢失事件；</w:t>
      </w:r>
    </w:p>
    <w:p>
      <w:pPr>
        <w:ind w:firstLine="560"/>
      </w:pPr>
      <w:r>
        <w:t>6．对2个以上省（区、市）造成严重威胁，并有进一步扩散趋势的特别重大食品安全事故；</w:t>
      </w:r>
    </w:p>
    <w:p>
      <w:pPr>
        <w:ind w:firstLine="560"/>
      </w:pPr>
      <w:r>
        <w:t>7．周边以及与我国通航的国家和地区发生特大传染病疫情，并出现输入性病例，严重危及我国公共卫生安全的事件；</w:t>
      </w:r>
    </w:p>
    <w:p>
      <w:pPr>
        <w:ind w:firstLine="560"/>
      </w:pPr>
      <w:r>
        <w:t>8．发生跨地区（香港、澳门、台湾）、跨国食品安全事故，造成特别严重社会影响的；</w:t>
      </w:r>
    </w:p>
    <w:p>
      <w:pPr>
        <w:ind w:firstLine="560"/>
      </w:pPr>
      <w:r>
        <w:t>9．其它危害特别严重的突发公共卫生事件。</w:t>
      </w:r>
    </w:p>
    <w:p>
      <w:pPr>
        <w:ind w:firstLine="560"/>
      </w:pPr>
      <w:r>
        <w:rPr>
          <w:rFonts w:hint="eastAsia"/>
        </w:rPr>
        <w:t>重大公共卫生事件包括：</w:t>
      </w:r>
    </w:p>
    <w:p>
      <w:pPr>
        <w:ind w:firstLine="560"/>
      </w:pPr>
      <w:r>
        <w:t>1．在1个县（市）范围内，1个平均潜伏期内发生5例以上肺鼠疫、肺炭疽病例，或相关联的疫情波及2个以上的县（市）；</w:t>
      </w:r>
    </w:p>
    <w:p>
      <w:pPr>
        <w:ind w:firstLine="560"/>
      </w:pPr>
      <w:r>
        <w:t>2．腺鼠疫发生流行，在1个市（地）范围内，1个平均潜伏期内多点连续发病20例以上，或流行范围波及2个以上市（地）；</w:t>
      </w:r>
    </w:p>
    <w:p>
      <w:pPr>
        <w:ind w:firstLine="560"/>
      </w:pPr>
      <w:r>
        <w:t>3．发生传染性非典型肺炎、人感染高致病性禽流感疑似病例；</w:t>
      </w:r>
    </w:p>
    <w:p>
      <w:pPr>
        <w:ind w:firstLine="560"/>
      </w:pPr>
      <w:r>
        <w:t>4．霍乱在1个市（地）范围内流行，l周内发病30例以上；或疫情波及2个以上市（地），有扩散趋势；</w:t>
      </w:r>
    </w:p>
    <w:p>
      <w:pPr>
        <w:ind w:firstLine="560"/>
      </w:pPr>
      <w:r>
        <w:t>5．乙类、丙类传染病疫情波及2个以上县（市），1周内发病水平超过前5年同期平均发病水平2倍以上；</w:t>
      </w:r>
    </w:p>
    <w:p>
      <w:pPr>
        <w:ind w:firstLine="560"/>
      </w:pPr>
      <w:r>
        <w:t>6．我国尚未发现的传染病发生或传入，尚未造成扩散；</w:t>
      </w:r>
    </w:p>
    <w:p>
      <w:pPr>
        <w:ind w:firstLine="560"/>
      </w:pPr>
      <w:r>
        <w:t>7．发生群体性不明原因疾病，扩散到县（市）以外地区；</w:t>
      </w:r>
    </w:p>
    <w:p>
      <w:pPr>
        <w:ind w:firstLine="560"/>
      </w:pPr>
      <w:r>
        <w:t>8．发生重大医源性感染事件；</w:t>
      </w:r>
    </w:p>
    <w:p>
      <w:pPr>
        <w:ind w:firstLine="560"/>
      </w:pPr>
      <w:r>
        <w:t>9．预防接种或群体性用药出现人员死亡事件；</w:t>
      </w:r>
    </w:p>
    <w:p>
      <w:pPr>
        <w:ind w:firstLine="560"/>
      </w:pPr>
      <w:r>
        <w:t>10．对1个省（区、市）内2个以上市（地）造成危害的重大食品安全事故；</w:t>
      </w:r>
    </w:p>
    <w:p>
      <w:pPr>
        <w:ind w:firstLine="560"/>
      </w:pPr>
      <w:r>
        <w:t>11．一次食物中毒人数超过100人并出现死亡病例，或出现10例以上死亡病例；</w:t>
      </w:r>
    </w:p>
    <w:p>
      <w:pPr>
        <w:ind w:firstLine="560"/>
      </w:pPr>
      <w:r>
        <w:t>12．一次发生急性职业中毒50人以上，或死亡5人以上；</w:t>
      </w:r>
    </w:p>
    <w:p>
      <w:pPr>
        <w:ind w:firstLine="560"/>
      </w:pPr>
      <w:r>
        <w:t>13．境内外隐匿运输、邮寄烈性生物病原体、生物毒素造成我境内人员感染或死亡的；</w:t>
      </w:r>
    </w:p>
    <w:p>
      <w:pPr>
        <w:ind w:firstLine="560"/>
      </w:pPr>
      <w:r>
        <w:t>14．其它危害严重的重大突发公共卫生事件。</w:t>
      </w:r>
    </w:p>
    <w:p>
      <w:pPr>
        <w:ind w:firstLine="560"/>
      </w:pPr>
      <w:r>
        <w:rPr>
          <w:rFonts w:hint="eastAsia"/>
        </w:rPr>
        <w:t>（二）动物疫情</w:t>
      </w:r>
    </w:p>
    <w:p>
      <w:pPr>
        <w:ind w:firstLine="560"/>
      </w:pPr>
      <w:r>
        <w:rPr>
          <w:rFonts w:hint="eastAsia"/>
        </w:rPr>
        <w:t>特别重大动物疫情包括：</w:t>
      </w:r>
    </w:p>
    <w:p>
      <w:pPr>
        <w:ind w:firstLine="560"/>
      </w:pPr>
      <w:r>
        <w:t>1．高致病性禽流感在21日内，相邻省份有10个以上县（市）发生疫情；或在1个省（区、市）内有20个以上县（市）发生或10个以上县（市）连片发生疫情；或在数省内呈多发态势；</w:t>
      </w:r>
    </w:p>
    <w:p>
      <w:pPr>
        <w:ind w:firstLine="560"/>
      </w:pPr>
      <w:r>
        <w:t>2．口蹄疫在14日内，5个以上省份发生严重疫情，且疫区连片；</w:t>
      </w:r>
    </w:p>
    <w:p>
      <w:pPr>
        <w:ind w:firstLine="560"/>
      </w:pPr>
      <w:r>
        <w:t>3．动物暴发疯牛病等人畜共患病感染到人，并继续大面积扩散蔓延。</w:t>
      </w:r>
    </w:p>
    <w:p>
      <w:pPr>
        <w:ind w:firstLine="560"/>
      </w:pPr>
      <w:r>
        <w:rPr>
          <w:rFonts w:hint="eastAsia"/>
        </w:rPr>
        <w:t>重大动物疫情包括：</w:t>
      </w:r>
    </w:p>
    <w:p>
      <w:pPr>
        <w:ind w:firstLine="560"/>
      </w:pPr>
      <w:r>
        <w:t>1．高致病性禽流感在21日内，1个省（区、市）内有2个以上市（地）发生疫情，或在1个省（区、市）内有20个以上疫点或5个以上、10个以下县（市）连片发生疫情；</w:t>
      </w:r>
    </w:p>
    <w:p>
      <w:pPr>
        <w:ind w:firstLine="560"/>
      </w:pPr>
      <w:r>
        <w:t>2．口蹄疫在14日内，在1个省（区、市）内有2个以上相邻市（地）或5个以上县（市）发生疫情，或有新的口蹄疫亚型出现并发生疫情；</w:t>
      </w:r>
    </w:p>
    <w:p>
      <w:pPr>
        <w:ind w:firstLine="560"/>
      </w:pPr>
      <w:r>
        <w:t>3．在1个平均潜伏期内，20个以上县（市）发生猪瘟、新城疫疫情，或疫点数达到30个以上；</w:t>
      </w:r>
    </w:p>
    <w:p>
      <w:pPr>
        <w:ind w:firstLine="560"/>
      </w:pPr>
      <w:r>
        <w:t>4．在我国已消灭的牛瘟、牛肺疫等又有发生，或我国尚未发生的疯牛病、非洲猪瘟、非洲马瘟等疫病传入或发生；</w:t>
      </w:r>
    </w:p>
    <w:p>
      <w:pPr>
        <w:ind w:firstLine="560"/>
      </w:pPr>
      <w:r>
        <w:t>5．在1个平均潜伏期内，布鲁氏菌病、结核病、狂犬病、炭疽等二类动物疫病呈暴发流行，波及3个以上地（市），或其中的人畜共患病发生感染人的病例，并有继续扩散趋势。</w:t>
      </w:r>
    </w:p>
    <w:p>
      <w:pPr>
        <w:ind w:firstLine="560"/>
      </w:pPr>
      <w:r>
        <w:rPr>
          <w:rFonts w:hint="eastAsia"/>
        </w:rPr>
        <w:t>四、社会安全事件类</w:t>
      </w:r>
    </w:p>
    <w:p>
      <w:pPr>
        <w:ind w:firstLine="560"/>
      </w:pPr>
      <w:r>
        <w:rPr>
          <w:rFonts w:hint="eastAsia"/>
        </w:rPr>
        <w:t>（一）群体性事件</w:t>
      </w:r>
    </w:p>
    <w:p>
      <w:pPr>
        <w:ind w:firstLine="560"/>
      </w:pPr>
      <w:r>
        <w:rPr>
          <w:rFonts w:hint="eastAsia"/>
        </w:rPr>
        <w:t>特别重大群体性事件包括：</w:t>
      </w:r>
    </w:p>
    <w:p>
      <w:pPr>
        <w:ind w:firstLine="560"/>
      </w:pPr>
      <w:r>
        <w:t>1．一次参与人数5000人以上，严重影响社会稳定的事件；</w:t>
      </w:r>
    </w:p>
    <w:p>
      <w:pPr>
        <w:ind w:firstLine="560"/>
      </w:pPr>
      <w:r>
        <w:t>2．冲击、围攻县级以上党政军机关和要害部门，打、砸、抢、烧乡镇以上党政军机关事件；</w:t>
      </w:r>
    </w:p>
    <w:p>
      <w:pPr>
        <w:ind w:firstLine="560"/>
      </w:pPr>
      <w:r>
        <w:t>3．参与人员对抗性特征突出，已发生大规模的打、砸、抢、烧等违法犯罪行为；</w:t>
      </w:r>
    </w:p>
    <w:p>
      <w:pPr>
        <w:ind w:firstLine="560"/>
      </w:pPr>
      <w:r>
        <w:t>4．阻断铁路繁忙干线、国道、高速公路和重要交通枢纽、城市交通8小时停运，或阻挠、妨碍国家重点建设工程施工，造成24小时以上停工事件；</w:t>
      </w:r>
    </w:p>
    <w:p>
      <w:pPr>
        <w:ind w:firstLine="560"/>
      </w:pPr>
      <w:r>
        <w:t>5．造成10人以上死亡或30人以上受伤，严重危害社会稳定的事件；</w:t>
      </w:r>
    </w:p>
    <w:p>
      <w:pPr>
        <w:ind w:firstLine="560"/>
      </w:pPr>
      <w:r>
        <w:t>6．高校内聚集事件失控，并未经批准走出校门进行大规模游行、集会、绝食、静坐、请愿等行为，引发不同地区连锁反应，严重影响社会稳定；</w:t>
      </w:r>
    </w:p>
    <w:p>
      <w:pPr>
        <w:ind w:firstLine="560"/>
      </w:pPr>
      <w:r>
        <w:t>7．参与人数500人以上，或造成重大人员伤亡的群体性械斗、冲突事件；</w:t>
      </w:r>
    </w:p>
    <w:p>
      <w:pPr>
        <w:ind w:firstLine="560"/>
      </w:pPr>
      <w:r>
        <w:t>8．参与人数在10人以上的暴狱事件；</w:t>
      </w:r>
    </w:p>
    <w:p>
      <w:pPr>
        <w:ind w:firstLine="560"/>
      </w:pPr>
      <w:r>
        <w:t>9．出现全国范围或跨省（区、市），或跨行业的严重影响社会稳定的互动性连锁反应；</w:t>
      </w:r>
    </w:p>
    <w:p>
      <w:pPr>
        <w:ind w:firstLine="560"/>
      </w:pPr>
      <w:r>
        <w:t>10．其它视情况需要作为特别重大群体性事件对待的事件。</w:t>
      </w:r>
    </w:p>
    <w:p>
      <w:pPr>
        <w:ind w:firstLine="560"/>
      </w:pPr>
      <w:r>
        <w:rPr>
          <w:rFonts w:hint="eastAsia"/>
        </w:rPr>
        <w:t>重大群体性事件包括：</w:t>
      </w:r>
    </w:p>
    <w:p>
      <w:pPr>
        <w:ind w:firstLine="560"/>
      </w:pPr>
      <w:r>
        <w:t>1．参与人数在1000人以上，5000人以下，影响较大的非法集会游行示威、上访请愿、聚众闹事、罢工（市、课）等，或人数不多但涉及面广和有可能进京的非法集会和集体上访事件；</w:t>
      </w:r>
    </w:p>
    <w:p>
      <w:pPr>
        <w:ind w:firstLine="560"/>
      </w:pPr>
      <w:r>
        <w:t>2．造成3人以上、10人以下死亡，或10人以上、30人以下受伤群体性事件；</w:t>
      </w:r>
    </w:p>
    <w:p>
      <w:pPr>
        <w:ind w:firstLine="560"/>
      </w:pPr>
      <w:r>
        <w:t>3．高校校园网上出现大范围串联、煽动和蛊惑信息，校内聚集规模迅速扩大并出现多校串联聚集趋势，学校正常教育教学秩序受到严重影响甚至瘫痪，或因高校统一招生试题泄密引发的群体性事件；</w:t>
      </w:r>
    </w:p>
    <w:p>
      <w:pPr>
        <w:ind w:firstLine="560"/>
      </w:pPr>
      <w:r>
        <w:t>4．参与人数200人以上、500人以下，或造成较大人员伤亡的群体性械斗、冲突事件；</w:t>
      </w:r>
    </w:p>
    <w:p>
      <w:pPr>
        <w:ind w:firstLine="560"/>
      </w:pPr>
      <w:r>
        <w:t>5．涉及境内外宗教组织背景的大型非法宗教活动，或因民族宗教问题引发的严重影响民族团结的群体性事件；</w:t>
      </w:r>
    </w:p>
    <w:p>
      <w:pPr>
        <w:ind w:firstLine="560"/>
      </w:pPr>
      <w:r>
        <w:t>6．因土地、矿产、水资源、森林、草原、水域等权属争议和环境污染、生态破坏引发的，造成严重后果的群体性事件；</w:t>
      </w:r>
    </w:p>
    <w:p>
      <w:pPr>
        <w:ind w:firstLine="560"/>
      </w:pPr>
      <w:r>
        <w:t>7．已出现跨省（区、市）或行业影响社会稳定的连锁反应，或造成了较严重的危害和损失，事态仍可能进一步扩大和升级；</w:t>
      </w:r>
    </w:p>
    <w:p>
      <w:pPr>
        <w:ind w:firstLine="560"/>
      </w:pPr>
      <w:r>
        <w:t>8．其它视情况需要作为重大群体性事件对待的事件。</w:t>
      </w:r>
    </w:p>
    <w:p>
      <w:pPr>
        <w:ind w:firstLine="560"/>
      </w:pPr>
      <w:r>
        <w:rPr>
          <w:rFonts w:hint="eastAsia"/>
        </w:rPr>
        <w:t>（二）金融突发事件</w:t>
      </w:r>
    </w:p>
    <w:p>
      <w:pPr>
        <w:ind w:firstLine="560"/>
      </w:pPr>
      <w:r>
        <w:rPr>
          <w:rFonts w:hint="eastAsia"/>
        </w:rPr>
        <w:t>特别重大金融突发事件包括：</w:t>
      </w:r>
    </w:p>
    <w:p>
      <w:pPr>
        <w:ind w:firstLine="560"/>
      </w:pPr>
      <w:r>
        <w:t>1．具有全国性影响且涉及本地区银行业金融机构的突发事件；</w:t>
      </w:r>
    </w:p>
    <w:p>
      <w:pPr>
        <w:ind w:firstLine="560"/>
      </w:pPr>
      <w:r>
        <w:t>2．金融行业已出现或将要出现连锁反应，需要各有关部门协同配合共同处置的金融突发事件；</w:t>
      </w:r>
    </w:p>
    <w:p>
      <w:pPr>
        <w:ind w:firstLine="560"/>
      </w:pPr>
      <w:r>
        <w:t>3．国际上出现的，已经影响或极有可能影响国内宏观金融稳定的金融突发事件。</w:t>
      </w:r>
    </w:p>
    <w:p>
      <w:pPr>
        <w:ind w:firstLine="560"/>
      </w:pPr>
      <w:r>
        <w:rPr>
          <w:rFonts w:hint="eastAsia"/>
        </w:rPr>
        <w:t>重大金融突发事件包括：</w:t>
      </w:r>
    </w:p>
    <w:p>
      <w:pPr>
        <w:ind w:firstLine="560"/>
      </w:pPr>
      <w:r>
        <w:t>1．对金融行业造成影响，但未造成全国性影响的金融突发事件；</w:t>
      </w:r>
    </w:p>
    <w:p>
      <w:pPr>
        <w:ind w:firstLine="560"/>
      </w:pPr>
      <w:r>
        <w:t>2．所涉及省（区、市）监管部门不能单独应对，需进行跨省（区、市）或跨部门协调的金融突发事件。</w:t>
      </w:r>
    </w:p>
    <w:p>
      <w:pPr>
        <w:ind w:firstLine="560"/>
      </w:pPr>
      <w:r>
        <w:rPr>
          <w:rFonts w:hint="eastAsia"/>
        </w:rPr>
        <w:t>（三）涉外突发事件</w:t>
      </w:r>
    </w:p>
    <w:p>
      <w:pPr>
        <w:ind w:firstLine="560"/>
      </w:pPr>
      <w:r>
        <w:rPr>
          <w:rFonts w:hint="eastAsia"/>
        </w:rPr>
        <w:t>特别重大涉外突发事件包括：</w:t>
      </w:r>
    </w:p>
    <w:p>
      <w:pPr>
        <w:ind w:firstLine="560"/>
      </w:pPr>
      <w:r>
        <w:t>1．一次造成30人以上死亡或100人以上伤亡的境外涉我及境内涉外事件；</w:t>
      </w:r>
    </w:p>
    <w:p>
      <w:pPr>
        <w:ind w:firstLine="560"/>
      </w:pPr>
      <w:r>
        <w:t>2．造成我境外国家利益、机构和人员安全及财产重大损失，造成境内外国驻华外交机构、其它机构和人员安全及重大财产损失，并具有重大政治和社会影响的涉外事件；</w:t>
      </w:r>
    </w:p>
    <w:p>
      <w:pPr>
        <w:ind w:firstLine="560"/>
      </w:pPr>
      <w:r>
        <w:t>3．有关国家、地区发生特别重大突发事件，需要迅速撤离我驻外机构和人员、撤侨的涉外事件。</w:t>
      </w:r>
    </w:p>
    <w:p>
      <w:pPr>
        <w:ind w:firstLine="560"/>
      </w:pPr>
      <w:r>
        <w:rPr>
          <w:rFonts w:hint="eastAsia"/>
        </w:rPr>
        <w:t>重大涉外突发事件包括：</w:t>
      </w:r>
    </w:p>
    <w:p>
      <w:pPr>
        <w:ind w:firstLine="560"/>
      </w:pPr>
      <w:r>
        <w:t>1．一次事件造成10人以上、30人以下死亡，或50人以上、100人以下伤亡的境外涉我及境内涉外事件；</w:t>
      </w:r>
    </w:p>
    <w:p>
      <w:pPr>
        <w:ind w:firstLine="560"/>
      </w:pPr>
      <w:r>
        <w:t>2．造成或可能造成我境外国家利益、机构和人员安全及较大财产损失，造成或可能造成外国驻华外交机构、其它机构和人员安全及财产较大损失，并具有较大政治和社会影响的涉外事件；</w:t>
      </w:r>
    </w:p>
    <w:p>
      <w:pPr>
        <w:ind w:firstLine="560"/>
      </w:pPr>
      <w:r>
        <w:t>3．有关国家、地区发生重大突发事件，需要尽快撤离我驻外部分机构和人员、部分撤侨的涉外事件。</w:t>
      </w:r>
    </w:p>
    <w:p>
      <w:pPr>
        <w:ind w:firstLine="560"/>
      </w:pPr>
      <w:r>
        <w:rPr>
          <w:rFonts w:hint="eastAsia"/>
        </w:rPr>
        <w:t>（四）影响市场稳定的突发事件</w:t>
      </w:r>
    </w:p>
    <w:p>
      <w:pPr>
        <w:ind w:firstLine="560"/>
      </w:pPr>
      <w:r>
        <w:rPr>
          <w:rFonts w:hint="eastAsia"/>
        </w:rPr>
        <w:t>特别重大突发事件包括：</w:t>
      </w:r>
    </w:p>
    <w:p>
      <w:pPr>
        <w:ind w:firstLine="560"/>
      </w:pPr>
      <w:r>
        <w:t>1．2个以上省(区、市)出现群众大量集中抢购、粮食脱销断档、价格大幅度上涨等粮食市场急剧波动的状况，以及超过省级人民政府处置能力和国务院认为需要按照国家级粮食应急状态来对待的情况；在直辖市发生重要生活必需品市场异常波动供应短缺；</w:t>
      </w:r>
    </w:p>
    <w:p>
      <w:pPr>
        <w:ind w:firstLine="560"/>
      </w:pPr>
      <w:r>
        <w:t>2．在2个以上省会城市或计划单列市发生重要生活必需品市场异常波动，供应短缺；</w:t>
      </w:r>
    </w:p>
    <w:p>
      <w:pPr>
        <w:ind w:firstLine="560"/>
      </w:pPr>
      <w:r>
        <w:t>3．在相邻省份的相邻区域有2个以上市（地）发生重要生活必需品市场异常波动，供应短缺；</w:t>
      </w:r>
    </w:p>
    <w:p>
      <w:pPr>
        <w:ind w:firstLine="560"/>
      </w:pPr>
      <w:r>
        <w:t>4．在数个省（区、市）内呈多发态势的重要生活必需的市场异常波动，供应短缺。</w:t>
      </w:r>
    </w:p>
    <w:p>
      <w:pPr>
        <w:ind w:firstLine="560"/>
      </w:pPr>
      <w:r>
        <w:rPr>
          <w:rFonts w:hint="eastAsia"/>
        </w:rPr>
        <w:t>重大突发事件包括：</w:t>
      </w:r>
    </w:p>
    <w:p>
      <w:pPr>
        <w:ind w:firstLine="560"/>
      </w:pPr>
      <w:r>
        <w:t>1．在1个省（区、市）较大范围或省会等大中城市出现粮食市场急剧波动状况；</w:t>
      </w:r>
    </w:p>
    <w:p>
      <w:pPr>
        <w:ind w:firstLine="560"/>
      </w:pPr>
      <w:r>
        <w:t>2．在1个省会城市或计划单列市发生重要生活必需品市场异常波动，供应短缺；</w:t>
      </w:r>
    </w:p>
    <w:p>
      <w:pPr>
        <w:ind w:firstLine="560"/>
      </w:pPr>
      <w:r>
        <w:t>3．在1个省（区、市）内2个以上市（地）发生重要生活必需品市场异常波动，供应短缺。</w:t>
      </w:r>
    </w:p>
    <w:p>
      <w:pPr>
        <w:ind w:firstLine="560"/>
      </w:pPr>
      <w:r>
        <w:rPr>
          <w:rFonts w:hint="eastAsia"/>
        </w:rPr>
        <w:t>（五）恐怖袭击事件</w:t>
      </w:r>
    </w:p>
    <w:p>
      <w:pPr>
        <w:ind w:firstLine="560"/>
      </w:pPr>
      <w:r>
        <w:t>1．利用生物制剂、化学毒剂进行大规模袭击或攻击生产、贮存、运输生化毒物设施、工具的；</w:t>
      </w:r>
    </w:p>
    <w:p>
      <w:pPr>
        <w:ind w:firstLine="560"/>
      </w:pPr>
      <w:r>
        <w:t>2．利用核爆炸、核辐射进行袭击或攻击核设施、核材料装运工具的；</w:t>
      </w:r>
    </w:p>
    <w:p>
      <w:pPr>
        <w:ind w:firstLine="560"/>
      </w:pPr>
      <w:r>
        <w:t>3．利用爆炸手段，袭击党政军首脑机关、警卫现场、城市标志性建筑物、公众聚集场所、国家重要基础设施、主要军事设施、民生设施、航空器的；</w:t>
      </w:r>
    </w:p>
    <w:p>
      <w:pPr>
        <w:ind w:firstLine="560"/>
      </w:pPr>
      <w:r>
        <w:t>4．劫持航空器、轮船、火车等公共交通工具，造成严重危害后果的；</w:t>
      </w:r>
    </w:p>
    <w:p>
      <w:pPr>
        <w:ind w:firstLine="560"/>
      </w:pPr>
      <w:r>
        <w:t>5．袭击、劫持警卫对象、国内外重要知名人士及大规模袭击、劫持平民，造成重大影响和危害的；</w:t>
      </w:r>
    </w:p>
    <w:p>
      <w:pPr>
        <w:ind w:firstLine="560"/>
      </w:pPr>
      <w:r>
        <w:t>6．袭击外国驻华使领馆、国际组织驻华代表机构及其人员寓所等重要、敏感涉外场所的；</w:t>
      </w:r>
    </w:p>
    <w:p>
      <w:pPr>
        <w:ind w:firstLine="560"/>
      </w:pPr>
      <w:r>
        <w:t>7．大规模攻击国家机关、军队或民用计算机信息系统，构成重大危害的。</w:t>
      </w:r>
    </w:p>
    <w:p>
      <w:pPr>
        <w:ind w:firstLine="560"/>
      </w:pPr>
      <w:r>
        <w:rPr>
          <w:rFonts w:hint="eastAsia"/>
        </w:rPr>
        <w:t>（六）刑事案件。</w:t>
      </w:r>
    </w:p>
    <w:p>
      <w:pPr>
        <w:ind w:firstLine="560"/>
      </w:pPr>
      <w:r>
        <w:rPr>
          <w:rFonts w:hint="eastAsia"/>
        </w:rPr>
        <w:t>特别重大刑事案件包括：</w:t>
      </w:r>
    </w:p>
    <w:p>
      <w:pPr>
        <w:ind w:firstLine="560"/>
      </w:pPr>
      <w:r>
        <w:t>1．一次造成10人以上死亡的杀人、爆炸、纵火、毒气、投放危险物质和邮寄危险物品等案件，或在公共场所造成6人以上死亡的案件，或采取绑架、劫持人质等手段，造成恶劣社会影响或可能造成严重后果的案件；</w:t>
      </w:r>
    </w:p>
    <w:p>
      <w:pPr>
        <w:ind w:firstLine="560"/>
      </w:pPr>
      <w:r>
        <w:t>2．抢劫金融机构或运钞车，盗窃金融机构现金100万元以上的案件；</w:t>
      </w:r>
    </w:p>
    <w:p>
      <w:pPr>
        <w:ind w:firstLine="560"/>
      </w:pPr>
      <w:r>
        <w:t>3．在国内发生的劫持民用运输航空器、客轮和货轮等，或国内运输航空器、客轮和货轮等在境外被劫持案件；</w:t>
      </w:r>
    </w:p>
    <w:p>
      <w:pPr>
        <w:ind w:firstLine="560"/>
      </w:pPr>
      <w:r>
        <w:t>4．抢劫、走私、盗窃军（警）用枪械10支以上的案件；</w:t>
      </w:r>
    </w:p>
    <w:p>
      <w:pPr>
        <w:ind w:firstLine="560"/>
      </w:pPr>
      <w:r>
        <w:t>5．危害性大的放射性材料或数量特大的炸药或雷管被盗、丢失案件；</w:t>
      </w:r>
    </w:p>
    <w:p>
      <w:pPr>
        <w:ind w:firstLine="560"/>
      </w:pPr>
      <w:r>
        <w:t>6．走私危害性大的放射性材料，走私固体废物达100吨以上的案件；</w:t>
      </w:r>
    </w:p>
    <w:p>
      <w:pPr>
        <w:ind w:firstLine="560"/>
      </w:pPr>
      <w:r>
        <w:t>7．制服毒品（海洛因、冰毒）20公斤以上案件；</w:t>
      </w:r>
    </w:p>
    <w:p>
      <w:pPr>
        <w:ind w:firstLine="560"/>
      </w:pPr>
      <w:r>
        <w:t>8．盗窃、出卖、泄露及丢失国家秘密资料等可能造成严重后果的案件；</w:t>
      </w:r>
    </w:p>
    <w:p>
      <w:pPr>
        <w:ind w:firstLine="560"/>
      </w:pPr>
      <w:r>
        <w:t>9．攻击和破坏计算机网络、卫星通信、广播电视传输系统等，并对社会稳定造成特大影响的信息安全案件；</w:t>
      </w:r>
    </w:p>
    <w:p>
      <w:pPr>
        <w:ind w:firstLine="560"/>
      </w:pPr>
      <w:r>
        <w:t>10．在我国境内发生的涉外、涉港澳台侨重大刑事案件。</w:t>
      </w:r>
    </w:p>
    <w:p>
      <w:pPr>
        <w:ind w:firstLine="560"/>
      </w:pPr>
      <w:r>
        <w:rPr>
          <w:rFonts w:hint="eastAsia"/>
        </w:rPr>
        <w:t>重大刑事案件包括：</w:t>
      </w:r>
    </w:p>
    <w:p>
      <w:pPr>
        <w:ind w:firstLine="560"/>
      </w:pPr>
      <w:r>
        <w:t>1．一次造成公共场所3人以上死亡，或学校内发生的造成人员伤亡、危害严重的杀人、爆炸、纵火、毒气、绑架、劫持人质和投入危险物质案件；</w:t>
      </w:r>
    </w:p>
    <w:p>
      <w:pPr>
        <w:ind w:firstLine="560"/>
      </w:pPr>
      <w:r>
        <w:t>2．劫持现金50万元以上或财物价值200万元以上，盗窃现金100万元以上的或财物价值300万元以上，或抢劫金融机构或运钞车，盗窃金融机构现金30万元以上的案件；</w:t>
      </w:r>
    </w:p>
    <w:p>
      <w:pPr>
        <w:ind w:firstLine="560"/>
      </w:pPr>
      <w:r>
        <w:t>3．有组织团伙性制售假劣药品、医疗器械和有毒有害食品，对人体健康和生命安全造成威胁的案件；</w:t>
      </w:r>
    </w:p>
    <w:p>
      <w:pPr>
        <w:ind w:firstLine="560"/>
      </w:pPr>
      <w:r>
        <w:t>4．案值数额在2000万元以上的走私、骗汇、逃汇、洗钱、金融诈骗案、增值税发票及其它票证案，面值在200万元以上的制贩假币案件；</w:t>
      </w:r>
    </w:p>
    <w:p>
      <w:pPr>
        <w:ind w:firstLine="560"/>
      </w:pPr>
      <w:r>
        <w:t>5．因假劣种子、化肥、农药等农用生产资料造成大面积绝收、减产的坑农案件；</w:t>
      </w:r>
    </w:p>
    <w:p>
      <w:pPr>
        <w:ind w:firstLine="560"/>
      </w:pPr>
      <w:r>
        <w:t>6．非法猎捕、采集国家重点保护野生动植物和破坏物种资源致使物种或种群面临灭绝危险的重大案件；</w:t>
      </w:r>
    </w:p>
    <w:p>
      <w:pPr>
        <w:ind w:firstLine="560"/>
      </w:pPr>
      <w:r>
        <w:t>7．重大制贩毒品（海洛因、冰毒）案件；</w:t>
      </w:r>
    </w:p>
    <w:p>
      <w:pPr>
        <w:ind w:firstLine="560"/>
      </w:pPr>
      <w:r>
        <w:t>8．涉及50人以上，或者偷渡人员较多，且有人员伤亡，在国际上造成一定影响的偷渡案件。</w:t>
      </w:r>
    </w:p>
    <w:p>
      <w:pPr>
        <w:ind w:firstLine="560"/>
      </w:pPr>
      <w:r>
        <w:rPr>
          <w:rFonts w:hint="eastAsia"/>
        </w:rPr>
        <w:t>对一些比较敏感或发生在敏感地区、敏感时间，或可能演化为特别重大、重大突发公共事件的信息报送和分级处理，不受上述标准限制。</w:t>
      </w:r>
    </w:p>
    <w:p>
      <w:pPr>
        <w:pStyle w:val="4"/>
        <w:ind w:firstLine="394"/>
      </w:pPr>
      <w:r>
        <w:br w:type="page"/>
      </w:r>
      <w:r>
        <w:t>2.2</w:t>
      </w:r>
      <w:r>
        <w:rPr>
          <w:rFonts w:hint="eastAsia"/>
        </w:rPr>
        <w:t>滨海新区较大和一般突发事件分级标准</w:t>
      </w:r>
      <w:r>
        <w:t>(试行)</w:t>
      </w:r>
    </w:p>
    <w:p>
      <w:pPr>
        <w:ind w:firstLine="560"/>
      </w:pPr>
      <w:r>
        <w:rPr>
          <w:rFonts w:hint="eastAsia"/>
        </w:rPr>
        <w:t>根据《中华人民共和国突发事件应对法》、国务院颁布《特别重大、重大突发公共事件分级标准</w:t>
      </w:r>
      <w:r>
        <w:t>(试行)》和&lt;天津市《实施中华人民共和国突发事件应对法》办法&gt;结合</w:t>
      </w:r>
      <w:r>
        <w:rPr>
          <w:rFonts w:hint="eastAsia"/>
        </w:rPr>
        <w:t>工作</w:t>
      </w:r>
      <w:r>
        <w:t>实际，制定本标准，作为各部门、功能区管委会、街道办事处、镇政府和工业园区报送较大和一般突发事件信息的标准和按照滨海新区突发事件总体应急预案、专项应急预案规定进行分级处置的依据。</w:t>
      </w:r>
    </w:p>
    <w:p>
      <w:pPr>
        <w:ind w:firstLine="560"/>
      </w:pPr>
      <w:r>
        <w:rPr>
          <w:rFonts w:hint="eastAsia"/>
        </w:rPr>
        <w:t>一、自然灾害类</w:t>
      </w:r>
    </w:p>
    <w:p>
      <w:pPr>
        <w:ind w:firstLine="560"/>
      </w:pPr>
      <w:r>
        <w:t>(一)水旱灾害</w:t>
      </w:r>
    </w:p>
    <w:p>
      <w:pPr>
        <w:ind w:firstLine="560"/>
      </w:pPr>
      <w:r>
        <w:rPr>
          <w:rFonts w:hint="eastAsia"/>
        </w:rPr>
        <w:t>较大水旱灾害包括：</w:t>
      </w:r>
    </w:p>
    <w:p>
      <w:pPr>
        <w:ind w:firstLine="560"/>
      </w:pPr>
      <w:r>
        <w:t>1. 滨海新区内一个流域或其部分区域发生大洪水；</w:t>
      </w:r>
    </w:p>
    <w:p>
      <w:pPr>
        <w:ind w:firstLine="560"/>
      </w:pPr>
      <w:r>
        <w:t>2.天津市内主要河流及主要支流堤防发生决口或出现重大险情；</w:t>
      </w:r>
    </w:p>
    <w:p>
      <w:pPr>
        <w:ind w:firstLine="560"/>
      </w:pPr>
      <w:r>
        <w:t>3.多个功能区管委会、街镇(工业园区)发生严重洪涝灾害；</w:t>
      </w:r>
    </w:p>
    <w:p>
      <w:pPr>
        <w:ind w:firstLine="560"/>
      </w:pPr>
      <w:r>
        <w:t>4.中小型水库发生垮坝或出现对下游安全造成直接影响的重大险情；</w:t>
      </w:r>
    </w:p>
    <w:p>
      <w:pPr>
        <w:ind w:firstLine="560"/>
      </w:pPr>
      <w:r>
        <w:t>5.洪水造成铁路、国家高速公路网和航道通行中断，12小时无法恢复通行；</w:t>
      </w:r>
    </w:p>
    <w:p>
      <w:pPr>
        <w:ind w:firstLine="560"/>
      </w:pPr>
      <w:r>
        <w:t>6.一个功能区管委会发生严重干旱，或多个街镇(工业园区)发生特大干旱；</w:t>
      </w:r>
    </w:p>
    <w:p>
      <w:pPr>
        <w:ind w:firstLine="560"/>
      </w:pPr>
      <w:r>
        <w:t>7. 滨海新区内核心区、南部区域(原大港区域)、北部区域(原汉沽区域)、功能区管委会、街镇(工业园区)发生严重干旱，或其它重点地区发生极度干旱。</w:t>
      </w:r>
    </w:p>
    <w:p>
      <w:pPr>
        <w:ind w:firstLine="560"/>
      </w:pPr>
      <w:r>
        <w:rPr>
          <w:rFonts w:hint="eastAsia"/>
        </w:rPr>
        <w:t>未达到上述标准的水旱灾害为一般水旱灾害。</w:t>
      </w:r>
    </w:p>
    <w:p>
      <w:pPr>
        <w:ind w:firstLine="560"/>
      </w:pPr>
      <w:r>
        <w:t>(二)气象灾害</w:t>
      </w:r>
    </w:p>
    <w:p>
      <w:pPr>
        <w:ind w:firstLine="560"/>
      </w:pPr>
      <w:r>
        <w:rPr>
          <w:rFonts w:hint="eastAsia"/>
        </w:rPr>
        <w:t>较大气象灾害包括：</w:t>
      </w:r>
    </w:p>
    <w:p>
      <w:pPr>
        <w:ind w:firstLine="560"/>
      </w:pPr>
      <w:r>
        <w:t>1.滨海新区气象台发布台风、暴雨、暴雪、寒潮、陆地大风、海上大风、沙尘暴黄色或橙色预警信号；</w:t>
      </w:r>
    </w:p>
    <w:p>
      <w:pPr>
        <w:ind w:firstLine="560"/>
      </w:pPr>
      <w:r>
        <w:t>2. 滨海新区气象台发布高温、干旱、霜冻、大雾、霾、道路结冰橙色预警信号；</w:t>
      </w:r>
    </w:p>
    <w:p>
      <w:pPr>
        <w:ind w:firstLine="560"/>
      </w:pPr>
      <w:r>
        <w:t>3.气象灾害后果已经或将要造成人员重大伤亡、经济重大损失或重大危害；</w:t>
      </w:r>
    </w:p>
    <w:p>
      <w:pPr>
        <w:ind w:firstLine="560"/>
      </w:pPr>
      <w:r>
        <w:rPr>
          <w:rFonts w:hint="eastAsia"/>
        </w:rPr>
        <w:t>未达到上述标准的气象灾害为一般气象灾害。</w:t>
      </w:r>
    </w:p>
    <w:p>
      <w:pPr>
        <w:ind w:firstLine="560"/>
      </w:pPr>
      <w:r>
        <w:t>(三)地震灾害</w:t>
      </w:r>
    </w:p>
    <w:p>
      <w:pPr>
        <w:ind w:firstLine="560"/>
      </w:pPr>
      <w:r>
        <w:rPr>
          <w:rFonts w:hint="eastAsia"/>
        </w:rPr>
        <w:t>较大地震灾害包括：</w:t>
      </w:r>
    </w:p>
    <w:p>
      <w:pPr>
        <w:ind w:firstLine="560"/>
      </w:pPr>
      <w:r>
        <w:t>1.在天津市或滨海新区内陆地区发生M≥5.0级地震，出现以下情况之一：造成50人以下死亡；紧急转移安置0.5万人以下；倒塌和严重损坏房屋0.3万间以下；</w:t>
      </w:r>
    </w:p>
    <w:p>
      <w:pPr>
        <w:ind w:firstLine="560"/>
      </w:pPr>
      <w:r>
        <w:t>2.在天津市或滨海新区内陆地区发生5.0≤M&lt;6.0级地震，可初步判定为较大地震灾害。</w:t>
      </w:r>
    </w:p>
    <w:p>
      <w:pPr>
        <w:ind w:firstLine="560"/>
      </w:pPr>
      <w:r>
        <w:rPr>
          <w:rFonts w:hint="eastAsia"/>
        </w:rPr>
        <w:t>一般地震灾害包括：</w:t>
      </w:r>
    </w:p>
    <w:p>
      <w:pPr>
        <w:ind w:firstLine="560"/>
      </w:pPr>
      <w:r>
        <w:t>1.地震灾害各项指标均明显小于较大地震灾害标准，但部分建筑物有一定损坏，造成较大范围人员恐慌；</w:t>
      </w:r>
    </w:p>
    <w:p>
      <w:pPr>
        <w:ind w:firstLine="560"/>
      </w:pPr>
      <w:r>
        <w:t>2.在天津市或滨海新区内陆地区发生4.5≤M&lt;5.0级地震，可初步判定为一般地震灾害。</w:t>
      </w:r>
    </w:p>
    <w:p>
      <w:pPr>
        <w:ind w:firstLine="560"/>
      </w:pPr>
      <w:r>
        <w:t>(四)地质灾害</w:t>
      </w:r>
    </w:p>
    <w:p>
      <w:pPr>
        <w:ind w:firstLine="560"/>
      </w:pPr>
      <w:r>
        <w:rPr>
          <w:rFonts w:hint="eastAsia"/>
        </w:rPr>
        <w:t>较大地质灾害包括：</w:t>
      </w:r>
    </w:p>
    <w:p>
      <w:pPr>
        <w:ind w:firstLine="560"/>
      </w:pPr>
      <w:r>
        <w:t>1.因滑坡、地面塌陷、地裂缝等灾害造成3人以上、10人以下死亡的地质灾害；</w:t>
      </w:r>
    </w:p>
    <w:p>
      <w:pPr>
        <w:ind w:firstLine="560"/>
      </w:pPr>
      <w:r>
        <w:t>2.受地质灾害威胁，需转移人数在100人以上、500人以下，或潜在经济损失1000万元以上、5000万元以下的灾害险情。</w:t>
      </w:r>
    </w:p>
    <w:p>
      <w:pPr>
        <w:ind w:firstLine="560"/>
      </w:pPr>
      <w:r>
        <w:rPr>
          <w:rFonts w:hint="eastAsia"/>
        </w:rPr>
        <w:t>未达到上述标准的地质灾害为一般地质灾害。</w:t>
      </w:r>
    </w:p>
    <w:p>
      <w:pPr>
        <w:ind w:firstLine="560"/>
      </w:pPr>
      <w:r>
        <w:t>(五)海洋灾害</w:t>
      </w:r>
    </w:p>
    <w:p>
      <w:pPr>
        <w:ind w:firstLine="560"/>
      </w:pPr>
      <w:r>
        <w:rPr>
          <w:rFonts w:hint="eastAsia"/>
        </w:rPr>
        <w:t>较大海洋灾害包括：</w:t>
      </w:r>
    </w:p>
    <w:p>
      <w:pPr>
        <w:ind w:firstLine="560"/>
      </w:pPr>
      <w:r>
        <w:t>1.风暴潮、巨浪、海啸、赤潮、海冰等造成3人以上、10人以下死亡海洋灾害；</w:t>
      </w:r>
    </w:p>
    <w:p>
      <w:pPr>
        <w:ind w:firstLine="560"/>
      </w:pPr>
      <w:r>
        <w:t>2.对沿海经济、社会和群众生产、生活等造成较大影响的海洋灾害。</w:t>
      </w:r>
    </w:p>
    <w:p>
      <w:pPr>
        <w:ind w:firstLine="560"/>
      </w:pPr>
      <w:r>
        <w:rPr>
          <w:rFonts w:hint="eastAsia"/>
        </w:rPr>
        <w:t>未达到上述标准的海洋灾害为一般海洋灾害。</w:t>
      </w:r>
    </w:p>
    <w:p>
      <w:pPr>
        <w:ind w:firstLine="560"/>
      </w:pPr>
      <w:r>
        <w:t>(六)生物灾害</w:t>
      </w:r>
    </w:p>
    <w:p>
      <w:pPr>
        <w:ind w:firstLine="560"/>
      </w:pPr>
      <w:r>
        <w:rPr>
          <w:rFonts w:hint="eastAsia"/>
        </w:rPr>
        <w:t>较大生物灾害包括：</w:t>
      </w:r>
    </w:p>
    <w:p>
      <w:pPr>
        <w:ind w:firstLine="560"/>
      </w:pPr>
      <w:r>
        <w:rPr>
          <w:rFonts w:hint="eastAsia"/>
        </w:rPr>
        <w:t>滨海新区较大有害生物发生及境外有害生物侵入，如：因蝗虫、灰飞虱、水稻螟虫、小麦条锈病、草地螟、草原毛虫、苹果蠹蛾和梨枯梢病、美国白蛾、松材线虫病、日本松干蚧、松毛虫、杨树食叶害虫和蛀干类害虫等在一个功能区管委会、街镇或多个功能区管委会、街镇成灾并造成较大经济损失的生物灾害。</w:t>
      </w:r>
    </w:p>
    <w:p>
      <w:pPr>
        <w:ind w:firstLine="560"/>
      </w:pPr>
      <w:r>
        <w:rPr>
          <w:rFonts w:hint="eastAsia"/>
        </w:rPr>
        <w:t>未达到上述标准的生物灾害为一般生物灾害。</w:t>
      </w:r>
    </w:p>
    <w:p>
      <w:pPr>
        <w:ind w:firstLine="560"/>
      </w:pPr>
      <w:r>
        <w:rPr>
          <w:rFonts w:hint="eastAsia"/>
        </w:rPr>
        <w:t>二、事故灾难类</w:t>
      </w:r>
    </w:p>
    <w:p>
      <w:pPr>
        <w:ind w:firstLine="560"/>
      </w:pPr>
      <w:r>
        <w:t>(一)安全事故</w:t>
      </w:r>
    </w:p>
    <w:p>
      <w:pPr>
        <w:ind w:firstLine="560"/>
      </w:pPr>
      <w:r>
        <w:rPr>
          <w:rFonts w:hint="eastAsia"/>
        </w:rPr>
        <w:t>较大安全事故包括：</w:t>
      </w:r>
    </w:p>
    <w:p>
      <w:pPr>
        <w:ind w:firstLine="560"/>
      </w:pPr>
      <w:r>
        <w:t>1.造成3人以上、10人以下死亡(含失踪)，或危及3人以上、10人以下生命安全，或直接经济损失1000万元以上、5000万元以下的事故，或10人以上、50人以下重伤(包括急性工业中毒)，或需紧急转移安置1万人以上、5万人以下事故；</w:t>
      </w:r>
    </w:p>
    <w:p>
      <w:pPr>
        <w:ind w:firstLine="560"/>
      </w:pPr>
      <w:r>
        <w:t>2.国内外民用运输航空器在我市或我区境内，或我市民用运输航空器在省外发生较大飞行事故；</w:t>
      </w:r>
    </w:p>
    <w:p>
      <w:pPr>
        <w:ind w:firstLine="560"/>
      </w:pPr>
      <w:r>
        <w:t>3.危及3人以上、10人以下生命安全的水上突发事件或水上保安事件；1000吨以上、3000吨以下的非客船、非危险化学品船发生碰撞、触礁、火灾等对船舶及人员生命安全造成威胁的水上突发事件；</w:t>
      </w:r>
    </w:p>
    <w:p>
      <w:pPr>
        <w:ind w:firstLine="560"/>
      </w:pPr>
      <w:r>
        <w:t>4.铁路繁忙干线、国家高速公路网线路遭受破坏，或因灾损毁，造成通行中断，经抢修6小时内无法恢复通车；其他铁路线路、市和区内高速公路网线路遭受破坏，或因灾损毁，造成通行中断，经抢修10小时内无法恢复通车；</w:t>
      </w:r>
    </w:p>
    <w:p>
      <w:pPr>
        <w:ind w:firstLine="560"/>
      </w:pPr>
      <w:r>
        <w:t>5.天津港遭受较重损坏，其他港口、码头遭受严重损坏；</w:t>
      </w:r>
    </w:p>
    <w:p>
      <w:pPr>
        <w:ind w:firstLine="560"/>
      </w:pPr>
      <w:r>
        <w:t>6.天津市或滨海新区电网减供负荷达到事故前总负荷的10%以下，并对社会造成较大影响；城市减供负荷达到事故前的20%以上；</w:t>
      </w:r>
    </w:p>
    <w:p>
      <w:pPr>
        <w:ind w:firstLine="560"/>
      </w:pPr>
      <w:r>
        <w:t>7.造成较大影响和损失的通信、信息网络、特种设备事故和道路交通、城市供水、燃气设施供应中断，或造成1万户以上、3万户以下居民停水、停气24小时以上的事故；</w:t>
      </w:r>
    </w:p>
    <w:p>
      <w:pPr>
        <w:ind w:firstLine="560"/>
      </w:pPr>
      <w:r>
        <w:t>8.大型集会和游园等群体性活动中，因拥挤、踩踏等造成3人以上、10人以下死亡的事故；</w:t>
      </w:r>
    </w:p>
    <w:p>
      <w:pPr>
        <w:ind w:firstLine="560"/>
      </w:pPr>
      <w:r>
        <w:t>9.其它一些无法量化但性质严重，对社会稳定、对经济建设造成较大影响的事故。</w:t>
      </w:r>
    </w:p>
    <w:p>
      <w:pPr>
        <w:ind w:firstLine="560"/>
      </w:pPr>
      <w:r>
        <w:rPr>
          <w:rFonts w:hint="eastAsia"/>
        </w:rPr>
        <w:t>一般安全事故包括：</w:t>
      </w:r>
    </w:p>
    <w:p>
      <w:pPr>
        <w:ind w:firstLine="560"/>
      </w:pPr>
      <w:r>
        <w:t>1.一般事故是指造成3人以下死亡(含失踪)，或危及3人以下生命安全，或1000万元以下直接经济损失，或10人以下重伤(包括急性工业中毒)，或需紧急转移安置1万人以下的事故；</w:t>
      </w:r>
    </w:p>
    <w:p>
      <w:pPr>
        <w:ind w:firstLine="560"/>
      </w:pPr>
      <w:r>
        <w:t>2.除特别重大、重大和较大事故之外的对社会稳定、对经济建设造成一定影响的事故。</w:t>
      </w:r>
    </w:p>
    <w:p>
      <w:pPr>
        <w:ind w:firstLine="560"/>
      </w:pPr>
      <w:r>
        <w:t>(二)环境污染事故</w:t>
      </w:r>
    </w:p>
    <w:p>
      <w:pPr>
        <w:ind w:firstLine="560"/>
      </w:pPr>
      <w:r>
        <w:rPr>
          <w:rFonts w:hint="eastAsia"/>
        </w:rPr>
        <w:t>较大环境污染事故包括：</w:t>
      </w:r>
    </w:p>
    <w:p>
      <w:pPr>
        <w:ind w:firstLine="560"/>
      </w:pPr>
      <w:r>
        <w:t>1.因环境事件造成3人以上、10人以下死亡，或中毒(重伤)50人以下；</w:t>
      </w:r>
    </w:p>
    <w:p>
      <w:pPr>
        <w:ind w:firstLine="560"/>
      </w:pPr>
      <w:r>
        <w:t>2.因环境污染造成跨区域纠纷，使当地经济、社会活动受到影响；</w:t>
      </w:r>
    </w:p>
    <w:p>
      <w:pPr>
        <w:ind w:firstLine="560"/>
      </w:pPr>
      <w:r>
        <w:t>3.Ⅲ类放射源丢失、被盗、失控，或者放射性同位素和射线装备失控导致10人以下急性重度放射病、局部器官残疾。</w:t>
      </w:r>
    </w:p>
    <w:p>
      <w:pPr>
        <w:ind w:firstLine="560"/>
      </w:pPr>
      <w:r>
        <w:rPr>
          <w:rFonts w:hint="eastAsia"/>
        </w:rPr>
        <w:t>一般环境污染事故包括：</w:t>
      </w:r>
    </w:p>
    <w:p>
      <w:pPr>
        <w:ind w:firstLine="560"/>
      </w:pPr>
      <w:r>
        <w:t>1.因环境事件造成3人以下死亡；</w:t>
      </w:r>
    </w:p>
    <w:p>
      <w:pPr>
        <w:ind w:firstLine="560"/>
      </w:pPr>
      <w:r>
        <w:t>2.因环境污染造成跨行政区域纠纷，引起一般群体性影响的；</w:t>
      </w:r>
    </w:p>
    <w:p>
      <w:pPr>
        <w:ind w:firstLine="560"/>
      </w:pPr>
      <w:r>
        <w:t>3.Ⅳ类、Ⅴ类放射源丢失、被盗、失控，或者放射性同位素和射线装备失控导致人员受到超过的剂量限值的照射。</w:t>
      </w:r>
    </w:p>
    <w:p>
      <w:pPr>
        <w:ind w:firstLine="560"/>
      </w:pPr>
      <w:r>
        <w:rPr>
          <w:rFonts w:hint="eastAsia"/>
        </w:rPr>
        <w:t>三、公共卫生事件类</w:t>
      </w:r>
    </w:p>
    <w:p>
      <w:pPr>
        <w:ind w:firstLine="560"/>
      </w:pPr>
      <w:r>
        <w:t>(一)公共卫生事件</w:t>
      </w:r>
    </w:p>
    <w:p>
      <w:pPr>
        <w:ind w:firstLine="560"/>
      </w:pPr>
      <w:r>
        <w:rPr>
          <w:rFonts w:hint="eastAsia"/>
        </w:rPr>
        <w:t>较大突发公共卫生事件包括：</w:t>
      </w:r>
    </w:p>
    <w:p>
      <w:pPr>
        <w:ind w:firstLine="560"/>
      </w:pPr>
      <w:r>
        <w:t>1.发生传染性非典型肺炎病例，或周边省市及地区疫情上升；</w:t>
      </w:r>
    </w:p>
    <w:p>
      <w:pPr>
        <w:ind w:firstLine="560"/>
      </w:pPr>
      <w:r>
        <w:t>2.1周内霍乱发病10～30例，或疫情波及2个及以上区（县）；</w:t>
      </w:r>
    </w:p>
    <w:p>
      <w:pPr>
        <w:ind w:firstLine="560"/>
      </w:pPr>
      <w:r>
        <w:t>3.1周内乙、丙类传染病发病水平超过前5年同期平均发病水平1倍以上；</w:t>
      </w:r>
    </w:p>
    <w:p>
      <w:pPr>
        <w:ind w:firstLine="560"/>
      </w:pPr>
      <w:r>
        <w:t>4.发现群体性不明原因疾病；</w:t>
      </w:r>
    </w:p>
    <w:p>
      <w:pPr>
        <w:ind w:firstLine="560"/>
      </w:pPr>
      <w:r>
        <w:t>5.一次食物中毒人数超过100人，或出现死亡病例；或食物中毒事件发生在学校、地区性或全国性重要活动期间的；</w:t>
      </w:r>
    </w:p>
    <w:p>
      <w:pPr>
        <w:ind w:firstLine="560"/>
      </w:pPr>
      <w:r>
        <w:t>6.预防接种或学生预防性服药出现群体心因性反应或不良反应；</w:t>
      </w:r>
    </w:p>
    <w:p>
      <w:pPr>
        <w:ind w:firstLine="560"/>
      </w:pPr>
      <w:r>
        <w:t>7.一次发生急性职业中毒10～50人，或死亡5人以下；</w:t>
      </w:r>
    </w:p>
    <w:p>
      <w:pPr>
        <w:ind w:firstLine="560"/>
      </w:pPr>
      <w:r>
        <w:t>8.一次放射事故超剂量照射人数51～100人，或轻、中度放射损伤人数11～20人。</w:t>
      </w:r>
    </w:p>
    <w:p>
      <w:pPr>
        <w:ind w:firstLine="560"/>
      </w:pPr>
      <w:r>
        <w:rPr>
          <w:rFonts w:hint="eastAsia"/>
        </w:rPr>
        <w:t>一般突发公共卫生事件包括：</w:t>
      </w:r>
      <w:r>
        <w:t xml:space="preserve"> 1.其他省市或区县已有传染性非典型肺炎病例发生、本区存在传入可能，并发现疑似病例；</w:t>
      </w:r>
    </w:p>
    <w:p>
      <w:pPr>
        <w:ind w:firstLine="560"/>
      </w:pPr>
      <w:r>
        <w:t>2.发生霍乱，1周内发病10例以下；</w:t>
      </w:r>
    </w:p>
    <w:p>
      <w:pPr>
        <w:ind w:firstLine="560"/>
      </w:pPr>
      <w:r>
        <w:t>3.一次食物中毒人数30～100人，无死亡病例报告；</w:t>
      </w:r>
    </w:p>
    <w:p>
      <w:pPr>
        <w:ind w:firstLine="560"/>
      </w:pPr>
      <w:r>
        <w:t>4.一次发生急性职业中毒10人以下，未出现死亡；</w:t>
      </w:r>
    </w:p>
    <w:p>
      <w:pPr>
        <w:ind w:firstLine="560"/>
      </w:pPr>
      <w:r>
        <w:t>5.一次放射事故超剂量照射人数10～50人，或轻、中度放射损伤人数3～10人。</w:t>
      </w:r>
    </w:p>
    <w:p>
      <w:pPr>
        <w:ind w:firstLine="560"/>
      </w:pPr>
      <w:r>
        <w:t>(二)动物疫情</w:t>
      </w:r>
    </w:p>
    <w:p>
      <w:pPr>
        <w:ind w:firstLine="560"/>
      </w:pPr>
      <w:r>
        <w:rPr>
          <w:rFonts w:hint="eastAsia"/>
        </w:rPr>
        <w:t>较大突发动物疫情包括：</w:t>
      </w:r>
    </w:p>
    <w:p>
      <w:pPr>
        <w:ind w:firstLine="560"/>
      </w:pPr>
      <w:r>
        <w:t>1.高致病性禽流感21日内，在1个以上功能区管委会、街镇发生疫情，或疫点数达到3个以上；</w:t>
      </w:r>
    </w:p>
    <w:p>
      <w:pPr>
        <w:ind w:firstLine="560"/>
      </w:pPr>
      <w:r>
        <w:t>2.口蹄疫在14日内，在1个以上功能区管委会、街镇发生疫情，或疫点数达到5个以上；</w:t>
      </w:r>
    </w:p>
    <w:p>
      <w:pPr>
        <w:ind w:firstLine="560"/>
      </w:pPr>
      <w:r>
        <w:t>3.在1个平均潜伏期内，在1个以上功能区管委会、街镇发生猪瘟、新城疫疫情，或疫点数达到10个以上；</w:t>
      </w:r>
    </w:p>
    <w:p>
      <w:pPr>
        <w:ind w:firstLine="560"/>
      </w:pPr>
      <w:r>
        <w:t>4.在1个平均潜伏期内，在1以上功能区管委会、街镇发生布鲁氏菌病、结核病、狂犬病、炭疽等二类动物疫病暴发流行；</w:t>
      </w:r>
    </w:p>
    <w:p>
      <w:pPr>
        <w:ind w:firstLine="560"/>
      </w:pPr>
      <w:r>
        <w:t>5.高致病性禽流感、口蹄疫、炭疽等高致病性病原微生物菌种、毒种发生丢失或泄露；</w:t>
      </w:r>
    </w:p>
    <w:p>
      <w:pPr>
        <w:ind w:firstLine="560"/>
      </w:pPr>
      <w:r>
        <w:t>6.市级以上人民政府畜牧兽医主管部门认定的其他较大突发动物疫情。</w:t>
      </w:r>
    </w:p>
    <w:p>
      <w:pPr>
        <w:ind w:firstLine="560"/>
      </w:pPr>
      <w:r>
        <w:rPr>
          <w:rFonts w:hint="eastAsia"/>
        </w:rPr>
        <w:t>一般突发动物疫情包括：</w:t>
      </w:r>
    </w:p>
    <w:p>
      <w:pPr>
        <w:ind w:firstLine="560"/>
      </w:pPr>
      <w:r>
        <w:t>1.高致病性禽流感、口蹄疫、猪瘟、新城疫疫情在1个功能区管委会、街镇行政区域内发生；</w:t>
      </w:r>
    </w:p>
    <w:p>
      <w:pPr>
        <w:ind w:firstLine="560"/>
      </w:pPr>
      <w:r>
        <w:t>2.二、三类动物疫病在1个功能区管委会、街镇行政区域内呈暴发流行；</w:t>
      </w:r>
    </w:p>
    <w:p>
      <w:pPr>
        <w:ind w:firstLine="560"/>
      </w:pPr>
      <w:r>
        <w:t>3.市人民政府畜牧兽医主管部门认定的其他一般突发动物疫情。</w:t>
      </w:r>
    </w:p>
    <w:p>
      <w:pPr>
        <w:ind w:firstLine="560"/>
      </w:pPr>
      <w:r>
        <w:rPr>
          <w:rFonts w:hint="eastAsia"/>
        </w:rPr>
        <w:t>四、社会安全事件类</w:t>
      </w:r>
    </w:p>
    <w:p>
      <w:pPr>
        <w:ind w:firstLine="560"/>
      </w:pPr>
      <w:r>
        <w:t>(一)金融突发事件</w:t>
      </w:r>
    </w:p>
    <w:p>
      <w:pPr>
        <w:ind w:firstLine="560"/>
      </w:pPr>
      <w:r>
        <w:rPr>
          <w:rFonts w:hint="eastAsia"/>
        </w:rPr>
        <w:t>较大金融突发事件包括：</w:t>
      </w:r>
    </w:p>
    <w:p>
      <w:pPr>
        <w:ind w:firstLine="560"/>
      </w:pPr>
      <w:r>
        <w:t>1.对金融行业造成影响，但未造成全市性影响的金融突发事件；</w:t>
      </w:r>
    </w:p>
    <w:p>
      <w:pPr>
        <w:ind w:firstLine="560"/>
      </w:pPr>
      <w:r>
        <w:t>2.所涉及市、区监管部门不能单独应急对需跨市、跨区或部门协调的金融突发事件。</w:t>
      </w:r>
    </w:p>
    <w:p>
      <w:pPr>
        <w:ind w:firstLine="560"/>
      </w:pPr>
      <w:r>
        <w:rPr>
          <w:rFonts w:hint="eastAsia"/>
        </w:rPr>
        <w:t>一般金融突发事件包括：</w:t>
      </w:r>
    </w:p>
    <w:p>
      <w:pPr>
        <w:ind w:firstLine="560"/>
      </w:pPr>
      <w:r>
        <w:t>1.对某一金融系统或单位造成影响，但未对全市金融行业造成影响的金融突发事件；</w:t>
      </w:r>
    </w:p>
    <w:p>
      <w:pPr>
        <w:ind w:firstLine="560"/>
      </w:pPr>
      <w:r>
        <w:t>2.所涉及区监管部门不能单独应对需跨市、跨区或部门协调的金融突发事件。</w:t>
      </w:r>
    </w:p>
    <w:p>
      <w:pPr>
        <w:ind w:firstLine="560"/>
      </w:pPr>
      <w:r>
        <w:t>(二)涉外突发事件</w:t>
      </w:r>
    </w:p>
    <w:p>
      <w:pPr>
        <w:ind w:firstLine="560"/>
      </w:pPr>
      <w:r>
        <w:rPr>
          <w:rFonts w:hint="eastAsia"/>
        </w:rPr>
        <w:t>较大涉外突发事件包括：</w:t>
      </w:r>
    </w:p>
    <w:p>
      <w:pPr>
        <w:ind w:firstLine="560"/>
      </w:pPr>
      <w:r>
        <w:t>1.死亡人数3人以上、10人以下；</w:t>
      </w:r>
    </w:p>
    <w:p>
      <w:pPr>
        <w:ind w:firstLine="560"/>
      </w:pPr>
      <w:r>
        <w:t>2.伤亡人数20人以上、50人以下；</w:t>
      </w:r>
    </w:p>
    <w:p>
      <w:pPr>
        <w:ind w:firstLine="560"/>
      </w:pPr>
      <w:r>
        <w:t>3.造成或可能造成我区境外机构和人员安全及财产一定损失，造成或可能造成外国驻滨海新区外交机构及其他外国在滨海新区机构和人员安全及财产一定损失，并具有一定政治和社会影响。</w:t>
      </w:r>
    </w:p>
    <w:p>
      <w:pPr>
        <w:ind w:firstLine="560"/>
      </w:pPr>
      <w:r>
        <w:rPr>
          <w:rFonts w:hint="eastAsia"/>
        </w:rPr>
        <w:t>一般涉外突发事件包括：</w:t>
      </w:r>
    </w:p>
    <w:p>
      <w:pPr>
        <w:ind w:firstLine="560"/>
      </w:pPr>
      <w:r>
        <w:t>1.一次事件造成3人以下死亡或5人以上、20人以下伤亡的境外涉我区及境内涉外事件；</w:t>
      </w:r>
    </w:p>
    <w:p>
      <w:pPr>
        <w:ind w:firstLine="560"/>
      </w:pPr>
      <w:r>
        <w:t>2.造成或可能造成我区境外国家利益、机构和人员安全及财产一定损失，造成或可能造成在我区的外国驻华外交机构、其他机构和人员安全及财产一定损失，并具有一定政治和社会影响的涉外事件；</w:t>
      </w:r>
    </w:p>
    <w:p>
      <w:pPr>
        <w:ind w:firstLine="560"/>
      </w:pPr>
      <w:r>
        <w:t>3.有关国家、地区发生突发事件、需要撤离我区驻外部分机构和人员、涉及部分撤侨的涉外事件。</w:t>
      </w:r>
    </w:p>
    <w:p>
      <w:pPr>
        <w:ind w:firstLine="560"/>
      </w:pPr>
      <w:r>
        <w:t>(三)刑事案件</w:t>
      </w:r>
    </w:p>
    <w:p>
      <w:pPr>
        <w:ind w:firstLine="560"/>
      </w:pPr>
      <w:r>
        <w:rPr>
          <w:rFonts w:hint="eastAsia"/>
        </w:rPr>
        <w:t>较大刑事案件包括：</w:t>
      </w:r>
    </w:p>
    <w:p>
      <w:pPr>
        <w:ind w:firstLine="560"/>
      </w:pPr>
      <w:r>
        <w:t>1.一次造成2人死亡的命案或者杀人分尸、杀人焚尸、爆炸杀人、持枪杀人、投放危险物质杀人的命案；</w:t>
      </w:r>
    </w:p>
    <w:p>
      <w:pPr>
        <w:ind w:firstLine="560"/>
      </w:pPr>
      <w:r>
        <w:t>2.劫持现金25万元以上、50万元以下，或财物价值100万元以上、200万元以下，盗窃现金50万元以上、100万元以下，或财物价值150万元以上、300万元以下，或抢劫金融机构或运钞车，盗窃金融机构现金15万元以上、30万元以下的案件。</w:t>
      </w:r>
    </w:p>
    <w:p>
      <w:pPr>
        <w:ind w:firstLine="560"/>
      </w:pPr>
      <w:r>
        <w:rPr>
          <w:rFonts w:hint="eastAsia"/>
        </w:rPr>
        <w:t>一般刑事案件包括：</w:t>
      </w:r>
    </w:p>
    <w:p>
      <w:pPr>
        <w:ind w:firstLine="560"/>
      </w:pPr>
      <w:r>
        <w:t>1.劫持现金25万元以下，或财物价值100万元以下，盗窃现金50万元以下，或财物价值150万元以下，或抢劫金融机构或运钞车，盗窃金融机构现金15万元以下的案件；</w:t>
      </w:r>
    </w:p>
    <w:p>
      <w:pPr>
        <w:ind w:firstLine="560"/>
      </w:pPr>
      <w:r>
        <w:t>2.一般毒品案件：走私、贩卖、运输、制造海洛因、冰毒不满10克的；</w:t>
      </w:r>
    </w:p>
    <w:p>
      <w:pPr>
        <w:ind w:firstLine="560"/>
      </w:pPr>
      <w:r>
        <w:t>3.杀死1人的案件、故意伤害致死案件。</w:t>
      </w:r>
    </w:p>
    <w:p>
      <w:pPr>
        <w:ind w:firstLine="560"/>
      </w:pPr>
      <w:r>
        <w:rPr>
          <w:rFonts w:hint="eastAsia"/>
        </w:rPr>
        <w:t>涉及恐怖袭击事件、群体性事件和特别重大、重大突发事件分级标准执行行业部门标准和国务院《特别重大、重大突发公共事件分级标准</w:t>
      </w:r>
      <w:r>
        <w:t>(试行)》。</w:t>
      </w:r>
    </w:p>
    <w:p>
      <w:pPr>
        <w:ind w:firstLine="560"/>
      </w:pPr>
    </w:p>
    <w:p>
      <w:pPr>
        <w:pStyle w:val="3"/>
        <w:ind w:firstLine="301"/>
        <w:sectPr>
          <w:pgSz w:w="11905" w:h="16840"/>
          <w:pgMar w:top="1418" w:right="1134" w:bottom="1247" w:left="1588" w:header="851" w:footer="850" w:gutter="0"/>
          <w:paperSrc w:first="7" w:other="7"/>
          <w:cols w:space="720" w:num="1"/>
          <w:docGrid w:linePitch="628" w:charSpace="0"/>
        </w:sectPr>
      </w:pPr>
    </w:p>
    <w:p>
      <w:pPr>
        <w:pStyle w:val="3"/>
        <w:ind w:firstLine="301"/>
      </w:pPr>
      <w:bookmarkStart w:id="66" w:name="_Toc51575347"/>
      <w:r>
        <w:rPr>
          <w:rFonts w:hint="eastAsia"/>
        </w:rPr>
        <w:t>附件</w:t>
      </w:r>
      <w:r>
        <w:t xml:space="preserve">3 </w:t>
      </w:r>
      <w:r>
        <w:rPr>
          <w:rFonts w:hint="eastAsia"/>
        </w:rPr>
        <w:t>新北街突发事件专项应急预案目录</w:t>
      </w:r>
      <w:bookmarkEnd w:id="66"/>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049"/>
        <w:gridCol w:w="3402"/>
        <w:gridCol w:w="241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9" w:type="pct"/>
            <w:vAlign w:val="center"/>
          </w:tcPr>
          <w:p>
            <w:pPr>
              <w:pStyle w:val="89"/>
              <w:jc w:val="center"/>
              <w:rPr>
                <w:rFonts w:cs="仿宋_GB2312"/>
                <w:b/>
                <w:bCs/>
              </w:rPr>
            </w:pPr>
            <w:r>
              <w:rPr>
                <w:rFonts w:hint="eastAsia" w:cs="仿宋_GB2312"/>
                <w:b/>
                <w:bCs/>
              </w:rPr>
              <w:t>序号</w:t>
            </w:r>
          </w:p>
        </w:tc>
        <w:tc>
          <w:tcPr>
            <w:tcW w:w="558" w:type="pct"/>
            <w:shd w:val="clear" w:color="auto" w:fill="auto"/>
            <w:vAlign w:val="center"/>
          </w:tcPr>
          <w:p>
            <w:pPr>
              <w:pStyle w:val="89"/>
              <w:jc w:val="center"/>
              <w:rPr>
                <w:rFonts w:cs="仿宋_GB2312"/>
                <w:b/>
                <w:bCs/>
              </w:rPr>
            </w:pPr>
            <w:r>
              <w:rPr>
                <w:rFonts w:hint="eastAsia" w:cs="仿宋_GB2312"/>
                <w:b/>
                <w:bCs/>
              </w:rPr>
              <w:t>应急预案类别</w:t>
            </w:r>
          </w:p>
        </w:tc>
        <w:tc>
          <w:tcPr>
            <w:tcW w:w="1810" w:type="pct"/>
            <w:shd w:val="clear" w:color="auto" w:fill="auto"/>
            <w:vAlign w:val="center"/>
          </w:tcPr>
          <w:p>
            <w:pPr>
              <w:pStyle w:val="89"/>
              <w:jc w:val="center"/>
              <w:rPr>
                <w:rFonts w:cs="仿宋_GB2312"/>
                <w:b/>
                <w:bCs/>
              </w:rPr>
            </w:pPr>
            <w:r>
              <w:rPr>
                <w:rFonts w:hint="eastAsia" w:cs="仿宋_GB2312"/>
                <w:b/>
                <w:bCs/>
              </w:rPr>
              <w:t>应急预案名称</w:t>
            </w:r>
          </w:p>
        </w:tc>
        <w:tc>
          <w:tcPr>
            <w:tcW w:w="1282" w:type="pct"/>
            <w:vAlign w:val="center"/>
          </w:tcPr>
          <w:p>
            <w:pPr>
              <w:pStyle w:val="89"/>
              <w:jc w:val="center"/>
              <w:rPr>
                <w:rFonts w:cs="仿宋_GB2312"/>
                <w:b/>
                <w:bCs/>
              </w:rPr>
            </w:pPr>
            <w:r>
              <w:rPr>
                <w:rFonts w:hint="eastAsia" w:cs="仿宋_GB2312"/>
                <w:b/>
                <w:bCs/>
              </w:rPr>
              <w:t>专项应急指挥部</w:t>
            </w:r>
          </w:p>
        </w:tc>
        <w:tc>
          <w:tcPr>
            <w:tcW w:w="1021" w:type="pct"/>
            <w:shd w:val="clear" w:color="auto" w:fill="auto"/>
            <w:vAlign w:val="center"/>
          </w:tcPr>
          <w:p>
            <w:pPr>
              <w:pStyle w:val="89"/>
              <w:jc w:val="center"/>
              <w:rPr>
                <w:rFonts w:cs="仿宋_GB2312"/>
                <w:b/>
                <w:bCs/>
              </w:rPr>
            </w:pPr>
            <w:r>
              <w:rPr>
                <w:rFonts w:hint="eastAsia" w:cs="仿宋_GB2312"/>
                <w:b/>
                <w:bCs/>
              </w:rPr>
              <w:t>牵头编制单位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9" w:type="pct"/>
            <w:vAlign w:val="center"/>
          </w:tcPr>
          <w:p>
            <w:pPr>
              <w:pStyle w:val="89"/>
              <w:numPr>
                <w:ilvl w:val="0"/>
                <w:numId w:val="2"/>
              </w:numPr>
              <w:jc w:val="center"/>
              <w:rPr>
                <w:rFonts w:cs="仿宋_GB2312"/>
              </w:rPr>
            </w:pPr>
          </w:p>
        </w:tc>
        <w:tc>
          <w:tcPr>
            <w:tcW w:w="558" w:type="pct"/>
            <w:vMerge w:val="restart"/>
            <w:shd w:val="clear" w:color="auto" w:fill="auto"/>
            <w:vAlign w:val="center"/>
          </w:tcPr>
          <w:p>
            <w:pPr>
              <w:pStyle w:val="89"/>
              <w:jc w:val="center"/>
              <w:rPr>
                <w:rFonts w:cs="仿宋_GB2312"/>
              </w:rPr>
            </w:pPr>
            <w:r>
              <w:rPr>
                <w:rFonts w:hint="eastAsia" w:cs="仿宋_GB2312"/>
              </w:rPr>
              <w:t>自然</w:t>
            </w:r>
          </w:p>
          <w:p>
            <w:pPr>
              <w:pStyle w:val="89"/>
              <w:jc w:val="center"/>
              <w:rPr>
                <w:rFonts w:cs="仿宋_GB2312"/>
              </w:rPr>
            </w:pPr>
            <w:r>
              <w:rPr>
                <w:rFonts w:hint="eastAsia" w:cs="仿宋_GB2312"/>
              </w:rPr>
              <w:t>灾害</w:t>
            </w:r>
          </w:p>
        </w:tc>
        <w:tc>
          <w:tcPr>
            <w:tcW w:w="1810" w:type="pct"/>
            <w:shd w:val="clear" w:color="auto" w:fill="auto"/>
            <w:vAlign w:val="center"/>
          </w:tcPr>
          <w:p>
            <w:pPr>
              <w:pStyle w:val="89"/>
              <w:jc w:val="center"/>
              <w:rPr>
                <w:rFonts w:cs="仿宋_GB2312"/>
              </w:rPr>
            </w:pPr>
            <w:r>
              <w:rPr>
                <w:rFonts w:hint="eastAsia"/>
              </w:rPr>
              <w:t>新北道办事处地震疏散专项应急预案</w:t>
            </w:r>
          </w:p>
        </w:tc>
        <w:tc>
          <w:tcPr>
            <w:tcW w:w="1282" w:type="pct"/>
            <w:vAlign w:val="center"/>
          </w:tcPr>
          <w:p>
            <w:pPr>
              <w:pStyle w:val="89"/>
              <w:jc w:val="center"/>
              <w:rPr>
                <w:rFonts w:cs="仿宋_GB2312"/>
              </w:rPr>
            </w:pPr>
            <w:r>
              <w:rPr>
                <w:rFonts w:hint="eastAsia"/>
              </w:rPr>
              <w:t>地震疏散专项应急指挥部</w:t>
            </w:r>
          </w:p>
        </w:tc>
        <w:tc>
          <w:tcPr>
            <w:tcW w:w="1021" w:type="pct"/>
            <w:shd w:val="clear" w:color="auto" w:fill="auto"/>
            <w:vAlign w:val="center"/>
          </w:tcPr>
          <w:p>
            <w:pPr>
              <w:pStyle w:val="89"/>
              <w:jc w:val="center"/>
              <w:rPr>
                <w:rFonts w:cs="仿宋_GB2312"/>
              </w:rPr>
            </w:pPr>
            <w:r>
              <w:rPr>
                <w:rFonts w:hint="eastAsia" w:cs="仿宋_GB2312"/>
              </w:rPr>
              <w:t>街地震灾害应急指挥部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9" w:type="pct"/>
            <w:vAlign w:val="center"/>
          </w:tcPr>
          <w:p>
            <w:pPr>
              <w:pStyle w:val="89"/>
              <w:numPr>
                <w:ilvl w:val="0"/>
                <w:numId w:val="2"/>
              </w:numPr>
              <w:jc w:val="center"/>
              <w:rPr>
                <w:rFonts w:cs="仿宋_GB2312"/>
              </w:rPr>
            </w:pPr>
          </w:p>
        </w:tc>
        <w:tc>
          <w:tcPr>
            <w:tcW w:w="558" w:type="pct"/>
            <w:vMerge w:val="continue"/>
            <w:shd w:val="clear" w:color="auto" w:fill="auto"/>
            <w:vAlign w:val="center"/>
          </w:tcPr>
          <w:p>
            <w:pPr>
              <w:pStyle w:val="89"/>
              <w:jc w:val="center"/>
              <w:rPr>
                <w:rFonts w:cs="仿宋_GB2312"/>
              </w:rPr>
            </w:pPr>
          </w:p>
        </w:tc>
        <w:tc>
          <w:tcPr>
            <w:tcW w:w="1810" w:type="pct"/>
            <w:shd w:val="clear" w:color="auto" w:fill="auto"/>
            <w:vAlign w:val="center"/>
          </w:tcPr>
          <w:p>
            <w:pPr>
              <w:pStyle w:val="89"/>
              <w:jc w:val="center"/>
              <w:rPr>
                <w:rFonts w:cs="仿宋_GB2312"/>
              </w:rPr>
            </w:pPr>
            <w:r>
              <w:rPr>
                <w:rFonts w:hint="eastAsia" w:cs="仿宋_GB2312"/>
              </w:rPr>
              <w:t>新北道办事处防汛专项应急预案</w:t>
            </w:r>
          </w:p>
        </w:tc>
        <w:tc>
          <w:tcPr>
            <w:tcW w:w="1282" w:type="pct"/>
            <w:vAlign w:val="center"/>
          </w:tcPr>
          <w:p>
            <w:pPr>
              <w:pStyle w:val="89"/>
              <w:jc w:val="center"/>
              <w:rPr>
                <w:rFonts w:cs="仿宋_GB2312"/>
              </w:rPr>
            </w:pPr>
            <w:r>
              <w:rPr>
                <w:rFonts w:hint="eastAsia"/>
              </w:rPr>
              <w:t>防汛专项应急指挥部</w:t>
            </w:r>
          </w:p>
        </w:tc>
        <w:tc>
          <w:tcPr>
            <w:tcW w:w="1021" w:type="pct"/>
            <w:shd w:val="clear" w:color="auto" w:fill="auto"/>
            <w:vAlign w:val="center"/>
          </w:tcPr>
          <w:p>
            <w:pPr>
              <w:pStyle w:val="89"/>
              <w:jc w:val="center"/>
              <w:rPr>
                <w:rFonts w:cs="仿宋_GB2312"/>
              </w:rPr>
            </w:pPr>
            <w:r>
              <w:rPr>
                <w:rFonts w:hint="eastAsia" w:cs="仿宋_GB2312"/>
              </w:rPr>
              <w:t>街防汛应急指挥部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9" w:type="pct"/>
            <w:vAlign w:val="center"/>
          </w:tcPr>
          <w:p>
            <w:pPr>
              <w:pStyle w:val="89"/>
              <w:numPr>
                <w:ilvl w:val="0"/>
                <w:numId w:val="2"/>
              </w:numPr>
              <w:jc w:val="center"/>
              <w:rPr>
                <w:rFonts w:cs="仿宋_GB2312"/>
              </w:rPr>
            </w:pPr>
          </w:p>
        </w:tc>
        <w:tc>
          <w:tcPr>
            <w:tcW w:w="558" w:type="pct"/>
            <w:vMerge w:val="continue"/>
            <w:shd w:val="clear" w:color="auto" w:fill="auto"/>
            <w:vAlign w:val="center"/>
          </w:tcPr>
          <w:p>
            <w:pPr>
              <w:pStyle w:val="89"/>
              <w:jc w:val="center"/>
              <w:rPr>
                <w:rFonts w:cs="仿宋_GB2312"/>
              </w:rPr>
            </w:pPr>
          </w:p>
        </w:tc>
        <w:tc>
          <w:tcPr>
            <w:tcW w:w="1810" w:type="pct"/>
            <w:shd w:val="clear" w:color="auto" w:fill="auto"/>
            <w:vAlign w:val="center"/>
          </w:tcPr>
          <w:p>
            <w:pPr>
              <w:pStyle w:val="89"/>
              <w:jc w:val="center"/>
              <w:rPr>
                <w:rFonts w:cs="仿宋_GB2312"/>
              </w:rPr>
            </w:pPr>
            <w:r>
              <w:rPr>
                <w:rFonts w:hint="eastAsia" w:cs="仿宋_GB2312"/>
              </w:rPr>
              <w:t>新北道办事处气象灾害专项应急预案</w:t>
            </w:r>
          </w:p>
        </w:tc>
        <w:tc>
          <w:tcPr>
            <w:tcW w:w="1282" w:type="pct"/>
            <w:vAlign w:val="center"/>
          </w:tcPr>
          <w:p>
            <w:pPr>
              <w:pStyle w:val="89"/>
              <w:jc w:val="center"/>
              <w:rPr>
                <w:rFonts w:cs="仿宋_GB2312"/>
              </w:rPr>
            </w:pPr>
            <w:r>
              <w:rPr>
                <w:rFonts w:hint="eastAsia" w:cs="仿宋_GB2312"/>
              </w:rPr>
              <w:t>气象灾害专项</w:t>
            </w:r>
            <w:r>
              <w:rPr>
                <w:rFonts w:hint="eastAsia"/>
              </w:rPr>
              <w:t>应急指挥部</w:t>
            </w:r>
          </w:p>
        </w:tc>
        <w:tc>
          <w:tcPr>
            <w:tcW w:w="1021" w:type="pct"/>
            <w:shd w:val="clear" w:color="auto" w:fill="auto"/>
            <w:vAlign w:val="center"/>
          </w:tcPr>
          <w:p>
            <w:pPr>
              <w:pStyle w:val="89"/>
              <w:jc w:val="center"/>
              <w:rPr>
                <w:rFonts w:cs="仿宋_GB2312"/>
              </w:rPr>
            </w:pPr>
            <w:r>
              <w:rPr>
                <w:rFonts w:hint="eastAsia" w:cs="仿宋_GB2312"/>
              </w:rPr>
              <w:t>街气象灾害防御指挥部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9" w:type="pct"/>
            <w:vAlign w:val="center"/>
          </w:tcPr>
          <w:p>
            <w:pPr>
              <w:pStyle w:val="89"/>
              <w:numPr>
                <w:ilvl w:val="0"/>
                <w:numId w:val="2"/>
              </w:numPr>
              <w:jc w:val="center"/>
              <w:rPr>
                <w:rFonts w:cs="仿宋_GB2312"/>
              </w:rPr>
            </w:pPr>
          </w:p>
        </w:tc>
        <w:tc>
          <w:tcPr>
            <w:tcW w:w="558" w:type="pct"/>
            <w:vMerge w:val="restart"/>
            <w:shd w:val="clear" w:color="auto" w:fill="auto"/>
            <w:vAlign w:val="center"/>
          </w:tcPr>
          <w:p>
            <w:pPr>
              <w:pStyle w:val="89"/>
              <w:jc w:val="center"/>
              <w:rPr>
                <w:rFonts w:cs="仿宋_GB2312"/>
              </w:rPr>
            </w:pPr>
            <w:r>
              <w:rPr>
                <w:rFonts w:hint="eastAsia" w:cs="仿宋_GB2312"/>
              </w:rPr>
              <w:t>事故</w:t>
            </w:r>
          </w:p>
          <w:p>
            <w:pPr>
              <w:pStyle w:val="89"/>
              <w:jc w:val="center"/>
              <w:rPr>
                <w:rFonts w:cs="仿宋_GB2312"/>
              </w:rPr>
            </w:pPr>
            <w:r>
              <w:rPr>
                <w:rFonts w:hint="eastAsia" w:cs="仿宋_GB2312"/>
              </w:rPr>
              <w:t>灾难</w:t>
            </w:r>
          </w:p>
        </w:tc>
        <w:tc>
          <w:tcPr>
            <w:tcW w:w="1810" w:type="pct"/>
            <w:shd w:val="clear" w:color="auto" w:fill="auto"/>
            <w:vAlign w:val="center"/>
          </w:tcPr>
          <w:p>
            <w:pPr>
              <w:pStyle w:val="89"/>
              <w:jc w:val="center"/>
              <w:rPr>
                <w:rFonts w:cs="仿宋_GB2312"/>
              </w:rPr>
            </w:pPr>
            <w:r>
              <w:rPr>
                <w:rFonts w:hint="eastAsia" w:cs="仿宋_GB2312"/>
              </w:rPr>
              <w:t>新北道办事处生产安全事故专项应急预案</w:t>
            </w:r>
          </w:p>
        </w:tc>
        <w:tc>
          <w:tcPr>
            <w:tcW w:w="1282" w:type="pct"/>
            <w:vAlign w:val="center"/>
          </w:tcPr>
          <w:p>
            <w:pPr>
              <w:pStyle w:val="89"/>
              <w:jc w:val="center"/>
              <w:rPr>
                <w:rFonts w:cs="仿宋_GB2312"/>
              </w:rPr>
            </w:pPr>
            <w:r>
              <w:rPr>
                <w:rFonts w:hint="eastAsia" w:cs="仿宋_GB2312"/>
              </w:rPr>
              <w:t>生产安全事故专项</w:t>
            </w:r>
            <w:r>
              <w:rPr>
                <w:rFonts w:hint="eastAsia"/>
              </w:rPr>
              <w:t>应急指挥部</w:t>
            </w:r>
          </w:p>
        </w:tc>
        <w:tc>
          <w:tcPr>
            <w:tcW w:w="1021" w:type="pct"/>
            <w:shd w:val="clear" w:color="auto" w:fill="auto"/>
            <w:vAlign w:val="center"/>
          </w:tcPr>
          <w:p>
            <w:pPr>
              <w:pStyle w:val="89"/>
              <w:jc w:val="center"/>
              <w:rPr>
                <w:rFonts w:cs="仿宋_GB2312"/>
              </w:rPr>
            </w:pPr>
            <w:r>
              <w:rPr>
                <w:rFonts w:hint="eastAsia" w:cs="仿宋_GB2312"/>
              </w:rPr>
              <w:t>街安全生产应急指挥部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9" w:type="pct"/>
            <w:vAlign w:val="center"/>
          </w:tcPr>
          <w:p>
            <w:pPr>
              <w:pStyle w:val="89"/>
              <w:numPr>
                <w:ilvl w:val="0"/>
                <w:numId w:val="2"/>
              </w:numPr>
              <w:jc w:val="center"/>
              <w:rPr>
                <w:rFonts w:cs="仿宋_GB2312"/>
              </w:rPr>
            </w:pPr>
          </w:p>
        </w:tc>
        <w:tc>
          <w:tcPr>
            <w:tcW w:w="558" w:type="pct"/>
            <w:vMerge w:val="continue"/>
            <w:shd w:val="clear" w:color="auto" w:fill="auto"/>
            <w:vAlign w:val="center"/>
          </w:tcPr>
          <w:p>
            <w:pPr>
              <w:pStyle w:val="89"/>
              <w:jc w:val="center"/>
              <w:rPr>
                <w:rFonts w:cs="仿宋_GB2312"/>
              </w:rPr>
            </w:pPr>
          </w:p>
        </w:tc>
        <w:tc>
          <w:tcPr>
            <w:tcW w:w="1810" w:type="pct"/>
            <w:shd w:val="clear" w:color="auto" w:fill="auto"/>
            <w:vAlign w:val="center"/>
          </w:tcPr>
          <w:p>
            <w:pPr>
              <w:pStyle w:val="89"/>
              <w:jc w:val="center"/>
              <w:rPr>
                <w:rFonts w:cs="仿宋_GB2312"/>
              </w:rPr>
            </w:pPr>
            <w:r>
              <w:rPr>
                <w:rFonts w:hint="eastAsia" w:cs="仿宋_GB2312"/>
              </w:rPr>
              <w:t>新北道办事处火灾事故专项应急预案</w:t>
            </w:r>
          </w:p>
        </w:tc>
        <w:tc>
          <w:tcPr>
            <w:tcW w:w="1282" w:type="pct"/>
            <w:vAlign w:val="center"/>
          </w:tcPr>
          <w:p>
            <w:pPr>
              <w:pStyle w:val="89"/>
              <w:jc w:val="center"/>
              <w:rPr>
                <w:rFonts w:cs="仿宋_GB2312"/>
              </w:rPr>
            </w:pPr>
            <w:r>
              <w:rPr>
                <w:rFonts w:hint="eastAsia" w:cs="仿宋_GB2312"/>
              </w:rPr>
              <w:t>火灾事故专项</w:t>
            </w:r>
            <w:r>
              <w:rPr>
                <w:rFonts w:hint="eastAsia"/>
              </w:rPr>
              <w:t>应急指挥部</w:t>
            </w:r>
          </w:p>
        </w:tc>
        <w:tc>
          <w:tcPr>
            <w:tcW w:w="1021" w:type="pct"/>
            <w:shd w:val="clear" w:color="auto" w:fill="auto"/>
            <w:vAlign w:val="center"/>
          </w:tcPr>
          <w:p>
            <w:pPr>
              <w:pStyle w:val="89"/>
              <w:jc w:val="center"/>
              <w:rPr>
                <w:rFonts w:cs="仿宋_GB2312"/>
              </w:rPr>
            </w:pPr>
            <w:r>
              <w:rPr>
                <w:rFonts w:hint="eastAsia" w:cs="仿宋_GB2312"/>
              </w:rPr>
              <w:t>街消防安全应急指挥部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9" w:type="pct"/>
            <w:vAlign w:val="center"/>
          </w:tcPr>
          <w:p>
            <w:pPr>
              <w:pStyle w:val="89"/>
              <w:numPr>
                <w:ilvl w:val="0"/>
                <w:numId w:val="2"/>
              </w:numPr>
              <w:jc w:val="center"/>
              <w:rPr>
                <w:rFonts w:cs="仿宋_GB2312"/>
              </w:rPr>
            </w:pPr>
          </w:p>
        </w:tc>
        <w:tc>
          <w:tcPr>
            <w:tcW w:w="558" w:type="pct"/>
            <w:shd w:val="clear" w:color="auto" w:fill="auto"/>
            <w:vAlign w:val="center"/>
          </w:tcPr>
          <w:p>
            <w:pPr>
              <w:pStyle w:val="89"/>
              <w:jc w:val="center"/>
              <w:rPr>
                <w:rFonts w:cs="仿宋_GB2312"/>
              </w:rPr>
            </w:pPr>
            <w:r>
              <w:rPr>
                <w:rFonts w:hint="eastAsia" w:cs="仿宋_GB2312"/>
              </w:rPr>
              <w:t>公共</w:t>
            </w:r>
          </w:p>
          <w:p>
            <w:pPr>
              <w:pStyle w:val="89"/>
              <w:jc w:val="center"/>
              <w:rPr>
                <w:rFonts w:cs="仿宋_GB2312"/>
              </w:rPr>
            </w:pPr>
            <w:r>
              <w:rPr>
                <w:rFonts w:hint="eastAsia" w:cs="仿宋_GB2312"/>
              </w:rPr>
              <w:t>卫生</w:t>
            </w:r>
          </w:p>
        </w:tc>
        <w:tc>
          <w:tcPr>
            <w:tcW w:w="1810" w:type="pct"/>
            <w:shd w:val="clear" w:color="auto" w:fill="auto"/>
            <w:vAlign w:val="center"/>
          </w:tcPr>
          <w:p>
            <w:pPr>
              <w:pStyle w:val="89"/>
              <w:jc w:val="center"/>
              <w:rPr>
                <w:rFonts w:cs="仿宋_GB2312"/>
              </w:rPr>
            </w:pPr>
            <w:r>
              <w:rPr>
                <w:rFonts w:hint="eastAsia" w:cs="仿宋_GB2312"/>
              </w:rPr>
              <w:t>新北道办事处食品安全事件专项应急预案</w:t>
            </w:r>
          </w:p>
        </w:tc>
        <w:tc>
          <w:tcPr>
            <w:tcW w:w="1282" w:type="pct"/>
            <w:vAlign w:val="center"/>
          </w:tcPr>
          <w:p>
            <w:pPr>
              <w:pStyle w:val="89"/>
              <w:jc w:val="center"/>
              <w:rPr>
                <w:rFonts w:cs="仿宋_GB2312"/>
              </w:rPr>
            </w:pPr>
            <w:r>
              <w:rPr>
                <w:rFonts w:hint="eastAsia" w:cs="仿宋_GB2312"/>
              </w:rPr>
              <w:t>食品安全事件专项</w:t>
            </w:r>
            <w:r>
              <w:rPr>
                <w:rFonts w:hint="eastAsia"/>
              </w:rPr>
              <w:t>应急指挥部</w:t>
            </w:r>
          </w:p>
        </w:tc>
        <w:tc>
          <w:tcPr>
            <w:tcW w:w="1021" w:type="pct"/>
            <w:shd w:val="clear" w:color="auto" w:fill="auto"/>
            <w:vAlign w:val="center"/>
          </w:tcPr>
          <w:p>
            <w:pPr>
              <w:pStyle w:val="89"/>
              <w:jc w:val="center"/>
              <w:rPr>
                <w:rFonts w:cs="仿宋_GB2312"/>
              </w:rPr>
            </w:pPr>
            <w:r>
              <w:rPr>
                <w:rFonts w:hint="eastAsia" w:cs="仿宋_GB2312"/>
              </w:rPr>
              <w:t>街食品安全应急指挥部</w:t>
            </w:r>
          </w:p>
        </w:tc>
      </w:tr>
    </w:tbl>
    <w:p>
      <w:pPr>
        <w:ind w:firstLine="560"/>
        <w:sectPr>
          <w:pgSz w:w="11905" w:h="16840"/>
          <w:pgMar w:top="1418" w:right="1134" w:bottom="1247" w:left="1588" w:header="851" w:footer="850" w:gutter="0"/>
          <w:paperSrc w:first="7" w:other="7"/>
          <w:cols w:space="720" w:num="1"/>
          <w:docGrid w:linePitch="628" w:charSpace="0"/>
        </w:sectPr>
      </w:pPr>
    </w:p>
    <w:p>
      <w:pPr>
        <w:pStyle w:val="3"/>
        <w:ind w:firstLine="301"/>
      </w:pPr>
      <w:bookmarkStart w:id="67" w:name="_Toc51575348"/>
      <w:r>
        <w:rPr>
          <w:rFonts w:hint="eastAsia"/>
        </w:rPr>
        <w:t>附件4</w:t>
      </w:r>
      <w:r>
        <w:t xml:space="preserve"> </w:t>
      </w:r>
      <w:r>
        <w:rPr>
          <w:rFonts w:hint="eastAsia"/>
        </w:rPr>
        <w:t>突发事件应急处置流程图</w:t>
      </w:r>
      <w:bookmarkEnd w:id="67"/>
    </w:p>
    <w:p>
      <w:pPr>
        <w:pStyle w:val="85"/>
      </w:pPr>
      <w:r>
        <w:object>
          <v:shape id="_x0000_i1025" o:spt="75" type="#_x0000_t75" style="height:625.2pt;width:384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bookmarkStart w:id="72" w:name="_GoBack"/>
      <w:bookmarkEnd w:id="72"/>
      <w:r>
        <w:drawing>
          <wp:inline distT="0" distB="0" distL="0" distR="0">
            <wp:extent cx="5168900" cy="7925435"/>
            <wp:effectExtent l="0" t="0" r="1270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extLst>
                        <a:ext uri="{28A0092B-C50C-407E-A947-70E740481C1C}">
                          <a14:useLocalDpi xmlns:a14="http://schemas.microsoft.com/office/drawing/2010/main" val="0"/>
                        </a:ext>
                      </a:extLst>
                    </a:blip>
                    <a:srcRect l="5576" t="1352" r="3464"/>
                    <a:stretch>
                      <a:fillRect/>
                    </a:stretch>
                  </pic:blipFill>
                  <pic:spPr>
                    <a:xfrm>
                      <a:off x="0" y="0"/>
                      <a:ext cx="5170760" cy="7927687"/>
                    </a:xfrm>
                    <a:prstGeom prst="rect">
                      <a:avLst/>
                    </a:prstGeom>
                    <a:ln>
                      <a:noFill/>
                    </a:ln>
                  </pic:spPr>
                </pic:pic>
              </a:graphicData>
            </a:graphic>
          </wp:inline>
        </w:drawing>
      </w:r>
    </w:p>
    <w:p>
      <w:pPr>
        <w:pStyle w:val="85"/>
      </w:pPr>
    </w:p>
    <w:p>
      <w:pPr>
        <w:pStyle w:val="85"/>
        <w:sectPr>
          <w:pgSz w:w="11905" w:h="16840"/>
          <w:pgMar w:top="1418" w:right="1134" w:bottom="1247" w:left="1588" w:header="851" w:footer="850" w:gutter="0"/>
          <w:paperSrc w:first="7" w:other="7"/>
          <w:cols w:space="720" w:num="1"/>
          <w:docGrid w:linePitch="628" w:charSpace="0"/>
        </w:sectPr>
      </w:pPr>
    </w:p>
    <w:p>
      <w:pPr>
        <w:pStyle w:val="3"/>
        <w:ind w:firstLine="301"/>
      </w:pPr>
      <w:bookmarkStart w:id="68" w:name="_Toc51575349"/>
      <w:r>
        <w:rPr>
          <w:rFonts w:hint="eastAsia"/>
        </w:rPr>
        <w:t>附件5</w:t>
      </w:r>
      <w:r>
        <w:t xml:space="preserve"> </w:t>
      </w:r>
      <w:r>
        <w:rPr>
          <w:rFonts w:hint="eastAsia"/>
        </w:rPr>
        <w:t>资源调集与援助联络表</w:t>
      </w:r>
      <w:bookmarkEnd w:id="68"/>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8" w:type="dxa"/>
            <w:vAlign w:val="center"/>
          </w:tcPr>
          <w:p>
            <w:pPr>
              <w:spacing w:line="400" w:lineRule="exact"/>
              <w:ind w:firstLine="0" w:firstLineChars="0"/>
              <w:jc w:val="center"/>
              <w:rPr>
                <w:b/>
                <w:sz w:val="24"/>
              </w:rPr>
            </w:pPr>
            <w:r>
              <w:rPr>
                <w:rFonts w:hint="eastAsia"/>
                <w:b/>
                <w:sz w:val="24"/>
              </w:rPr>
              <w:t>序号</w:t>
            </w:r>
          </w:p>
        </w:tc>
        <w:tc>
          <w:tcPr>
            <w:tcW w:w="5386" w:type="dxa"/>
            <w:vAlign w:val="center"/>
          </w:tcPr>
          <w:p>
            <w:pPr>
              <w:spacing w:line="400" w:lineRule="exact"/>
              <w:ind w:firstLine="0" w:firstLineChars="0"/>
              <w:jc w:val="center"/>
              <w:rPr>
                <w:b/>
                <w:sz w:val="24"/>
              </w:rPr>
            </w:pPr>
            <w:r>
              <w:rPr>
                <w:rFonts w:hint="eastAsia"/>
                <w:b/>
                <w:sz w:val="24"/>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sz w:val="24"/>
              </w:rPr>
              <w:t>滨海新区应急管理局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sz w:val="24"/>
              </w:rPr>
              <w:t>滨海新区</w:t>
            </w:r>
            <w:r>
              <w:rPr>
                <w:rFonts w:hint="eastAsia"/>
                <w:sz w:val="24"/>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sz w:val="24"/>
              </w:rPr>
              <w:t>滨海新区区委网信办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sz w:val="24"/>
              </w:rPr>
              <w:t>滨海新区</w:t>
            </w:r>
            <w:r>
              <w:rPr>
                <w:rFonts w:hint="eastAsia"/>
                <w:sz w:val="24"/>
              </w:rPr>
              <w:t>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sz w:val="24"/>
              </w:rPr>
              <w:t>滨海新区</w:t>
            </w:r>
            <w:r>
              <w:rPr>
                <w:rFonts w:hint="eastAsia"/>
                <w:sz w:val="24"/>
              </w:rPr>
              <w:t>教育</w:t>
            </w:r>
            <w:r>
              <w:rPr>
                <w:sz w:val="24"/>
              </w:rPr>
              <w:t>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sz w:val="24"/>
              </w:rPr>
              <w:t>滨海新区交通运输局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sz w:val="24"/>
              </w:rPr>
              <w:t>滨海新区市场</w:t>
            </w:r>
            <w:r>
              <w:rPr>
                <w:rFonts w:hint="eastAsia"/>
                <w:sz w:val="24"/>
              </w:rPr>
              <w:t>监督管理</w:t>
            </w:r>
            <w:r>
              <w:rPr>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sz w:val="24"/>
              </w:rPr>
              <w:t>滨海新区公安局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rFonts w:hint="eastAsia"/>
                <w:sz w:val="24"/>
              </w:rPr>
              <w:t>天津市滨海新区公安局塘沽分局新北街派出所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rFonts w:hint="eastAsia"/>
                <w:sz w:val="24"/>
              </w:rPr>
              <w:t>滨海新区消防救援塘沽支队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rFonts w:hint="eastAsia"/>
                <w:sz w:val="24"/>
              </w:rPr>
              <w:t>滨海新区消防救援支队塘沽大队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rFonts w:hint="eastAsia"/>
                <w:sz w:val="24"/>
              </w:rPr>
              <w:t>海洋高新区消防救援站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rFonts w:hint="eastAsia"/>
                <w:sz w:val="24"/>
              </w:rPr>
              <w:t>新北路消防救援站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rFonts w:hint="eastAsia"/>
                <w:sz w:val="24"/>
              </w:rPr>
              <w:t>滨海新区公安局交通管理支队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rFonts w:hint="eastAsia"/>
                <w:sz w:val="24"/>
              </w:rPr>
              <w:t>天津市滨海新区公安局交通管理支队杭州道大队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rFonts w:hint="eastAsia"/>
                <w:sz w:val="24"/>
              </w:rPr>
              <w:t>杭州道街道办事处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rFonts w:hint="eastAsia"/>
                <w:sz w:val="24"/>
              </w:rPr>
              <w:t>新河街道办事处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numPr>
                <w:ilvl w:val="0"/>
                <w:numId w:val="3"/>
              </w:numPr>
              <w:spacing w:line="400" w:lineRule="exact"/>
              <w:ind w:firstLineChars="0"/>
              <w:jc w:val="center"/>
              <w:rPr>
                <w:sz w:val="24"/>
              </w:rPr>
            </w:pPr>
          </w:p>
        </w:tc>
        <w:tc>
          <w:tcPr>
            <w:tcW w:w="5386" w:type="dxa"/>
            <w:vAlign w:val="center"/>
          </w:tcPr>
          <w:p>
            <w:pPr>
              <w:spacing w:line="400" w:lineRule="exact"/>
              <w:ind w:firstLine="0" w:firstLineChars="0"/>
              <w:jc w:val="center"/>
              <w:rPr>
                <w:sz w:val="24"/>
              </w:rPr>
            </w:pPr>
            <w:r>
              <w:rPr>
                <w:rFonts w:hint="eastAsia"/>
                <w:sz w:val="24"/>
              </w:rPr>
              <w:t>泰达街道办事处</w:t>
            </w:r>
          </w:p>
        </w:tc>
      </w:tr>
    </w:tbl>
    <w:p>
      <w:pPr>
        <w:ind w:firstLine="560"/>
      </w:pPr>
    </w:p>
    <w:p>
      <w:pPr>
        <w:ind w:firstLine="560"/>
        <w:sectPr>
          <w:pgSz w:w="11905" w:h="16840"/>
          <w:pgMar w:top="1418" w:right="1134" w:bottom="1247" w:left="1588" w:header="851" w:footer="850" w:gutter="0"/>
          <w:paperSrc w:first="7" w:other="7"/>
          <w:cols w:space="720" w:num="1"/>
          <w:docGrid w:linePitch="628" w:charSpace="0"/>
        </w:sectPr>
      </w:pPr>
    </w:p>
    <w:p>
      <w:pPr>
        <w:pStyle w:val="3"/>
        <w:ind w:firstLine="301"/>
      </w:pPr>
      <w:bookmarkStart w:id="69" w:name="_Toc51575350"/>
      <w:r>
        <w:rPr>
          <w:rFonts w:hint="eastAsia"/>
        </w:rPr>
        <w:t>附件6医疗资源</w:t>
      </w:r>
      <w:bookmarkEnd w:id="69"/>
    </w:p>
    <w:p>
      <w:pPr>
        <w:ind w:firstLine="560"/>
      </w:pPr>
      <w:r>
        <w:rPr>
          <w:rFonts w:hint="eastAsia"/>
        </w:rPr>
        <w:t>新北街道安全监管辖区内有蓝卡医院、宁泰医院和</w:t>
      </w:r>
      <w:r>
        <w:t>6所社区卫生服务站。街道周边和塘沽核心区内有</w:t>
      </w:r>
      <w:r>
        <w:rPr>
          <w:rFonts w:hint="eastAsia"/>
        </w:rPr>
        <w:t>天津市</w:t>
      </w:r>
      <w:r>
        <w:t>第五中心医院、泰达心血管医院、</w:t>
      </w:r>
      <w:r>
        <w:rPr>
          <w:rFonts w:hint="eastAsia"/>
        </w:rPr>
        <w:t>泰达医院等医疗资源，可以满足事故状态下医疗救护能力。</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0"/>
        <w:gridCol w:w="3402"/>
        <w:gridCol w:w="2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2720" w:type="dxa"/>
            <w:vAlign w:val="center"/>
          </w:tcPr>
          <w:p>
            <w:pPr>
              <w:spacing w:line="400" w:lineRule="exact"/>
              <w:ind w:firstLine="0" w:firstLineChars="0"/>
              <w:jc w:val="center"/>
              <w:rPr>
                <w:rFonts w:cs="宋体"/>
                <w:b/>
                <w:sz w:val="24"/>
              </w:rPr>
            </w:pPr>
            <w:r>
              <w:rPr>
                <w:rFonts w:hint="eastAsia" w:cs="宋体"/>
                <w:b/>
                <w:sz w:val="24"/>
              </w:rPr>
              <w:t>医院名称</w:t>
            </w:r>
          </w:p>
        </w:tc>
        <w:tc>
          <w:tcPr>
            <w:tcW w:w="3402" w:type="dxa"/>
            <w:vAlign w:val="center"/>
          </w:tcPr>
          <w:p>
            <w:pPr>
              <w:spacing w:line="400" w:lineRule="exact"/>
              <w:ind w:firstLine="0" w:firstLineChars="0"/>
              <w:jc w:val="center"/>
              <w:rPr>
                <w:rFonts w:cs="宋体"/>
                <w:b/>
                <w:sz w:val="24"/>
              </w:rPr>
            </w:pPr>
            <w:r>
              <w:rPr>
                <w:rFonts w:hint="eastAsia" w:cs="宋体"/>
                <w:b/>
                <w:sz w:val="24"/>
              </w:rPr>
              <w:t>地   点</w:t>
            </w:r>
          </w:p>
        </w:tc>
        <w:tc>
          <w:tcPr>
            <w:tcW w:w="2490" w:type="dxa"/>
            <w:vAlign w:val="center"/>
          </w:tcPr>
          <w:p>
            <w:pPr>
              <w:spacing w:line="400" w:lineRule="exact"/>
              <w:ind w:firstLine="0" w:firstLineChars="0"/>
              <w:jc w:val="center"/>
              <w:rPr>
                <w:rFonts w:cs="宋体"/>
                <w:b/>
                <w:sz w:val="24"/>
              </w:rPr>
            </w:pPr>
            <w:r>
              <w:rPr>
                <w:rFonts w:hint="eastAsia" w:cs="宋体"/>
                <w:b/>
                <w:sz w:val="24"/>
              </w:rPr>
              <w:t>电 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720" w:type="dxa"/>
            <w:vAlign w:val="center"/>
          </w:tcPr>
          <w:p>
            <w:pPr>
              <w:spacing w:line="400" w:lineRule="exact"/>
              <w:ind w:firstLine="0" w:firstLineChars="0"/>
              <w:jc w:val="center"/>
              <w:rPr>
                <w:rFonts w:cs="宋体"/>
                <w:sz w:val="24"/>
              </w:rPr>
            </w:pPr>
            <w:r>
              <w:rPr>
                <w:rFonts w:hint="eastAsia" w:cs="宋体"/>
                <w:sz w:val="24"/>
              </w:rPr>
              <w:t>宁泰医院</w:t>
            </w:r>
          </w:p>
        </w:tc>
        <w:tc>
          <w:tcPr>
            <w:tcW w:w="3402" w:type="dxa"/>
            <w:vAlign w:val="center"/>
          </w:tcPr>
          <w:p>
            <w:pPr>
              <w:spacing w:line="400" w:lineRule="exact"/>
              <w:ind w:firstLine="0" w:firstLineChars="0"/>
              <w:jc w:val="center"/>
              <w:rPr>
                <w:rFonts w:cs="宋体"/>
                <w:sz w:val="24"/>
              </w:rPr>
            </w:pPr>
            <w:r>
              <w:rPr>
                <w:rFonts w:hint="eastAsia" w:cs="宋体"/>
                <w:sz w:val="24"/>
              </w:rPr>
              <w:t>天津市滨海新区河北路</w:t>
            </w:r>
            <w:r>
              <w:rPr>
                <w:rFonts w:cs="宋体"/>
                <w:sz w:val="24"/>
              </w:rPr>
              <w:t>4930号</w:t>
            </w:r>
          </w:p>
        </w:tc>
        <w:tc>
          <w:tcPr>
            <w:tcW w:w="2490" w:type="dxa"/>
            <w:vAlign w:val="center"/>
          </w:tcPr>
          <w:p>
            <w:pPr>
              <w:spacing w:line="400" w:lineRule="exact"/>
              <w:ind w:firstLine="0" w:firstLineChars="0"/>
              <w:jc w:val="center"/>
              <w:rPr>
                <w:rFonts w:cs="宋体"/>
                <w:sz w:val="24"/>
              </w:rPr>
            </w:pPr>
            <w:r>
              <w:rPr>
                <w:rFonts w:hint="eastAsia" w:cs="宋体"/>
                <w:sz w:val="24"/>
              </w:rPr>
              <w:t>25342653（导诊）</w:t>
            </w:r>
          </w:p>
          <w:p>
            <w:pPr>
              <w:spacing w:line="400" w:lineRule="exact"/>
              <w:ind w:firstLine="0" w:firstLineChars="0"/>
              <w:jc w:val="center"/>
              <w:rPr>
                <w:rFonts w:cs="宋体"/>
                <w:sz w:val="24"/>
              </w:rPr>
            </w:pPr>
            <w:r>
              <w:rPr>
                <w:rFonts w:hint="eastAsia" w:cs="宋体"/>
                <w:sz w:val="24"/>
              </w:rPr>
              <w:t>25826053（办公室）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720" w:type="dxa"/>
            <w:vAlign w:val="center"/>
          </w:tcPr>
          <w:p>
            <w:pPr>
              <w:spacing w:line="400" w:lineRule="exact"/>
              <w:ind w:firstLine="0" w:firstLineChars="0"/>
              <w:jc w:val="center"/>
              <w:rPr>
                <w:rFonts w:cs="宋体"/>
                <w:sz w:val="24"/>
              </w:rPr>
            </w:pPr>
            <w:r>
              <w:rPr>
                <w:rFonts w:hint="eastAsia" w:cs="宋体"/>
                <w:sz w:val="24"/>
              </w:rPr>
              <w:t>蓝卡医院</w:t>
            </w:r>
          </w:p>
        </w:tc>
        <w:tc>
          <w:tcPr>
            <w:tcW w:w="3402" w:type="dxa"/>
            <w:vAlign w:val="center"/>
          </w:tcPr>
          <w:p>
            <w:pPr>
              <w:spacing w:line="400" w:lineRule="exact"/>
              <w:ind w:firstLine="0" w:firstLineChars="0"/>
              <w:jc w:val="center"/>
              <w:rPr>
                <w:rFonts w:cs="宋体"/>
                <w:sz w:val="24"/>
              </w:rPr>
            </w:pPr>
            <w:r>
              <w:rPr>
                <w:rFonts w:hint="eastAsia" w:cs="宋体"/>
                <w:sz w:val="24"/>
              </w:rPr>
              <w:t>天津市滨海新区厦门路2</w:t>
            </w:r>
            <w:r>
              <w:rPr>
                <w:rFonts w:cs="宋体"/>
                <w:sz w:val="24"/>
              </w:rPr>
              <w:t>519</w:t>
            </w:r>
            <w:r>
              <w:rPr>
                <w:rFonts w:hint="eastAsia" w:cs="宋体"/>
                <w:sz w:val="24"/>
              </w:rPr>
              <w:t>号</w:t>
            </w:r>
          </w:p>
        </w:tc>
        <w:tc>
          <w:tcPr>
            <w:tcW w:w="2490" w:type="dxa"/>
            <w:vAlign w:val="center"/>
          </w:tcPr>
          <w:p>
            <w:pPr>
              <w:spacing w:line="400" w:lineRule="exact"/>
              <w:ind w:firstLine="0" w:firstLineChars="0"/>
              <w:jc w:val="center"/>
              <w:rPr>
                <w:rFonts w:cs="宋体"/>
                <w:sz w:val="24"/>
              </w:rPr>
            </w:pPr>
            <w:r>
              <w:rPr>
                <w:rFonts w:cs="宋体"/>
                <w:sz w:val="24"/>
              </w:rPr>
              <w:t>4001191011</w:t>
            </w:r>
            <w:r>
              <w:rPr>
                <w:rFonts w:hint="eastAsia" w:cs="宋体"/>
                <w:sz w:val="24"/>
              </w:rPr>
              <w:t>（总机）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720" w:type="dxa"/>
            <w:vAlign w:val="center"/>
          </w:tcPr>
          <w:p>
            <w:pPr>
              <w:spacing w:line="400" w:lineRule="exact"/>
              <w:ind w:firstLine="0" w:firstLineChars="0"/>
              <w:jc w:val="center"/>
              <w:rPr>
                <w:rFonts w:cs="宋体"/>
                <w:sz w:val="24"/>
              </w:rPr>
            </w:pPr>
            <w:r>
              <w:rPr>
                <w:rFonts w:hint="eastAsia" w:cs="宋体"/>
                <w:sz w:val="24"/>
              </w:rPr>
              <w:t>天津市第五中心医院</w:t>
            </w:r>
          </w:p>
        </w:tc>
        <w:tc>
          <w:tcPr>
            <w:tcW w:w="3402" w:type="dxa"/>
            <w:vAlign w:val="center"/>
          </w:tcPr>
          <w:p>
            <w:pPr>
              <w:spacing w:line="400" w:lineRule="exact"/>
              <w:ind w:firstLine="0" w:firstLineChars="0"/>
              <w:jc w:val="center"/>
              <w:rPr>
                <w:rFonts w:cs="宋体"/>
                <w:sz w:val="24"/>
              </w:rPr>
            </w:pPr>
            <w:r>
              <w:rPr>
                <w:rFonts w:hint="eastAsia" w:cs="宋体"/>
                <w:sz w:val="24"/>
              </w:rPr>
              <w:t>天津市滨海新区浙江路</w:t>
            </w:r>
            <w:r>
              <w:rPr>
                <w:rFonts w:cs="宋体"/>
                <w:sz w:val="24"/>
              </w:rPr>
              <w:t>41号</w:t>
            </w:r>
          </w:p>
        </w:tc>
        <w:tc>
          <w:tcPr>
            <w:tcW w:w="2490" w:type="dxa"/>
            <w:vAlign w:val="center"/>
          </w:tcPr>
          <w:p>
            <w:pPr>
              <w:spacing w:line="400" w:lineRule="exact"/>
              <w:ind w:firstLine="0" w:firstLineChars="0"/>
              <w:jc w:val="center"/>
              <w:rPr>
                <w:rFonts w:cs="宋体"/>
                <w:sz w:val="24"/>
              </w:rPr>
            </w:pPr>
            <w:r>
              <w:rPr>
                <w:rFonts w:hint="eastAsia" w:cs="宋体"/>
                <w:sz w:val="24"/>
              </w:rPr>
              <w:t>65665885（办公室）</w:t>
            </w:r>
          </w:p>
          <w:p>
            <w:pPr>
              <w:spacing w:line="400" w:lineRule="exact"/>
              <w:ind w:firstLine="0" w:firstLineChars="0"/>
              <w:jc w:val="center"/>
              <w:rPr>
                <w:rFonts w:cs="宋体"/>
                <w:sz w:val="24"/>
              </w:rPr>
            </w:pPr>
            <w:r>
              <w:rPr>
                <w:rFonts w:hint="eastAsia" w:cs="宋体"/>
                <w:sz w:val="24"/>
              </w:rPr>
              <w:t>65665000（咨询台）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720" w:type="dxa"/>
            <w:vAlign w:val="center"/>
          </w:tcPr>
          <w:p>
            <w:pPr>
              <w:spacing w:line="400" w:lineRule="exact"/>
              <w:ind w:firstLine="0" w:firstLineChars="0"/>
              <w:jc w:val="center"/>
              <w:rPr>
                <w:rFonts w:cs="宋体"/>
                <w:sz w:val="24"/>
              </w:rPr>
            </w:pPr>
            <w:r>
              <w:rPr>
                <w:rFonts w:hint="eastAsia"/>
                <w:sz w:val="24"/>
              </w:rPr>
              <w:t>泰达医院</w:t>
            </w:r>
          </w:p>
        </w:tc>
        <w:tc>
          <w:tcPr>
            <w:tcW w:w="3402" w:type="dxa"/>
            <w:vAlign w:val="center"/>
          </w:tcPr>
          <w:p>
            <w:pPr>
              <w:spacing w:line="400" w:lineRule="exact"/>
              <w:ind w:firstLine="0" w:firstLineChars="0"/>
              <w:jc w:val="center"/>
              <w:rPr>
                <w:rFonts w:cs="宋体"/>
                <w:sz w:val="24"/>
              </w:rPr>
            </w:pPr>
            <w:r>
              <w:rPr>
                <w:rFonts w:hint="eastAsia"/>
                <w:sz w:val="24"/>
              </w:rPr>
              <w:t>天津开发区第三大街65号</w:t>
            </w:r>
          </w:p>
        </w:tc>
        <w:tc>
          <w:tcPr>
            <w:tcW w:w="2490" w:type="dxa"/>
            <w:vAlign w:val="center"/>
          </w:tcPr>
          <w:p>
            <w:pPr>
              <w:spacing w:line="400" w:lineRule="exact"/>
              <w:ind w:firstLine="0" w:firstLineChars="0"/>
              <w:jc w:val="center"/>
              <w:rPr>
                <w:rFonts w:cs="宋体"/>
                <w:sz w:val="24"/>
              </w:rPr>
            </w:pPr>
            <w:r>
              <w:rPr>
                <w:rFonts w:hint="eastAsia" w:cs="宋体"/>
                <w:sz w:val="24"/>
              </w:rPr>
              <w:t>65202000（咨询台）</w:t>
            </w:r>
          </w:p>
          <w:p>
            <w:pPr>
              <w:spacing w:line="400" w:lineRule="exact"/>
              <w:ind w:firstLine="0" w:firstLineChars="0"/>
              <w:jc w:val="center"/>
              <w:rPr>
                <w:rFonts w:cs="宋体"/>
                <w:sz w:val="24"/>
              </w:rPr>
            </w:pPr>
            <w:r>
              <w:rPr>
                <w:rFonts w:hint="eastAsia" w:cs="宋体"/>
                <w:sz w:val="24"/>
              </w:rPr>
              <w:t>652021999（医政科）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720" w:type="dxa"/>
            <w:vAlign w:val="center"/>
          </w:tcPr>
          <w:p>
            <w:pPr>
              <w:spacing w:line="400" w:lineRule="exact"/>
              <w:ind w:firstLine="0" w:firstLineChars="0"/>
              <w:jc w:val="center"/>
              <w:rPr>
                <w:rFonts w:cs="宋体"/>
                <w:sz w:val="24"/>
              </w:rPr>
            </w:pPr>
            <w:r>
              <w:rPr>
                <w:rFonts w:hint="eastAsia" w:cs="宋体"/>
                <w:sz w:val="24"/>
              </w:rPr>
              <w:t>泰达心血管医院</w:t>
            </w:r>
          </w:p>
        </w:tc>
        <w:tc>
          <w:tcPr>
            <w:tcW w:w="3402" w:type="dxa"/>
            <w:vAlign w:val="center"/>
          </w:tcPr>
          <w:p>
            <w:pPr>
              <w:spacing w:line="400" w:lineRule="exact"/>
              <w:ind w:firstLine="0" w:firstLineChars="0"/>
              <w:jc w:val="center"/>
              <w:rPr>
                <w:rFonts w:cs="宋体"/>
                <w:sz w:val="24"/>
              </w:rPr>
            </w:pPr>
            <w:r>
              <w:rPr>
                <w:rFonts w:hint="eastAsia" w:cs="宋体"/>
                <w:sz w:val="24"/>
              </w:rPr>
              <w:t>天津开发区第三大街</w:t>
            </w:r>
            <w:r>
              <w:rPr>
                <w:rFonts w:cs="宋体"/>
                <w:sz w:val="24"/>
              </w:rPr>
              <w:t>61号</w:t>
            </w:r>
          </w:p>
        </w:tc>
        <w:tc>
          <w:tcPr>
            <w:tcW w:w="2490" w:type="dxa"/>
            <w:vAlign w:val="center"/>
          </w:tcPr>
          <w:p>
            <w:pPr>
              <w:spacing w:line="400" w:lineRule="exact"/>
              <w:ind w:firstLine="0" w:firstLineChars="0"/>
              <w:jc w:val="center"/>
              <w:rPr>
                <w:rFonts w:cs="宋体"/>
                <w:sz w:val="24"/>
              </w:rPr>
            </w:pPr>
            <w:r>
              <w:rPr>
                <w:rFonts w:hint="eastAsia"/>
                <w:sz w:val="24"/>
              </w:rPr>
              <w:t>65209999（急诊科）</w:t>
            </w:r>
          </w:p>
        </w:tc>
      </w:tr>
    </w:tbl>
    <w:p>
      <w:pPr>
        <w:ind w:firstLine="560"/>
      </w:pPr>
    </w:p>
    <w:p>
      <w:pPr>
        <w:ind w:firstLine="560"/>
      </w:pPr>
    </w:p>
    <w:p>
      <w:pPr>
        <w:ind w:firstLine="560"/>
        <w:sectPr>
          <w:pgSz w:w="11905" w:h="16840"/>
          <w:pgMar w:top="1418" w:right="1134" w:bottom="1247" w:left="1588" w:header="851" w:footer="850" w:gutter="0"/>
          <w:paperSrc w:first="7" w:other="7"/>
          <w:cols w:space="720" w:num="1"/>
          <w:docGrid w:linePitch="628" w:charSpace="0"/>
        </w:sectPr>
      </w:pPr>
    </w:p>
    <w:p>
      <w:pPr>
        <w:ind w:firstLine="560"/>
      </w:pPr>
    </w:p>
    <w:p>
      <w:pPr>
        <w:pStyle w:val="3"/>
        <w:ind w:firstLine="301"/>
      </w:pPr>
      <w:bookmarkStart w:id="70" w:name="_Toc51575351"/>
      <w:r>
        <w:rPr>
          <w:rFonts w:hint="eastAsia"/>
        </w:rPr>
        <w:t>附件7</w:t>
      </w:r>
      <w:r>
        <w:t xml:space="preserve"> </w:t>
      </w:r>
      <w:r>
        <w:rPr>
          <w:rFonts w:hint="eastAsia"/>
        </w:rPr>
        <w:t>应急避难场所</w:t>
      </w:r>
      <w:bookmarkEnd w:id="70"/>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110"/>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pStyle w:val="89"/>
              <w:jc w:val="center"/>
              <w:rPr>
                <w:rFonts w:cs="仿宋_GB2312"/>
                <w:b/>
              </w:rPr>
            </w:pPr>
            <w:r>
              <w:rPr>
                <w:rFonts w:hint="eastAsia" w:cs="仿宋_GB2312"/>
                <w:b/>
              </w:rPr>
              <w:t>序号</w:t>
            </w:r>
          </w:p>
        </w:tc>
        <w:tc>
          <w:tcPr>
            <w:tcW w:w="4110" w:type="dxa"/>
            <w:vAlign w:val="center"/>
          </w:tcPr>
          <w:p>
            <w:pPr>
              <w:pStyle w:val="89"/>
              <w:jc w:val="center"/>
              <w:rPr>
                <w:rFonts w:cs="仿宋_GB2312"/>
                <w:b/>
              </w:rPr>
            </w:pPr>
            <w:r>
              <w:rPr>
                <w:rFonts w:hint="eastAsia" w:cs="仿宋_GB2312"/>
                <w:b/>
              </w:rPr>
              <w:t>坐落地址</w:t>
            </w:r>
          </w:p>
        </w:tc>
        <w:tc>
          <w:tcPr>
            <w:tcW w:w="3188" w:type="dxa"/>
            <w:vAlign w:val="center"/>
          </w:tcPr>
          <w:p>
            <w:pPr>
              <w:pStyle w:val="89"/>
              <w:jc w:val="center"/>
              <w:rPr>
                <w:rFonts w:cs="仿宋_GB2312"/>
                <w:b/>
              </w:rPr>
            </w:pPr>
            <w:r>
              <w:rPr>
                <w:rFonts w:hint="eastAsia" w:cs="仿宋_GB2312"/>
                <w:b/>
              </w:rPr>
              <w:t>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pStyle w:val="89"/>
              <w:jc w:val="center"/>
              <w:rPr>
                <w:rFonts w:cs="仿宋_GB2312"/>
              </w:rPr>
            </w:pPr>
            <w:r>
              <w:rPr>
                <w:rFonts w:hint="eastAsia" w:cs="仿宋_GB2312"/>
              </w:rPr>
              <w:t>1</w:t>
            </w:r>
          </w:p>
        </w:tc>
        <w:tc>
          <w:tcPr>
            <w:tcW w:w="4110" w:type="dxa"/>
            <w:vAlign w:val="center"/>
          </w:tcPr>
          <w:p>
            <w:pPr>
              <w:pStyle w:val="89"/>
              <w:jc w:val="center"/>
              <w:rPr>
                <w:rFonts w:cs="仿宋_GB2312"/>
              </w:rPr>
            </w:pPr>
            <w:r>
              <w:rPr>
                <w:rFonts w:hint="eastAsia" w:cs="仿宋_GB2312"/>
              </w:rPr>
              <w:t>谐海路与尧山道交口</w:t>
            </w:r>
          </w:p>
        </w:tc>
        <w:tc>
          <w:tcPr>
            <w:tcW w:w="3188" w:type="dxa"/>
            <w:vAlign w:val="center"/>
          </w:tcPr>
          <w:p>
            <w:pPr>
              <w:pStyle w:val="89"/>
              <w:jc w:val="center"/>
              <w:rPr>
                <w:rFonts w:cs="仿宋_GB2312"/>
              </w:rPr>
            </w:pPr>
            <w:r>
              <w:rPr>
                <w:rFonts w:hint="eastAsia" w:cs="仿宋_GB2312"/>
              </w:rPr>
              <w:t>尧山道公园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pStyle w:val="89"/>
              <w:jc w:val="center"/>
              <w:rPr>
                <w:rFonts w:cs="仿宋_GB2312"/>
              </w:rPr>
            </w:pPr>
            <w:r>
              <w:rPr>
                <w:rFonts w:hint="eastAsia" w:cs="仿宋_GB2312"/>
              </w:rPr>
              <w:t>2</w:t>
            </w:r>
          </w:p>
        </w:tc>
        <w:tc>
          <w:tcPr>
            <w:tcW w:w="4110" w:type="dxa"/>
            <w:vAlign w:val="center"/>
          </w:tcPr>
          <w:p>
            <w:pPr>
              <w:pStyle w:val="89"/>
              <w:jc w:val="center"/>
              <w:rPr>
                <w:rFonts w:cs="仿宋_GB2312"/>
              </w:rPr>
            </w:pPr>
            <w:r>
              <w:rPr>
                <w:rFonts w:hint="eastAsia" w:cs="仿宋_GB2312"/>
              </w:rPr>
              <w:t>庐山道与第九大街交叉口东南</w:t>
            </w:r>
            <w:r>
              <w:rPr>
                <w:rFonts w:cs="仿宋_GB2312"/>
              </w:rPr>
              <w:t>200米</w:t>
            </w:r>
          </w:p>
        </w:tc>
        <w:tc>
          <w:tcPr>
            <w:tcW w:w="3188" w:type="dxa"/>
            <w:vAlign w:val="center"/>
          </w:tcPr>
          <w:p>
            <w:pPr>
              <w:pStyle w:val="89"/>
              <w:jc w:val="center"/>
              <w:rPr>
                <w:rFonts w:cs="仿宋_GB2312"/>
              </w:rPr>
            </w:pPr>
            <w:r>
              <w:rPr>
                <w:rFonts w:hint="eastAsia" w:cs="仿宋_GB2312"/>
              </w:rPr>
              <w:t>庐山道公园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pStyle w:val="89"/>
              <w:jc w:val="center"/>
              <w:rPr>
                <w:rFonts w:cs="仿宋_GB2312"/>
              </w:rPr>
            </w:pPr>
            <w:r>
              <w:rPr>
                <w:rFonts w:hint="eastAsia" w:cs="仿宋_GB2312"/>
              </w:rPr>
              <w:t>3</w:t>
            </w:r>
          </w:p>
        </w:tc>
        <w:tc>
          <w:tcPr>
            <w:tcW w:w="4110" w:type="dxa"/>
            <w:vAlign w:val="center"/>
          </w:tcPr>
          <w:p>
            <w:pPr>
              <w:pStyle w:val="89"/>
              <w:jc w:val="center"/>
              <w:rPr>
                <w:rFonts w:cs="仿宋_GB2312"/>
              </w:rPr>
            </w:pPr>
            <w:r>
              <w:rPr>
                <w:rFonts w:hint="eastAsia" w:cs="仿宋_GB2312"/>
              </w:rPr>
              <w:t>塘汉路</w:t>
            </w:r>
            <w:r>
              <w:rPr>
                <w:rFonts w:cs="仿宋_GB2312"/>
              </w:rPr>
              <w:t>389号</w:t>
            </w:r>
          </w:p>
        </w:tc>
        <w:tc>
          <w:tcPr>
            <w:tcW w:w="3188" w:type="dxa"/>
            <w:vAlign w:val="center"/>
          </w:tcPr>
          <w:p>
            <w:pPr>
              <w:pStyle w:val="89"/>
              <w:jc w:val="center"/>
              <w:rPr>
                <w:rFonts w:cs="仿宋_GB2312"/>
              </w:rPr>
            </w:pPr>
            <w:r>
              <w:rPr>
                <w:rFonts w:hint="eastAsia" w:cs="仿宋_GB2312"/>
              </w:rPr>
              <w:t>塘沽区第一职专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pStyle w:val="89"/>
              <w:jc w:val="center"/>
              <w:rPr>
                <w:rFonts w:cs="仿宋_GB2312"/>
              </w:rPr>
            </w:pPr>
            <w:r>
              <w:rPr>
                <w:rFonts w:hint="eastAsia" w:cs="仿宋_GB2312"/>
              </w:rPr>
              <w:t>4</w:t>
            </w:r>
          </w:p>
        </w:tc>
        <w:tc>
          <w:tcPr>
            <w:tcW w:w="4110" w:type="dxa"/>
            <w:vAlign w:val="center"/>
          </w:tcPr>
          <w:p>
            <w:pPr>
              <w:pStyle w:val="89"/>
              <w:jc w:val="center"/>
              <w:rPr>
                <w:rFonts w:cs="仿宋_GB2312"/>
              </w:rPr>
            </w:pPr>
            <w:r>
              <w:rPr>
                <w:rFonts w:hint="eastAsia" w:cs="仿宋_GB2312"/>
              </w:rPr>
              <w:t>河北路</w:t>
            </w:r>
            <w:r>
              <w:rPr>
                <w:rFonts w:cs="仿宋_GB2312"/>
              </w:rPr>
              <w:t>49号</w:t>
            </w:r>
          </w:p>
        </w:tc>
        <w:tc>
          <w:tcPr>
            <w:tcW w:w="3188" w:type="dxa"/>
            <w:vAlign w:val="center"/>
          </w:tcPr>
          <w:p>
            <w:pPr>
              <w:pStyle w:val="89"/>
              <w:jc w:val="center"/>
              <w:rPr>
                <w:rFonts w:cs="仿宋_GB2312"/>
              </w:rPr>
            </w:pPr>
            <w:r>
              <w:rPr>
                <w:rFonts w:hint="eastAsia" w:cs="仿宋_GB2312"/>
              </w:rPr>
              <w:t>工农村小学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pStyle w:val="89"/>
              <w:jc w:val="center"/>
              <w:rPr>
                <w:rFonts w:cs="仿宋_GB2312"/>
              </w:rPr>
            </w:pPr>
            <w:r>
              <w:rPr>
                <w:rFonts w:hint="eastAsia" w:cs="仿宋_GB2312"/>
              </w:rPr>
              <w:t>5</w:t>
            </w:r>
          </w:p>
        </w:tc>
        <w:tc>
          <w:tcPr>
            <w:tcW w:w="4110" w:type="dxa"/>
            <w:vAlign w:val="center"/>
          </w:tcPr>
          <w:p>
            <w:pPr>
              <w:pStyle w:val="89"/>
              <w:jc w:val="center"/>
              <w:rPr>
                <w:rFonts w:cs="仿宋_GB2312"/>
              </w:rPr>
            </w:pPr>
            <w:r>
              <w:rPr>
                <w:rFonts w:hint="eastAsia" w:cs="仿宋_GB2312"/>
              </w:rPr>
              <w:t>云山道与河北西路交叉路口往西北约</w:t>
            </w:r>
            <w:r>
              <w:rPr>
                <w:rFonts w:cs="仿宋_GB2312"/>
              </w:rPr>
              <w:t>100米</w:t>
            </w:r>
          </w:p>
        </w:tc>
        <w:tc>
          <w:tcPr>
            <w:tcW w:w="3188" w:type="dxa"/>
            <w:vAlign w:val="center"/>
          </w:tcPr>
          <w:p>
            <w:pPr>
              <w:pStyle w:val="89"/>
              <w:jc w:val="center"/>
              <w:rPr>
                <w:rFonts w:cs="仿宋_GB2312"/>
              </w:rPr>
            </w:pPr>
            <w:r>
              <w:rPr>
                <w:rFonts w:hint="eastAsia" w:cs="仿宋_GB2312"/>
              </w:rPr>
              <w:t>云山道学校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pStyle w:val="89"/>
              <w:jc w:val="center"/>
              <w:rPr>
                <w:rFonts w:cs="仿宋_GB2312"/>
              </w:rPr>
            </w:pPr>
            <w:r>
              <w:rPr>
                <w:rFonts w:hint="eastAsia" w:cs="仿宋_GB2312"/>
              </w:rPr>
              <w:t>6</w:t>
            </w:r>
          </w:p>
        </w:tc>
        <w:tc>
          <w:tcPr>
            <w:tcW w:w="4110" w:type="dxa"/>
            <w:vAlign w:val="center"/>
          </w:tcPr>
          <w:p>
            <w:pPr>
              <w:pStyle w:val="89"/>
              <w:jc w:val="center"/>
              <w:rPr>
                <w:rFonts w:cs="仿宋_GB2312"/>
              </w:rPr>
            </w:pPr>
            <w:r>
              <w:rPr>
                <w:rFonts w:hint="eastAsia" w:cs="仿宋_GB2312"/>
              </w:rPr>
              <w:t>天津市滨海新区滨宇东道与新北路交口</w:t>
            </w:r>
          </w:p>
        </w:tc>
        <w:tc>
          <w:tcPr>
            <w:tcW w:w="3188" w:type="dxa"/>
            <w:vAlign w:val="center"/>
          </w:tcPr>
          <w:p>
            <w:pPr>
              <w:pStyle w:val="89"/>
              <w:jc w:val="center"/>
              <w:rPr>
                <w:rFonts w:cs="仿宋_GB2312"/>
              </w:rPr>
            </w:pPr>
            <w:r>
              <w:rPr>
                <w:rFonts w:hint="eastAsia" w:cs="仿宋_GB2312"/>
              </w:rPr>
              <w:t>水域未来城学校</w:t>
            </w:r>
          </w:p>
        </w:tc>
      </w:tr>
    </w:tbl>
    <w:p>
      <w:pPr>
        <w:ind w:firstLine="560"/>
      </w:pPr>
    </w:p>
    <w:p>
      <w:pPr>
        <w:ind w:firstLine="560"/>
      </w:pPr>
    </w:p>
    <w:p>
      <w:pPr>
        <w:ind w:firstLine="560"/>
        <w:sectPr>
          <w:pgSz w:w="11905" w:h="16840"/>
          <w:pgMar w:top="1418" w:right="1134" w:bottom="1247" w:left="1588" w:header="851" w:footer="850" w:gutter="0"/>
          <w:paperSrc w:first="7" w:other="7"/>
          <w:cols w:space="720" w:num="1"/>
          <w:docGrid w:linePitch="628" w:charSpace="0"/>
        </w:sectPr>
      </w:pPr>
    </w:p>
    <w:p>
      <w:pPr>
        <w:pStyle w:val="3"/>
        <w:ind w:firstLine="301"/>
      </w:pPr>
      <w:bookmarkStart w:id="71" w:name="_Toc51575352"/>
      <w:r>
        <w:rPr>
          <w:rFonts w:hint="eastAsia"/>
        </w:rPr>
        <w:t>附件8</w:t>
      </w:r>
      <w:r>
        <w:t xml:space="preserve"> </w:t>
      </w:r>
      <w:r>
        <w:rPr>
          <w:rFonts w:hint="eastAsia"/>
        </w:rPr>
        <w:t>应急物资储备情况表</w:t>
      </w:r>
      <w:bookmarkEnd w:id="71"/>
    </w:p>
    <w:p>
      <w:pPr>
        <w:pStyle w:val="4"/>
        <w:ind w:firstLine="394"/>
      </w:pPr>
      <w:r>
        <w:rPr>
          <w:rFonts w:hint="eastAsia"/>
        </w:rPr>
        <w:t>8</w:t>
      </w:r>
      <w:r>
        <w:t>.1</w:t>
      </w:r>
      <w:r>
        <w:rPr>
          <w:rFonts w:hint="eastAsia"/>
        </w:rPr>
        <w:t>新北街道应急物资汇总表</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701"/>
        <w:gridCol w:w="1701"/>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792" w:type="pct"/>
            <w:vAlign w:val="center"/>
          </w:tcPr>
          <w:p>
            <w:pPr>
              <w:pStyle w:val="89"/>
              <w:jc w:val="center"/>
              <w:rPr>
                <w:b/>
                <w:bCs/>
              </w:rPr>
            </w:pPr>
            <w:r>
              <w:rPr>
                <w:rFonts w:hint="eastAsia"/>
                <w:b/>
                <w:bCs/>
              </w:rPr>
              <w:t>名称</w:t>
            </w:r>
          </w:p>
        </w:tc>
        <w:tc>
          <w:tcPr>
            <w:tcW w:w="905" w:type="pct"/>
            <w:vAlign w:val="center"/>
          </w:tcPr>
          <w:p>
            <w:pPr>
              <w:pStyle w:val="89"/>
              <w:jc w:val="center"/>
              <w:rPr>
                <w:b/>
                <w:bCs/>
              </w:rPr>
            </w:pPr>
            <w:r>
              <w:rPr>
                <w:rFonts w:hint="eastAsia"/>
                <w:b/>
                <w:bCs/>
              </w:rPr>
              <w:t>数量</w:t>
            </w:r>
          </w:p>
        </w:tc>
        <w:tc>
          <w:tcPr>
            <w:tcW w:w="905" w:type="pct"/>
            <w:vAlign w:val="center"/>
          </w:tcPr>
          <w:p>
            <w:pPr>
              <w:pStyle w:val="89"/>
              <w:jc w:val="center"/>
              <w:rPr>
                <w:b/>
                <w:bCs/>
              </w:rPr>
            </w:pPr>
            <w:r>
              <w:rPr>
                <w:rFonts w:hint="eastAsia"/>
                <w:b/>
                <w:bCs/>
              </w:rPr>
              <w:t>单位</w:t>
            </w:r>
          </w:p>
        </w:tc>
        <w:tc>
          <w:tcPr>
            <w:tcW w:w="1398" w:type="pct"/>
            <w:vAlign w:val="center"/>
          </w:tcPr>
          <w:p>
            <w:pPr>
              <w:pStyle w:val="89"/>
              <w:jc w:val="center"/>
              <w:rPr>
                <w:b/>
                <w:bCs/>
              </w:rPr>
            </w:pPr>
            <w:r>
              <w:rPr>
                <w:rFonts w:hint="eastAsia"/>
                <w:b/>
                <w:bCs/>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安全头盔</w:t>
            </w:r>
          </w:p>
        </w:tc>
        <w:tc>
          <w:tcPr>
            <w:tcW w:w="905" w:type="pct"/>
            <w:vAlign w:val="center"/>
          </w:tcPr>
          <w:p>
            <w:pPr>
              <w:pStyle w:val="89"/>
              <w:jc w:val="center"/>
              <w:rPr>
                <w:rFonts w:hAnsi="宋体"/>
              </w:rPr>
            </w:pPr>
            <w:r>
              <w:rPr>
                <w:rFonts w:hint="eastAsia" w:hAnsi="宋体"/>
              </w:rPr>
              <w:t>40</w:t>
            </w:r>
          </w:p>
        </w:tc>
        <w:tc>
          <w:tcPr>
            <w:tcW w:w="905" w:type="pct"/>
            <w:vAlign w:val="center"/>
          </w:tcPr>
          <w:p>
            <w:pPr>
              <w:pStyle w:val="89"/>
              <w:jc w:val="center"/>
              <w:rPr>
                <w:rFonts w:hAnsi="宋体"/>
              </w:rPr>
            </w:pPr>
            <w:r>
              <w:rPr>
                <w:rFonts w:hint="eastAsia" w:hAnsi="宋体"/>
              </w:rPr>
              <w:t>顶</w:t>
            </w:r>
          </w:p>
        </w:tc>
        <w:tc>
          <w:tcPr>
            <w:tcW w:w="1398" w:type="pct"/>
            <w:vMerge w:val="restart"/>
            <w:vAlign w:val="center"/>
          </w:tcPr>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r>
              <w:rPr>
                <w:rFonts w:hint="eastAsia" w:hAnsi="宋体"/>
              </w:rPr>
              <w:t>河北路4-396号新北街道办事处物资器材库</w:t>
            </w: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r>
              <w:rPr>
                <w:rFonts w:hint="eastAsia" w:hAnsi="宋体"/>
              </w:rPr>
              <w:t>新北街道物资器材库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呼吸面具</w:t>
            </w:r>
          </w:p>
        </w:tc>
        <w:tc>
          <w:tcPr>
            <w:tcW w:w="905" w:type="pct"/>
            <w:vAlign w:val="center"/>
          </w:tcPr>
          <w:p>
            <w:pPr>
              <w:pStyle w:val="89"/>
              <w:jc w:val="center"/>
              <w:rPr>
                <w:rFonts w:hAnsi="宋体"/>
              </w:rPr>
            </w:pPr>
            <w:r>
              <w:rPr>
                <w:rFonts w:hint="eastAsia" w:hAnsi="宋体"/>
              </w:rPr>
              <w:t>40</w:t>
            </w:r>
          </w:p>
        </w:tc>
        <w:tc>
          <w:tcPr>
            <w:tcW w:w="905" w:type="pct"/>
            <w:vAlign w:val="center"/>
          </w:tcPr>
          <w:p>
            <w:pPr>
              <w:pStyle w:val="89"/>
              <w:jc w:val="center"/>
              <w:rPr>
                <w:rFonts w:hAnsi="宋体"/>
              </w:rPr>
            </w:pPr>
            <w:r>
              <w:rPr>
                <w:rFonts w:hint="eastAsia" w:hAnsi="宋体"/>
              </w:rPr>
              <w:t>个</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防护镜</w:t>
            </w:r>
          </w:p>
        </w:tc>
        <w:tc>
          <w:tcPr>
            <w:tcW w:w="905" w:type="pct"/>
            <w:vAlign w:val="center"/>
          </w:tcPr>
          <w:p>
            <w:pPr>
              <w:pStyle w:val="89"/>
              <w:jc w:val="center"/>
              <w:rPr>
                <w:rFonts w:hAnsi="宋体"/>
              </w:rPr>
            </w:pPr>
            <w:r>
              <w:rPr>
                <w:rFonts w:hint="eastAsia" w:hAnsi="宋体"/>
              </w:rPr>
              <w:t>40</w:t>
            </w:r>
          </w:p>
        </w:tc>
        <w:tc>
          <w:tcPr>
            <w:tcW w:w="905" w:type="pct"/>
            <w:vAlign w:val="center"/>
          </w:tcPr>
          <w:p>
            <w:pPr>
              <w:pStyle w:val="89"/>
              <w:jc w:val="center"/>
              <w:rPr>
                <w:rFonts w:hAnsi="宋体"/>
              </w:rPr>
            </w:pPr>
            <w:r>
              <w:rPr>
                <w:rFonts w:hint="eastAsia" w:hAnsi="宋体"/>
              </w:rPr>
              <w:t>副</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垫肩</w:t>
            </w:r>
          </w:p>
        </w:tc>
        <w:tc>
          <w:tcPr>
            <w:tcW w:w="905" w:type="pct"/>
            <w:vAlign w:val="center"/>
          </w:tcPr>
          <w:p>
            <w:pPr>
              <w:pStyle w:val="89"/>
              <w:jc w:val="center"/>
              <w:rPr>
                <w:rFonts w:hAnsi="宋体"/>
              </w:rPr>
            </w:pPr>
            <w:r>
              <w:rPr>
                <w:rFonts w:hint="eastAsia" w:hAnsi="宋体"/>
              </w:rPr>
              <w:t>40</w:t>
            </w:r>
          </w:p>
        </w:tc>
        <w:tc>
          <w:tcPr>
            <w:tcW w:w="905" w:type="pct"/>
            <w:vAlign w:val="center"/>
          </w:tcPr>
          <w:p>
            <w:pPr>
              <w:pStyle w:val="89"/>
              <w:jc w:val="center"/>
              <w:rPr>
                <w:rFonts w:hAnsi="宋体"/>
              </w:rPr>
            </w:pPr>
            <w:r>
              <w:rPr>
                <w:rFonts w:hint="eastAsia" w:hAnsi="宋体"/>
              </w:rPr>
              <w:t>个</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护膝、护肘</w:t>
            </w:r>
          </w:p>
        </w:tc>
        <w:tc>
          <w:tcPr>
            <w:tcW w:w="905" w:type="pct"/>
            <w:vAlign w:val="center"/>
          </w:tcPr>
          <w:p>
            <w:pPr>
              <w:pStyle w:val="89"/>
              <w:jc w:val="center"/>
              <w:rPr>
                <w:rFonts w:hAnsi="宋体"/>
              </w:rPr>
            </w:pPr>
            <w:r>
              <w:rPr>
                <w:rFonts w:hint="eastAsia" w:hAnsi="宋体"/>
              </w:rPr>
              <w:t>各40</w:t>
            </w:r>
          </w:p>
        </w:tc>
        <w:tc>
          <w:tcPr>
            <w:tcW w:w="905" w:type="pct"/>
            <w:vAlign w:val="center"/>
          </w:tcPr>
          <w:p>
            <w:pPr>
              <w:pStyle w:val="89"/>
              <w:jc w:val="center"/>
              <w:rPr>
                <w:rFonts w:hAnsi="宋体"/>
              </w:rPr>
            </w:pPr>
            <w:r>
              <w:rPr>
                <w:rFonts w:hint="eastAsia" w:hAnsi="宋体"/>
              </w:rPr>
              <w:t>副</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安全鞋</w:t>
            </w:r>
          </w:p>
        </w:tc>
        <w:tc>
          <w:tcPr>
            <w:tcW w:w="905" w:type="pct"/>
            <w:vAlign w:val="center"/>
          </w:tcPr>
          <w:p>
            <w:pPr>
              <w:pStyle w:val="89"/>
              <w:jc w:val="center"/>
              <w:rPr>
                <w:rFonts w:hAnsi="宋体"/>
              </w:rPr>
            </w:pPr>
            <w:r>
              <w:rPr>
                <w:rFonts w:hint="eastAsia" w:hAnsi="宋体"/>
              </w:rPr>
              <w:t>40</w:t>
            </w:r>
          </w:p>
        </w:tc>
        <w:tc>
          <w:tcPr>
            <w:tcW w:w="905" w:type="pct"/>
            <w:vAlign w:val="center"/>
          </w:tcPr>
          <w:p>
            <w:pPr>
              <w:pStyle w:val="89"/>
              <w:jc w:val="center"/>
              <w:rPr>
                <w:rFonts w:hAnsi="宋体"/>
              </w:rPr>
            </w:pPr>
            <w:r>
              <w:rPr>
                <w:rFonts w:hint="eastAsia" w:hAnsi="宋体"/>
              </w:rPr>
              <w:t>双</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空气呼吸器</w:t>
            </w:r>
          </w:p>
        </w:tc>
        <w:tc>
          <w:tcPr>
            <w:tcW w:w="905" w:type="pct"/>
            <w:vAlign w:val="center"/>
          </w:tcPr>
          <w:p>
            <w:pPr>
              <w:pStyle w:val="89"/>
              <w:jc w:val="center"/>
              <w:rPr>
                <w:rFonts w:hAnsi="宋体"/>
              </w:rPr>
            </w:pPr>
            <w:r>
              <w:rPr>
                <w:rFonts w:hint="eastAsia" w:hAnsi="宋体"/>
              </w:rPr>
              <w:t>1</w:t>
            </w:r>
          </w:p>
        </w:tc>
        <w:tc>
          <w:tcPr>
            <w:tcW w:w="905" w:type="pct"/>
            <w:vAlign w:val="center"/>
          </w:tcPr>
          <w:p>
            <w:pPr>
              <w:pStyle w:val="89"/>
              <w:jc w:val="center"/>
              <w:rPr>
                <w:rFonts w:hAnsi="宋体"/>
              </w:rPr>
            </w:pPr>
            <w:r>
              <w:rPr>
                <w:rFonts w:hint="eastAsia" w:hAnsi="宋体"/>
              </w:rPr>
              <w:t>套</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对讲机</w:t>
            </w:r>
          </w:p>
        </w:tc>
        <w:tc>
          <w:tcPr>
            <w:tcW w:w="905" w:type="pct"/>
            <w:vAlign w:val="center"/>
          </w:tcPr>
          <w:p>
            <w:pPr>
              <w:pStyle w:val="89"/>
              <w:jc w:val="center"/>
              <w:rPr>
                <w:rFonts w:hAnsi="宋体"/>
              </w:rPr>
            </w:pPr>
            <w:r>
              <w:rPr>
                <w:rFonts w:hint="eastAsia" w:hAnsi="宋体"/>
              </w:rPr>
              <w:t>5</w:t>
            </w:r>
          </w:p>
        </w:tc>
        <w:tc>
          <w:tcPr>
            <w:tcW w:w="905" w:type="pct"/>
            <w:vAlign w:val="center"/>
          </w:tcPr>
          <w:p>
            <w:pPr>
              <w:pStyle w:val="89"/>
              <w:jc w:val="center"/>
              <w:rPr>
                <w:rFonts w:hAnsi="宋体"/>
              </w:rPr>
            </w:pPr>
            <w:r>
              <w:rPr>
                <w:rFonts w:hint="eastAsia" w:hAnsi="宋体"/>
              </w:rPr>
              <w:t>部</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喊话器</w:t>
            </w:r>
          </w:p>
        </w:tc>
        <w:tc>
          <w:tcPr>
            <w:tcW w:w="905" w:type="pct"/>
            <w:vAlign w:val="center"/>
          </w:tcPr>
          <w:p>
            <w:pPr>
              <w:pStyle w:val="89"/>
              <w:jc w:val="center"/>
              <w:rPr>
                <w:rFonts w:hAnsi="宋体"/>
              </w:rPr>
            </w:pPr>
            <w:r>
              <w:rPr>
                <w:rFonts w:hint="eastAsia" w:hAnsi="宋体"/>
              </w:rPr>
              <w:t>2</w:t>
            </w:r>
          </w:p>
        </w:tc>
        <w:tc>
          <w:tcPr>
            <w:tcW w:w="905" w:type="pct"/>
            <w:vAlign w:val="center"/>
          </w:tcPr>
          <w:p>
            <w:pPr>
              <w:pStyle w:val="89"/>
              <w:jc w:val="center"/>
              <w:rPr>
                <w:rFonts w:hAnsi="宋体"/>
              </w:rPr>
            </w:pPr>
            <w:r>
              <w:rPr>
                <w:rFonts w:hint="eastAsia" w:hAnsi="宋体"/>
              </w:rPr>
              <w:t>部</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强光手电筒</w:t>
            </w:r>
          </w:p>
        </w:tc>
        <w:tc>
          <w:tcPr>
            <w:tcW w:w="905" w:type="pct"/>
            <w:vAlign w:val="center"/>
          </w:tcPr>
          <w:p>
            <w:pPr>
              <w:pStyle w:val="89"/>
              <w:jc w:val="center"/>
              <w:rPr>
                <w:rFonts w:hAnsi="宋体"/>
              </w:rPr>
            </w:pPr>
            <w:r>
              <w:rPr>
                <w:rFonts w:hint="eastAsia" w:hAnsi="宋体"/>
              </w:rPr>
              <w:t>10</w:t>
            </w:r>
          </w:p>
        </w:tc>
        <w:tc>
          <w:tcPr>
            <w:tcW w:w="905" w:type="pct"/>
            <w:vAlign w:val="center"/>
          </w:tcPr>
          <w:p>
            <w:pPr>
              <w:pStyle w:val="89"/>
              <w:jc w:val="center"/>
              <w:rPr>
                <w:rFonts w:hAnsi="宋体"/>
              </w:rPr>
            </w:pPr>
            <w:r>
              <w:rPr>
                <w:rFonts w:hint="eastAsia" w:hAnsi="宋体"/>
              </w:rPr>
              <w:t>把</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应急灯</w:t>
            </w:r>
          </w:p>
        </w:tc>
        <w:tc>
          <w:tcPr>
            <w:tcW w:w="905" w:type="pct"/>
            <w:vAlign w:val="center"/>
          </w:tcPr>
          <w:p>
            <w:pPr>
              <w:pStyle w:val="89"/>
              <w:jc w:val="center"/>
              <w:rPr>
                <w:rFonts w:hAnsi="宋体"/>
              </w:rPr>
            </w:pPr>
            <w:r>
              <w:rPr>
                <w:rFonts w:hint="eastAsia" w:hAnsi="宋体"/>
              </w:rPr>
              <w:t>4</w:t>
            </w:r>
          </w:p>
        </w:tc>
        <w:tc>
          <w:tcPr>
            <w:tcW w:w="905" w:type="pct"/>
            <w:vAlign w:val="center"/>
          </w:tcPr>
          <w:p>
            <w:pPr>
              <w:pStyle w:val="89"/>
              <w:jc w:val="center"/>
              <w:rPr>
                <w:rFonts w:hAnsi="宋体"/>
              </w:rPr>
            </w:pPr>
            <w:r>
              <w:rPr>
                <w:rFonts w:hint="eastAsia" w:hAnsi="宋体"/>
              </w:rPr>
              <w:t>把</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移动升降照明灯</w:t>
            </w:r>
          </w:p>
        </w:tc>
        <w:tc>
          <w:tcPr>
            <w:tcW w:w="905" w:type="pct"/>
            <w:vAlign w:val="center"/>
          </w:tcPr>
          <w:p>
            <w:pPr>
              <w:pStyle w:val="89"/>
              <w:jc w:val="center"/>
              <w:rPr>
                <w:rFonts w:hAnsi="宋体"/>
              </w:rPr>
            </w:pPr>
            <w:r>
              <w:rPr>
                <w:rFonts w:hint="eastAsia" w:hAnsi="宋体"/>
              </w:rPr>
              <w:t>4</w:t>
            </w:r>
          </w:p>
        </w:tc>
        <w:tc>
          <w:tcPr>
            <w:tcW w:w="905" w:type="pct"/>
            <w:vAlign w:val="center"/>
          </w:tcPr>
          <w:p>
            <w:pPr>
              <w:pStyle w:val="89"/>
              <w:jc w:val="center"/>
              <w:rPr>
                <w:rFonts w:hAnsi="宋体"/>
              </w:rPr>
            </w:pPr>
            <w:r>
              <w:rPr>
                <w:rFonts w:hint="eastAsia" w:hAnsi="宋体"/>
              </w:rPr>
              <w:t>套</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头灯</w:t>
            </w:r>
          </w:p>
        </w:tc>
        <w:tc>
          <w:tcPr>
            <w:tcW w:w="905" w:type="pct"/>
            <w:vAlign w:val="center"/>
          </w:tcPr>
          <w:p>
            <w:pPr>
              <w:pStyle w:val="89"/>
              <w:jc w:val="center"/>
              <w:rPr>
                <w:rFonts w:hAnsi="宋体"/>
              </w:rPr>
            </w:pPr>
            <w:r>
              <w:rPr>
                <w:rFonts w:hint="eastAsia" w:hAnsi="宋体"/>
              </w:rPr>
              <w:t>40</w:t>
            </w:r>
          </w:p>
        </w:tc>
        <w:tc>
          <w:tcPr>
            <w:tcW w:w="905" w:type="pct"/>
            <w:vAlign w:val="center"/>
          </w:tcPr>
          <w:p>
            <w:pPr>
              <w:pStyle w:val="89"/>
              <w:jc w:val="center"/>
              <w:rPr>
                <w:rFonts w:hAnsi="宋体"/>
              </w:rPr>
            </w:pPr>
            <w:r>
              <w:rPr>
                <w:rFonts w:hint="eastAsia" w:hAnsi="宋体"/>
              </w:rPr>
              <w:t>个</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救生衣</w:t>
            </w:r>
          </w:p>
        </w:tc>
        <w:tc>
          <w:tcPr>
            <w:tcW w:w="905" w:type="pct"/>
            <w:vAlign w:val="center"/>
          </w:tcPr>
          <w:p>
            <w:pPr>
              <w:pStyle w:val="89"/>
              <w:jc w:val="center"/>
              <w:rPr>
                <w:rFonts w:hAnsi="宋体"/>
              </w:rPr>
            </w:pPr>
            <w:r>
              <w:rPr>
                <w:rFonts w:hint="eastAsia" w:hAnsi="宋体"/>
              </w:rPr>
              <w:t>40</w:t>
            </w:r>
          </w:p>
        </w:tc>
        <w:tc>
          <w:tcPr>
            <w:tcW w:w="905" w:type="pct"/>
            <w:vAlign w:val="center"/>
          </w:tcPr>
          <w:p>
            <w:pPr>
              <w:pStyle w:val="89"/>
              <w:jc w:val="center"/>
              <w:rPr>
                <w:rFonts w:hAnsi="宋体"/>
              </w:rPr>
            </w:pPr>
            <w:r>
              <w:rPr>
                <w:rFonts w:hint="eastAsia" w:hAnsi="宋体"/>
              </w:rPr>
              <w:t>件</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救生圈</w:t>
            </w:r>
          </w:p>
        </w:tc>
        <w:tc>
          <w:tcPr>
            <w:tcW w:w="905" w:type="pct"/>
            <w:vAlign w:val="center"/>
          </w:tcPr>
          <w:p>
            <w:pPr>
              <w:pStyle w:val="89"/>
              <w:jc w:val="center"/>
              <w:rPr>
                <w:rFonts w:hAnsi="宋体"/>
              </w:rPr>
            </w:pPr>
            <w:r>
              <w:rPr>
                <w:rFonts w:hint="eastAsia" w:hAnsi="宋体"/>
              </w:rPr>
              <w:t>20</w:t>
            </w:r>
          </w:p>
        </w:tc>
        <w:tc>
          <w:tcPr>
            <w:tcW w:w="905" w:type="pct"/>
            <w:vAlign w:val="center"/>
          </w:tcPr>
          <w:p>
            <w:pPr>
              <w:pStyle w:val="89"/>
              <w:jc w:val="center"/>
              <w:rPr>
                <w:rFonts w:hAnsi="宋体"/>
              </w:rPr>
            </w:pPr>
            <w:r>
              <w:rPr>
                <w:rFonts w:hint="eastAsia" w:hAnsi="宋体"/>
              </w:rPr>
              <w:t>个</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漂浮绳</w:t>
            </w:r>
          </w:p>
        </w:tc>
        <w:tc>
          <w:tcPr>
            <w:tcW w:w="905" w:type="pct"/>
            <w:vAlign w:val="center"/>
          </w:tcPr>
          <w:p>
            <w:pPr>
              <w:pStyle w:val="89"/>
              <w:jc w:val="center"/>
              <w:rPr>
                <w:rFonts w:hAnsi="宋体"/>
              </w:rPr>
            </w:pPr>
            <w:r>
              <w:rPr>
                <w:rFonts w:hint="eastAsia" w:hAnsi="宋体"/>
              </w:rPr>
              <w:t>5</w:t>
            </w:r>
          </w:p>
        </w:tc>
        <w:tc>
          <w:tcPr>
            <w:tcW w:w="905" w:type="pct"/>
            <w:vAlign w:val="center"/>
          </w:tcPr>
          <w:p>
            <w:pPr>
              <w:pStyle w:val="89"/>
              <w:jc w:val="center"/>
              <w:rPr>
                <w:rFonts w:hAnsi="宋体"/>
              </w:rPr>
            </w:pPr>
            <w:r>
              <w:rPr>
                <w:rFonts w:hint="eastAsia" w:hAnsi="宋体"/>
              </w:rPr>
              <w:t>条</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扩张钳</w:t>
            </w:r>
          </w:p>
        </w:tc>
        <w:tc>
          <w:tcPr>
            <w:tcW w:w="905" w:type="pct"/>
            <w:vAlign w:val="center"/>
          </w:tcPr>
          <w:p>
            <w:pPr>
              <w:pStyle w:val="89"/>
              <w:jc w:val="center"/>
              <w:rPr>
                <w:rFonts w:hAnsi="宋体"/>
              </w:rPr>
            </w:pPr>
            <w:r>
              <w:rPr>
                <w:rFonts w:hint="eastAsia" w:hAnsi="宋体"/>
              </w:rPr>
              <w:t>2</w:t>
            </w:r>
          </w:p>
        </w:tc>
        <w:tc>
          <w:tcPr>
            <w:tcW w:w="905" w:type="pct"/>
            <w:vAlign w:val="center"/>
          </w:tcPr>
          <w:p>
            <w:pPr>
              <w:pStyle w:val="89"/>
              <w:jc w:val="center"/>
              <w:rPr>
                <w:rFonts w:hAnsi="宋体"/>
              </w:rPr>
            </w:pPr>
            <w:r>
              <w:rPr>
                <w:rFonts w:hint="eastAsia" w:hAnsi="宋体"/>
              </w:rPr>
              <w:t>套</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千斤顶</w:t>
            </w:r>
          </w:p>
        </w:tc>
        <w:tc>
          <w:tcPr>
            <w:tcW w:w="905" w:type="pct"/>
            <w:vAlign w:val="center"/>
          </w:tcPr>
          <w:p>
            <w:pPr>
              <w:pStyle w:val="89"/>
              <w:jc w:val="center"/>
              <w:rPr>
                <w:rFonts w:hAnsi="宋体"/>
              </w:rPr>
            </w:pPr>
            <w:r>
              <w:rPr>
                <w:rFonts w:hint="eastAsia" w:hAnsi="宋体"/>
              </w:rPr>
              <w:t>4</w:t>
            </w:r>
          </w:p>
        </w:tc>
        <w:tc>
          <w:tcPr>
            <w:tcW w:w="905" w:type="pct"/>
            <w:vAlign w:val="center"/>
          </w:tcPr>
          <w:p>
            <w:pPr>
              <w:pStyle w:val="89"/>
              <w:jc w:val="center"/>
              <w:rPr>
                <w:rFonts w:hAnsi="宋体"/>
              </w:rPr>
            </w:pPr>
            <w:r>
              <w:rPr>
                <w:rFonts w:hint="eastAsia" w:hAnsi="宋体"/>
              </w:rPr>
              <w:t>个</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钢钎</w:t>
            </w:r>
          </w:p>
        </w:tc>
        <w:tc>
          <w:tcPr>
            <w:tcW w:w="905" w:type="pct"/>
            <w:vAlign w:val="center"/>
          </w:tcPr>
          <w:p>
            <w:pPr>
              <w:pStyle w:val="89"/>
              <w:jc w:val="center"/>
              <w:rPr>
                <w:rFonts w:hAnsi="宋体"/>
              </w:rPr>
            </w:pPr>
            <w:r>
              <w:rPr>
                <w:rFonts w:hint="eastAsia" w:hAnsi="宋体"/>
              </w:rPr>
              <w:t>5</w:t>
            </w:r>
          </w:p>
        </w:tc>
        <w:tc>
          <w:tcPr>
            <w:tcW w:w="905" w:type="pct"/>
            <w:vAlign w:val="center"/>
          </w:tcPr>
          <w:p>
            <w:pPr>
              <w:pStyle w:val="89"/>
              <w:jc w:val="center"/>
              <w:rPr>
                <w:rFonts w:hAnsi="宋体"/>
              </w:rPr>
            </w:pPr>
            <w:r>
              <w:rPr>
                <w:rFonts w:hint="eastAsia" w:hAnsi="宋体"/>
              </w:rPr>
              <w:t>把</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撬棍</w:t>
            </w:r>
          </w:p>
        </w:tc>
        <w:tc>
          <w:tcPr>
            <w:tcW w:w="905" w:type="pct"/>
            <w:vAlign w:val="center"/>
          </w:tcPr>
          <w:p>
            <w:pPr>
              <w:pStyle w:val="89"/>
              <w:jc w:val="center"/>
              <w:rPr>
                <w:rFonts w:hAnsi="宋体"/>
              </w:rPr>
            </w:pPr>
            <w:r>
              <w:rPr>
                <w:rFonts w:hint="eastAsia" w:hAnsi="宋体"/>
              </w:rPr>
              <w:t>4</w:t>
            </w:r>
          </w:p>
        </w:tc>
        <w:tc>
          <w:tcPr>
            <w:tcW w:w="905" w:type="pct"/>
            <w:vAlign w:val="center"/>
          </w:tcPr>
          <w:p>
            <w:pPr>
              <w:pStyle w:val="89"/>
              <w:jc w:val="center"/>
              <w:rPr>
                <w:rFonts w:hAnsi="宋体"/>
              </w:rPr>
            </w:pPr>
            <w:r>
              <w:rPr>
                <w:rFonts w:hint="eastAsia" w:hAnsi="宋体"/>
              </w:rPr>
              <w:t>根</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斧子</w:t>
            </w:r>
          </w:p>
        </w:tc>
        <w:tc>
          <w:tcPr>
            <w:tcW w:w="905" w:type="pct"/>
            <w:vAlign w:val="center"/>
          </w:tcPr>
          <w:p>
            <w:pPr>
              <w:pStyle w:val="89"/>
              <w:jc w:val="center"/>
              <w:rPr>
                <w:rFonts w:hAnsi="宋体"/>
              </w:rPr>
            </w:pPr>
            <w:r>
              <w:rPr>
                <w:rFonts w:hint="eastAsia" w:hAnsi="宋体"/>
              </w:rPr>
              <w:t>10</w:t>
            </w:r>
          </w:p>
        </w:tc>
        <w:tc>
          <w:tcPr>
            <w:tcW w:w="905" w:type="pct"/>
            <w:vAlign w:val="center"/>
          </w:tcPr>
          <w:p>
            <w:pPr>
              <w:pStyle w:val="89"/>
              <w:jc w:val="center"/>
              <w:rPr>
                <w:rFonts w:hAnsi="宋体"/>
              </w:rPr>
            </w:pPr>
            <w:r>
              <w:rPr>
                <w:rFonts w:hint="eastAsia" w:hAnsi="宋体"/>
              </w:rPr>
              <w:t>把</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电锯</w:t>
            </w:r>
          </w:p>
        </w:tc>
        <w:tc>
          <w:tcPr>
            <w:tcW w:w="905" w:type="pct"/>
            <w:vAlign w:val="center"/>
          </w:tcPr>
          <w:p>
            <w:pPr>
              <w:pStyle w:val="89"/>
              <w:jc w:val="center"/>
              <w:rPr>
                <w:rFonts w:hAnsi="宋体"/>
              </w:rPr>
            </w:pPr>
            <w:r>
              <w:rPr>
                <w:rFonts w:hint="eastAsia" w:hAnsi="宋体"/>
              </w:rPr>
              <w:t>2</w:t>
            </w:r>
          </w:p>
        </w:tc>
        <w:tc>
          <w:tcPr>
            <w:tcW w:w="905" w:type="pct"/>
            <w:vAlign w:val="center"/>
          </w:tcPr>
          <w:p>
            <w:pPr>
              <w:pStyle w:val="89"/>
              <w:jc w:val="center"/>
              <w:rPr>
                <w:rFonts w:hAnsi="宋体"/>
              </w:rPr>
            </w:pPr>
            <w:r>
              <w:rPr>
                <w:rFonts w:hint="eastAsia" w:hAnsi="宋体"/>
              </w:rPr>
              <w:t>个</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无齿锯</w:t>
            </w:r>
          </w:p>
        </w:tc>
        <w:tc>
          <w:tcPr>
            <w:tcW w:w="905" w:type="pct"/>
            <w:vAlign w:val="center"/>
          </w:tcPr>
          <w:p>
            <w:pPr>
              <w:pStyle w:val="89"/>
              <w:jc w:val="center"/>
              <w:rPr>
                <w:rFonts w:hAnsi="宋体"/>
              </w:rPr>
            </w:pPr>
            <w:r>
              <w:rPr>
                <w:rFonts w:hint="eastAsia" w:hAnsi="宋体"/>
              </w:rPr>
              <w:t>2</w:t>
            </w:r>
          </w:p>
        </w:tc>
        <w:tc>
          <w:tcPr>
            <w:tcW w:w="905" w:type="pct"/>
            <w:vAlign w:val="center"/>
          </w:tcPr>
          <w:p>
            <w:pPr>
              <w:pStyle w:val="89"/>
              <w:jc w:val="center"/>
              <w:rPr>
                <w:rFonts w:hAnsi="宋体"/>
              </w:rPr>
            </w:pPr>
            <w:r>
              <w:rPr>
                <w:rFonts w:hint="eastAsia" w:hAnsi="宋体"/>
              </w:rPr>
              <w:t>个</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链锯</w:t>
            </w:r>
          </w:p>
        </w:tc>
        <w:tc>
          <w:tcPr>
            <w:tcW w:w="905" w:type="pct"/>
            <w:vAlign w:val="center"/>
          </w:tcPr>
          <w:p>
            <w:pPr>
              <w:pStyle w:val="89"/>
              <w:jc w:val="center"/>
              <w:rPr>
                <w:rFonts w:hAnsi="宋体"/>
              </w:rPr>
            </w:pPr>
            <w:r>
              <w:rPr>
                <w:rFonts w:hint="eastAsia" w:hAnsi="宋体"/>
              </w:rPr>
              <w:t>2</w:t>
            </w:r>
          </w:p>
        </w:tc>
        <w:tc>
          <w:tcPr>
            <w:tcW w:w="905" w:type="pct"/>
            <w:vAlign w:val="center"/>
          </w:tcPr>
          <w:p>
            <w:pPr>
              <w:pStyle w:val="89"/>
              <w:jc w:val="center"/>
              <w:rPr>
                <w:rFonts w:hAnsi="宋体"/>
              </w:rPr>
            </w:pPr>
            <w:r>
              <w:rPr>
                <w:rFonts w:hint="eastAsia" w:hAnsi="宋体"/>
              </w:rPr>
              <w:t>个</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铁锹</w:t>
            </w:r>
          </w:p>
        </w:tc>
        <w:tc>
          <w:tcPr>
            <w:tcW w:w="905" w:type="pct"/>
            <w:vAlign w:val="center"/>
          </w:tcPr>
          <w:p>
            <w:pPr>
              <w:pStyle w:val="89"/>
              <w:jc w:val="center"/>
              <w:rPr>
                <w:rFonts w:hAnsi="宋体"/>
              </w:rPr>
            </w:pPr>
            <w:r>
              <w:rPr>
                <w:rFonts w:hint="eastAsia" w:hAnsi="宋体"/>
              </w:rPr>
              <w:t>130</w:t>
            </w:r>
          </w:p>
        </w:tc>
        <w:tc>
          <w:tcPr>
            <w:tcW w:w="905" w:type="pct"/>
            <w:vAlign w:val="center"/>
          </w:tcPr>
          <w:p>
            <w:pPr>
              <w:pStyle w:val="89"/>
              <w:jc w:val="center"/>
              <w:rPr>
                <w:rFonts w:hAnsi="宋体"/>
              </w:rPr>
            </w:pPr>
            <w:r>
              <w:rPr>
                <w:rFonts w:hint="eastAsia" w:hAnsi="宋体"/>
              </w:rPr>
              <w:t>把</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十字镐</w:t>
            </w:r>
          </w:p>
        </w:tc>
        <w:tc>
          <w:tcPr>
            <w:tcW w:w="905" w:type="pct"/>
            <w:vAlign w:val="center"/>
          </w:tcPr>
          <w:p>
            <w:pPr>
              <w:pStyle w:val="89"/>
              <w:jc w:val="center"/>
              <w:rPr>
                <w:rFonts w:hAnsi="宋体"/>
              </w:rPr>
            </w:pPr>
            <w:r>
              <w:rPr>
                <w:rFonts w:hint="eastAsia" w:hAnsi="宋体"/>
              </w:rPr>
              <w:t>30</w:t>
            </w:r>
          </w:p>
        </w:tc>
        <w:tc>
          <w:tcPr>
            <w:tcW w:w="905" w:type="pct"/>
            <w:vAlign w:val="center"/>
          </w:tcPr>
          <w:p>
            <w:pPr>
              <w:pStyle w:val="89"/>
              <w:jc w:val="center"/>
              <w:rPr>
                <w:rFonts w:hAnsi="宋体"/>
              </w:rPr>
            </w:pPr>
            <w:r>
              <w:rPr>
                <w:rFonts w:hint="eastAsia" w:hAnsi="宋体"/>
              </w:rPr>
              <w:t>把</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大锤</w:t>
            </w:r>
          </w:p>
        </w:tc>
        <w:tc>
          <w:tcPr>
            <w:tcW w:w="905" w:type="pct"/>
            <w:vAlign w:val="center"/>
          </w:tcPr>
          <w:p>
            <w:pPr>
              <w:pStyle w:val="89"/>
              <w:jc w:val="center"/>
              <w:rPr>
                <w:rFonts w:hAnsi="宋体"/>
              </w:rPr>
            </w:pPr>
            <w:r>
              <w:rPr>
                <w:rFonts w:hint="eastAsia" w:hAnsi="宋体"/>
              </w:rPr>
              <w:t>10</w:t>
            </w:r>
          </w:p>
        </w:tc>
        <w:tc>
          <w:tcPr>
            <w:tcW w:w="905" w:type="pct"/>
            <w:vAlign w:val="center"/>
          </w:tcPr>
          <w:p>
            <w:pPr>
              <w:pStyle w:val="89"/>
              <w:jc w:val="center"/>
              <w:rPr>
                <w:rFonts w:hAnsi="宋体"/>
              </w:rPr>
            </w:pPr>
            <w:r>
              <w:rPr>
                <w:rFonts w:hint="eastAsia" w:hAnsi="宋体"/>
              </w:rPr>
              <w:t>把</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太阳伞</w:t>
            </w:r>
          </w:p>
        </w:tc>
        <w:tc>
          <w:tcPr>
            <w:tcW w:w="905" w:type="pct"/>
            <w:vAlign w:val="center"/>
          </w:tcPr>
          <w:p>
            <w:pPr>
              <w:pStyle w:val="89"/>
              <w:jc w:val="center"/>
              <w:rPr>
                <w:rFonts w:hAnsi="宋体"/>
              </w:rPr>
            </w:pPr>
            <w:r>
              <w:rPr>
                <w:rFonts w:hint="eastAsia" w:hAnsi="宋体"/>
              </w:rPr>
              <w:t>8</w:t>
            </w:r>
          </w:p>
        </w:tc>
        <w:tc>
          <w:tcPr>
            <w:tcW w:w="905" w:type="pct"/>
            <w:vAlign w:val="center"/>
          </w:tcPr>
          <w:p>
            <w:pPr>
              <w:pStyle w:val="89"/>
              <w:jc w:val="center"/>
              <w:rPr>
                <w:rFonts w:hAnsi="宋体"/>
              </w:rPr>
            </w:pPr>
            <w:r>
              <w:rPr>
                <w:rFonts w:hint="eastAsia" w:hAnsi="宋体"/>
              </w:rPr>
              <w:t>顶</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灭火器</w:t>
            </w:r>
          </w:p>
        </w:tc>
        <w:tc>
          <w:tcPr>
            <w:tcW w:w="905" w:type="pct"/>
            <w:vAlign w:val="center"/>
          </w:tcPr>
          <w:p>
            <w:pPr>
              <w:pStyle w:val="89"/>
              <w:jc w:val="center"/>
              <w:rPr>
                <w:rFonts w:hAnsi="宋体"/>
              </w:rPr>
            </w:pPr>
            <w:r>
              <w:rPr>
                <w:rFonts w:hint="eastAsia" w:hAnsi="宋体"/>
              </w:rPr>
              <w:t>10</w:t>
            </w:r>
          </w:p>
        </w:tc>
        <w:tc>
          <w:tcPr>
            <w:tcW w:w="905" w:type="pct"/>
            <w:vAlign w:val="center"/>
          </w:tcPr>
          <w:p>
            <w:pPr>
              <w:pStyle w:val="89"/>
              <w:jc w:val="center"/>
              <w:rPr>
                <w:rFonts w:hAnsi="宋体"/>
              </w:rPr>
            </w:pPr>
            <w:r>
              <w:rPr>
                <w:rFonts w:hint="eastAsia" w:hAnsi="宋体"/>
              </w:rPr>
              <w:t>个</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防火衣</w:t>
            </w:r>
          </w:p>
        </w:tc>
        <w:tc>
          <w:tcPr>
            <w:tcW w:w="905" w:type="pct"/>
            <w:vAlign w:val="center"/>
          </w:tcPr>
          <w:p>
            <w:pPr>
              <w:pStyle w:val="89"/>
              <w:jc w:val="center"/>
              <w:rPr>
                <w:rFonts w:hAnsi="宋体"/>
              </w:rPr>
            </w:pPr>
            <w:r>
              <w:rPr>
                <w:rFonts w:hint="eastAsia" w:hAnsi="宋体"/>
              </w:rPr>
              <w:t>40</w:t>
            </w:r>
          </w:p>
        </w:tc>
        <w:tc>
          <w:tcPr>
            <w:tcW w:w="905" w:type="pct"/>
            <w:vAlign w:val="center"/>
          </w:tcPr>
          <w:p>
            <w:pPr>
              <w:pStyle w:val="89"/>
              <w:jc w:val="center"/>
              <w:rPr>
                <w:rFonts w:hAnsi="宋体"/>
              </w:rPr>
            </w:pPr>
            <w:r>
              <w:rPr>
                <w:rFonts w:hint="eastAsia" w:hAnsi="宋体"/>
              </w:rPr>
              <w:t>套</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灭火毯</w:t>
            </w:r>
          </w:p>
        </w:tc>
        <w:tc>
          <w:tcPr>
            <w:tcW w:w="905" w:type="pct"/>
            <w:vAlign w:val="center"/>
          </w:tcPr>
          <w:p>
            <w:pPr>
              <w:pStyle w:val="89"/>
              <w:jc w:val="center"/>
              <w:rPr>
                <w:rFonts w:hAnsi="宋体"/>
              </w:rPr>
            </w:pPr>
            <w:r>
              <w:rPr>
                <w:rFonts w:hint="eastAsia" w:hAnsi="宋体"/>
              </w:rPr>
              <w:t>10</w:t>
            </w:r>
          </w:p>
        </w:tc>
        <w:tc>
          <w:tcPr>
            <w:tcW w:w="905" w:type="pct"/>
            <w:vAlign w:val="center"/>
          </w:tcPr>
          <w:p>
            <w:pPr>
              <w:pStyle w:val="89"/>
              <w:jc w:val="center"/>
              <w:rPr>
                <w:rFonts w:hAnsi="宋体"/>
              </w:rPr>
            </w:pPr>
            <w:r>
              <w:rPr>
                <w:rFonts w:hint="eastAsia" w:hAnsi="宋体"/>
              </w:rPr>
              <w:t>张</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打火鞭</w:t>
            </w:r>
          </w:p>
        </w:tc>
        <w:tc>
          <w:tcPr>
            <w:tcW w:w="905" w:type="pct"/>
            <w:vAlign w:val="center"/>
          </w:tcPr>
          <w:p>
            <w:pPr>
              <w:pStyle w:val="89"/>
              <w:jc w:val="center"/>
              <w:rPr>
                <w:rFonts w:hAnsi="宋体"/>
              </w:rPr>
            </w:pPr>
            <w:r>
              <w:rPr>
                <w:rFonts w:hint="eastAsia" w:hAnsi="宋体"/>
              </w:rPr>
              <w:t>10</w:t>
            </w:r>
          </w:p>
        </w:tc>
        <w:tc>
          <w:tcPr>
            <w:tcW w:w="905" w:type="pct"/>
            <w:vAlign w:val="center"/>
          </w:tcPr>
          <w:p>
            <w:pPr>
              <w:pStyle w:val="89"/>
              <w:jc w:val="center"/>
              <w:rPr>
                <w:rFonts w:hAnsi="宋体"/>
              </w:rPr>
            </w:pPr>
            <w:r>
              <w:rPr>
                <w:rFonts w:hint="eastAsia" w:hAnsi="宋体"/>
              </w:rPr>
              <w:t>把</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防爆盾牌</w:t>
            </w:r>
          </w:p>
        </w:tc>
        <w:tc>
          <w:tcPr>
            <w:tcW w:w="905" w:type="pct"/>
            <w:vAlign w:val="center"/>
          </w:tcPr>
          <w:p>
            <w:pPr>
              <w:pStyle w:val="89"/>
              <w:jc w:val="center"/>
              <w:rPr>
                <w:rFonts w:hAnsi="宋体"/>
              </w:rPr>
            </w:pPr>
            <w:r>
              <w:rPr>
                <w:rFonts w:hint="eastAsia" w:hAnsi="宋体"/>
              </w:rPr>
              <w:t>40</w:t>
            </w:r>
          </w:p>
        </w:tc>
        <w:tc>
          <w:tcPr>
            <w:tcW w:w="905" w:type="pct"/>
            <w:vAlign w:val="center"/>
          </w:tcPr>
          <w:p>
            <w:pPr>
              <w:pStyle w:val="89"/>
              <w:jc w:val="center"/>
              <w:rPr>
                <w:rFonts w:hAnsi="宋体"/>
              </w:rPr>
            </w:pPr>
            <w:r>
              <w:rPr>
                <w:rFonts w:hint="eastAsia" w:hAnsi="宋体"/>
              </w:rPr>
              <w:t>具</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防爆警棍</w:t>
            </w:r>
          </w:p>
        </w:tc>
        <w:tc>
          <w:tcPr>
            <w:tcW w:w="905" w:type="pct"/>
            <w:vAlign w:val="center"/>
          </w:tcPr>
          <w:p>
            <w:pPr>
              <w:pStyle w:val="89"/>
              <w:jc w:val="center"/>
              <w:rPr>
                <w:rFonts w:hAnsi="宋体"/>
              </w:rPr>
            </w:pPr>
            <w:r>
              <w:rPr>
                <w:rFonts w:hint="eastAsia" w:hAnsi="宋体"/>
              </w:rPr>
              <w:t>40</w:t>
            </w:r>
          </w:p>
        </w:tc>
        <w:tc>
          <w:tcPr>
            <w:tcW w:w="905" w:type="pct"/>
            <w:vAlign w:val="center"/>
          </w:tcPr>
          <w:p>
            <w:pPr>
              <w:pStyle w:val="89"/>
              <w:jc w:val="center"/>
              <w:rPr>
                <w:rFonts w:hAnsi="宋体"/>
              </w:rPr>
            </w:pPr>
            <w:r>
              <w:rPr>
                <w:rFonts w:hint="eastAsia" w:hAnsi="宋体"/>
              </w:rPr>
              <w:t>根</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铁丝</w:t>
            </w:r>
          </w:p>
        </w:tc>
        <w:tc>
          <w:tcPr>
            <w:tcW w:w="905" w:type="pct"/>
            <w:vAlign w:val="center"/>
          </w:tcPr>
          <w:p>
            <w:pPr>
              <w:pStyle w:val="89"/>
              <w:jc w:val="center"/>
              <w:rPr>
                <w:rFonts w:hAnsi="宋体"/>
              </w:rPr>
            </w:pPr>
            <w:r>
              <w:rPr>
                <w:rFonts w:hint="eastAsia" w:hAnsi="宋体"/>
              </w:rPr>
              <w:t>50</w:t>
            </w:r>
          </w:p>
        </w:tc>
        <w:tc>
          <w:tcPr>
            <w:tcW w:w="905" w:type="pct"/>
            <w:vAlign w:val="center"/>
          </w:tcPr>
          <w:p>
            <w:pPr>
              <w:pStyle w:val="89"/>
              <w:jc w:val="center"/>
              <w:rPr>
                <w:rFonts w:hAnsi="宋体"/>
              </w:rPr>
            </w:pPr>
            <w:r>
              <w:rPr>
                <w:rFonts w:hint="eastAsia" w:hAnsi="宋体"/>
              </w:rPr>
              <w:t>公斤</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雨衣</w:t>
            </w:r>
          </w:p>
        </w:tc>
        <w:tc>
          <w:tcPr>
            <w:tcW w:w="905" w:type="pct"/>
            <w:vAlign w:val="center"/>
          </w:tcPr>
          <w:p>
            <w:pPr>
              <w:pStyle w:val="89"/>
              <w:jc w:val="center"/>
              <w:rPr>
                <w:rFonts w:hAnsi="宋体"/>
              </w:rPr>
            </w:pPr>
            <w:r>
              <w:rPr>
                <w:rFonts w:hint="eastAsia" w:hAnsi="宋体"/>
              </w:rPr>
              <w:t>140</w:t>
            </w:r>
          </w:p>
        </w:tc>
        <w:tc>
          <w:tcPr>
            <w:tcW w:w="905" w:type="pct"/>
            <w:vAlign w:val="center"/>
          </w:tcPr>
          <w:p>
            <w:pPr>
              <w:pStyle w:val="89"/>
              <w:jc w:val="center"/>
              <w:rPr>
                <w:rFonts w:hAnsi="宋体"/>
              </w:rPr>
            </w:pPr>
            <w:r>
              <w:rPr>
                <w:rFonts w:hint="eastAsia" w:hAnsi="宋体"/>
              </w:rPr>
              <w:t>件</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雨靴</w:t>
            </w:r>
          </w:p>
        </w:tc>
        <w:tc>
          <w:tcPr>
            <w:tcW w:w="905" w:type="pct"/>
            <w:vAlign w:val="center"/>
          </w:tcPr>
          <w:p>
            <w:pPr>
              <w:pStyle w:val="89"/>
              <w:jc w:val="center"/>
              <w:rPr>
                <w:rFonts w:hAnsi="宋体"/>
              </w:rPr>
            </w:pPr>
            <w:r>
              <w:rPr>
                <w:rFonts w:hint="eastAsia" w:hAnsi="宋体"/>
              </w:rPr>
              <w:t>40</w:t>
            </w:r>
          </w:p>
        </w:tc>
        <w:tc>
          <w:tcPr>
            <w:tcW w:w="905" w:type="pct"/>
            <w:vAlign w:val="center"/>
          </w:tcPr>
          <w:p>
            <w:pPr>
              <w:pStyle w:val="89"/>
              <w:jc w:val="center"/>
              <w:rPr>
                <w:rFonts w:hAnsi="宋体"/>
              </w:rPr>
            </w:pPr>
            <w:r>
              <w:rPr>
                <w:rFonts w:hint="eastAsia" w:hAnsi="宋体"/>
              </w:rPr>
              <w:t>双</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排水泵</w:t>
            </w:r>
          </w:p>
        </w:tc>
        <w:tc>
          <w:tcPr>
            <w:tcW w:w="905" w:type="pct"/>
            <w:vAlign w:val="center"/>
          </w:tcPr>
          <w:p>
            <w:pPr>
              <w:pStyle w:val="89"/>
              <w:jc w:val="center"/>
              <w:rPr>
                <w:rFonts w:hAnsi="宋体"/>
              </w:rPr>
            </w:pPr>
            <w:r>
              <w:rPr>
                <w:rFonts w:hint="eastAsia" w:hAnsi="宋体"/>
              </w:rPr>
              <w:t>2</w:t>
            </w:r>
          </w:p>
        </w:tc>
        <w:tc>
          <w:tcPr>
            <w:tcW w:w="905" w:type="pct"/>
            <w:vAlign w:val="center"/>
          </w:tcPr>
          <w:p>
            <w:pPr>
              <w:pStyle w:val="89"/>
              <w:jc w:val="center"/>
              <w:rPr>
                <w:rFonts w:hAnsi="宋体"/>
              </w:rPr>
            </w:pPr>
            <w:r>
              <w:rPr>
                <w:rFonts w:hint="eastAsia" w:hAnsi="宋体"/>
              </w:rPr>
              <w:t>台</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担架</w:t>
            </w:r>
          </w:p>
        </w:tc>
        <w:tc>
          <w:tcPr>
            <w:tcW w:w="905" w:type="pct"/>
            <w:vAlign w:val="center"/>
          </w:tcPr>
          <w:p>
            <w:pPr>
              <w:pStyle w:val="89"/>
              <w:jc w:val="center"/>
              <w:rPr>
                <w:rFonts w:hAnsi="宋体"/>
              </w:rPr>
            </w:pPr>
            <w:r>
              <w:rPr>
                <w:rFonts w:hint="eastAsia" w:hAnsi="宋体"/>
              </w:rPr>
              <w:t>1</w:t>
            </w:r>
          </w:p>
        </w:tc>
        <w:tc>
          <w:tcPr>
            <w:tcW w:w="905" w:type="pct"/>
            <w:vAlign w:val="center"/>
          </w:tcPr>
          <w:p>
            <w:pPr>
              <w:pStyle w:val="89"/>
              <w:jc w:val="center"/>
              <w:rPr>
                <w:rFonts w:hAnsi="宋体"/>
              </w:rPr>
            </w:pPr>
            <w:r>
              <w:rPr>
                <w:rFonts w:hint="eastAsia" w:hAnsi="宋体"/>
              </w:rPr>
              <w:t>幅</w:t>
            </w:r>
          </w:p>
        </w:tc>
        <w:tc>
          <w:tcPr>
            <w:tcW w:w="1398" w:type="pct"/>
            <w:vMerge w:val="restart"/>
            <w:vAlign w:val="center"/>
          </w:tcPr>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r>
              <w:rPr>
                <w:rFonts w:hint="eastAsia" w:hAnsi="宋体"/>
              </w:rPr>
              <w:t>贻成豪庭社区库房</w:t>
            </w: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jc w:val="center"/>
              <w:rPr>
                <w:rFonts w:hAnsi="宋体"/>
              </w:rPr>
            </w:pPr>
          </w:p>
          <w:p>
            <w:pPr>
              <w:pStyle w:val="89"/>
              <w:rPr>
                <w:rFonts w:hAnsi="宋体"/>
              </w:rPr>
            </w:pPr>
          </w:p>
          <w:p>
            <w:pPr>
              <w:pStyle w:val="89"/>
              <w:jc w:val="center"/>
              <w:rPr>
                <w:rFonts w:hAnsi="宋体"/>
              </w:rPr>
            </w:pPr>
          </w:p>
          <w:p>
            <w:pPr>
              <w:pStyle w:val="89"/>
              <w:jc w:val="center"/>
              <w:rPr>
                <w:rFonts w:hAnsi="宋体"/>
              </w:rPr>
            </w:pPr>
            <w:r>
              <w:rPr>
                <w:rFonts w:hint="eastAsia" w:hAnsi="宋体"/>
              </w:rPr>
              <w:t>贻成豪庭社区库房</w:t>
            </w:r>
          </w:p>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急救箱</w:t>
            </w:r>
          </w:p>
        </w:tc>
        <w:tc>
          <w:tcPr>
            <w:tcW w:w="905" w:type="pct"/>
            <w:vAlign w:val="center"/>
          </w:tcPr>
          <w:p>
            <w:pPr>
              <w:pStyle w:val="89"/>
              <w:jc w:val="center"/>
              <w:rPr>
                <w:rFonts w:hAnsi="宋体"/>
              </w:rPr>
            </w:pPr>
            <w:r>
              <w:rPr>
                <w:rFonts w:hint="eastAsia" w:hAnsi="宋体"/>
              </w:rPr>
              <w:t>1</w:t>
            </w:r>
          </w:p>
        </w:tc>
        <w:tc>
          <w:tcPr>
            <w:tcW w:w="905" w:type="pct"/>
            <w:vAlign w:val="center"/>
          </w:tcPr>
          <w:p>
            <w:pPr>
              <w:pStyle w:val="89"/>
              <w:jc w:val="center"/>
              <w:rPr>
                <w:rFonts w:hAnsi="宋体"/>
              </w:rPr>
            </w:pPr>
            <w:r>
              <w:rPr>
                <w:rFonts w:hint="eastAsia" w:hAnsi="宋体"/>
              </w:rPr>
              <w:t>个</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棉帐篷</w:t>
            </w:r>
          </w:p>
        </w:tc>
        <w:tc>
          <w:tcPr>
            <w:tcW w:w="905" w:type="pct"/>
            <w:vAlign w:val="center"/>
          </w:tcPr>
          <w:p>
            <w:pPr>
              <w:pStyle w:val="89"/>
              <w:jc w:val="center"/>
              <w:rPr>
                <w:rFonts w:hAnsi="宋体"/>
              </w:rPr>
            </w:pPr>
            <w:r>
              <w:rPr>
                <w:rFonts w:hint="eastAsia" w:hAnsi="宋体"/>
              </w:rPr>
              <w:t>1</w:t>
            </w:r>
          </w:p>
        </w:tc>
        <w:tc>
          <w:tcPr>
            <w:tcW w:w="905" w:type="pct"/>
            <w:vAlign w:val="center"/>
          </w:tcPr>
          <w:p>
            <w:pPr>
              <w:pStyle w:val="89"/>
              <w:jc w:val="center"/>
              <w:rPr>
                <w:rFonts w:hAnsi="宋体"/>
              </w:rPr>
            </w:pPr>
            <w:r>
              <w:rPr>
                <w:rFonts w:hint="eastAsia" w:hAnsi="宋体"/>
              </w:rPr>
              <w:t>顶</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电子血压计</w:t>
            </w:r>
          </w:p>
        </w:tc>
        <w:tc>
          <w:tcPr>
            <w:tcW w:w="905" w:type="pct"/>
            <w:vAlign w:val="center"/>
          </w:tcPr>
          <w:p>
            <w:pPr>
              <w:pStyle w:val="89"/>
              <w:jc w:val="center"/>
              <w:rPr>
                <w:rFonts w:hAnsi="宋体"/>
              </w:rPr>
            </w:pPr>
            <w:r>
              <w:rPr>
                <w:rFonts w:hint="eastAsia" w:hAnsi="宋体"/>
              </w:rPr>
              <w:t>1</w:t>
            </w:r>
          </w:p>
        </w:tc>
        <w:tc>
          <w:tcPr>
            <w:tcW w:w="905" w:type="pct"/>
            <w:vAlign w:val="center"/>
          </w:tcPr>
          <w:p>
            <w:pPr>
              <w:pStyle w:val="89"/>
              <w:jc w:val="center"/>
              <w:rPr>
                <w:rFonts w:hAnsi="宋体"/>
              </w:rPr>
            </w:pPr>
            <w:r>
              <w:rPr>
                <w:rFonts w:hint="eastAsia" w:hAnsi="宋体"/>
              </w:rPr>
              <w:t>个</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喊话器</w:t>
            </w:r>
          </w:p>
        </w:tc>
        <w:tc>
          <w:tcPr>
            <w:tcW w:w="905" w:type="pct"/>
            <w:vAlign w:val="center"/>
          </w:tcPr>
          <w:p>
            <w:pPr>
              <w:pStyle w:val="89"/>
              <w:jc w:val="center"/>
              <w:rPr>
                <w:rFonts w:hAnsi="宋体"/>
              </w:rPr>
            </w:pPr>
            <w:r>
              <w:rPr>
                <w:rFonts w:hint="eastAsia" w:hAnsi="宋体"/>
              </w:rPr>
              <w:t>2</w:t>
            </w:r>
          </w:p>
        </w:tc>
        <w:tc>
          <w:tcPr>
            <w:tcW w:w="905" w:type="pct"/>
            <w:vAlign w:val="center"/>
          </w:tcPr>
          <w:p>
            <w:pPr>
              <w:pStyle w:val="89"/>
              <w:jc w:val="center"/>
              <w:rPr>
                <w:rFonts w:hAnsi="宋体"/>
              </w:rPr>
            </w:pPr>
            <w:r>
              <w:rPr>
                <w:rFonts w:hint="eastAsia" w:hAnsi="宋体"/>
              </w:rPr>
              <w:t>部</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rPr>
                <w:rFonts w:hAnsi="宋体"/>
              </w:rPr>
            </w:pPr>
            <w:r>
              <w:rPr>
                <w:rFonts w:hint="eastAsia" w:hAnsi="宋体"/>
              </w:rPr>
              <w:t>对讲机</w:t>
            </w:r>
          </w:p>
        </w:tc>
        <w:tc>
          <w:tcPr>
            <w:tcW w:w="905" w:type="pct"/>
            <w:vAlign w:val="center"/>
          </w:tcPr>
          <w:p>
            <w:pPr>
              <w:pStyle w:val="89"/>
              <w:jc w:val="center"/>
              <w:rPr>
                <w:rFonts w:hAnsi="宋体"/>
              </w:rPr>
            </w:pPr>
            <w:r>
              <w:rPr>
                <w:rFonts w:hint="eastAsia" w:hAnsi="宋体"/>
              </w:rPr>
              <w:t>2</w:t>
            </w:r>
          </w:p>
        </w:tc>
        <w:tc>
          <w:tcPr>
            <w:tcW w:w="905" w:type="pct"/>
            <w:vAlign w:val="center"/>
          </w:tcPr>
          <w:p>
            <w:pPr>
              <w:pStyle w:val="89"/>
              <w:jc w:val="center"/>
              <w:rPr>
                <w:rFonts w:hAnsi="宋体"/>
              </w:rPr>
            </w:pPr>
            <w:r>
              <w:rPr>
                <w:rFonts w:hint="eastAsia" w:hAnsi="宋体"/>
              </w:rPr>
              <w:t>部</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pPr>
            <w:r>
              <w:rPr>
                <w:rFonts w:hint="eastAsia"/>
              </w:rPr>
              <w:t>应急救助生活包</w:t>
            </w:r>
          </w:p>
        </w:tc>
        <w:tc>
          <w:tcPr>
            <w:tcW w:w="905" w:type="pct"/>
            <w:vAlign w:val="center"/>
          </w:tcPr>
          <w:p>
            <w:pPr>
              <w:pStyle w:val="89"/>
              <w:jc w:val="center"/>
              <w:rPr>
                <w:rFonts w:hAnsi="宋体"/>
              </w:rPr>
            </w:pPr>
            <w:r>
              <w:rPr>
                <w:rFonts w:hint="eastAsia" w:cs="仿宋_GB2312"/>
                <w:sz w:val="28"/>
              </w:rPr>
              <w:t>12</w:t>
            </w:r>
          </w:p>
        </w:tc>
        <w:tc>
          <w:tcPr>
            <w:tcW w:w="905" w:type="pct"/>
            <w:vAlign w:val="center"/>
          </w:tcPr>
          <w:p>
            <w:pPr>
              <w:pStyle w:val="89"/>
              <w:jc w:val="center"/>
              <w:rPr>
                <w:rFonts w:hAnsi="宋体"/>
              </w:rPr>
            </w:pP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pPr>
            <w:r>
              <w:rPr>
                <w:rFonts w:hint="eastAsia"/>
              </w:rPr>
              <w:t>应急疏导指示牌</w:t>
            </w:r>
          </w:p>
        </w:tc>
        <w:tc>
          <w:tcPr>
            <w:tcW w:w="905" w:type="pct"/>
            <w:vAlign w:val="center"/>
          </w:tcPr>
          <w:p>
            <w:pPr>
              <w:pStyle w:val="89"/>
              <w:jc w:val="center"/>
              <w:rPr>
                <w:rFonts w:hAnsi="宋体"/>
              </w:rPr>
            </w:pPr>
            <w:r>
              <w:rPr>
                <w:rFonts w:hint="eastAsia" w:cs="仿宋_GB2312"/>
                <w:sz w:val="28"/>
              </w:rPr>
              <w:t>5</w:t>
            </w:r>
          </w:p>
        </w:tc>
        <w:tc>
          <w:tcPr>
            <w:tcW w:w="905" w:type="pct"/>
            <w:vAlign w:val="center"/>
          </w:tcPr>
          <w:p>
            <w:pPr>
              <w:pStyle w:val="89"/>
              <w:jc w:val="center"/>
              <w:rPr>
                <w:rFonts w:hAnsi="宋体"/>
              </w:rPr>
            </w:pP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pPr>
            <w:r>
              <w:rPr>
                <w:rFonts w:hint="eastAsia"/>
              </w:rPr>
              <w:t>地震应急破拆工具</w:t>
            </w:r>
          </w:p>
        </w:tc>
        <w:tc>
          <w:tcPr>
            <w:tcW w:w="905" w:type="pct"/>
            <w:vAlign w:val="center"/>
          </w:tcPr>
          <w:p>
            <w:pPr>
              <w:pStyle w:val="89"/>
              <w:jc w:val="center"/>
              <w:rPr>
                <w:rFonts w:hAnsi="宋体"/>
              </w:rPr>
            </w:pPr>
            <w:r>
              <w:rPr>
                <w:rFonts w:hint="eastAsia" w:cs="仿宋_GB2312"/>
                <w:sz w:val="28"/>
              </w:rPr>
              <w:t>1</w:t>
            </w:r>
          </w:p>
        </w:tc>
        <w:tc>
          <w:tcPr>
            <w:tcW w:w="905" w:type="pct"/>
            <w:vAlign w:val="center"/>
          </w:tcPr>
          <w:p>
            <w:pPr>
              <w:pStyle w:val="89"/>
              <w:jc w:val="center"/>
              <w:rPr>
                <w:rFonts w:hAnsi="宋体"/>
              </w:rPr>
            </w:pP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pPr>
            <w:r>
              <w:rPr>
                <w:rFonts w:hint="eastAsia"/>
              </w:rPr>
              <w:t>地震应急救援SOS工具盒</w:t>
            </w:r>
          </w:p>
        </w:tc>
        <w:tc>
          <w:tcPr>
            <w:tcW w:w="905" w:type="pct"/>
            <w:vAlign w:val="center"/>
          </w:tcPr>
          <w:p>
            <w:pPr>
              <w:pStyle w:val="89"/>
              <w:jc w:val="center"/>
              <w:rPr>
                <w:rFonts w:cs="仿宋_GB2312"/>
                <w:sz w:val="28"/>
              </w:rPr>
            </w:pPr>
            <w:r>
              <w:rPr>
                <w:rFonts w:hint="eastAsia" w:cs="仿宋_GB2312"/>
                <w:sz w:val="28"/>
              </w:rPr>
              <w:t>35</w:t>
            </w:r>
          </w:p>
        </w:tc>
        <w:tc>
          <w:tcPr>
            <w:tcW w:w="905" w:type="pct"/>
            <w:vAlign w:val="center"/>
          </w:tcPr>
          <w:p>
            <w:pPr>
              <w:pStyle w:val="89"/>
              <w:jc w:val="center"/>
              <w:rPr>
                <w:rFonts w:hAnsi="宋体"/>
              </w:rPr>
            </w:pP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pPr>
            <w:r>
              <w:rPr>
                <w:rFonts w:hint="eastAsia"/>
              </w:rPr>
              <w:t>地震宣传展架</w:t>
            </w:r>
          </w:p>
        </w:tc>
        <w:tc>
          <w:tcPr>
            <w:tcW w:w="905" w:type="pct"/>
            <w:vAlign w:val="center"/>
          </w:tcPr>
          <w:p>
            <w:pPr>
              <w:pStyle w:val="89"/>
              <w:jc w:val="center"/>
              <w:rPr>
                <w:rFonts w:hAnsi="宋体"/>
              </w:rPr>
            </w:pPr>
            <w:r>
              <w:rPr>
                <w:rFonts w:hint="eastAsia" w:cs="仿宋_GB2312"/>
                <w:sz w:val="28"/>
              </w:rPr>
              <w:t>4</w:t>
            </w:r>
          </w:p>
        </w:tc>
        <w:tc>
          <w:tcPr>
            <w:tcW w:w="905" w:type="pct"/>
            <w:vAlign w:val="center"/>
          </w:tcPr>
          <w:p>
            <w:pPr>
              <w:pStyle w:val="89"/>
              <w:jc w:val="center"/>
              <w:rPr>
                <w:rFonts w:hAnsi="宋体"/>
              </w:rPr>
            </w:pP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pPr>
            <w:r>
              <w:rPr>
                <w:rFonts w:hint="eastAsia"/>
              </w:rPr>
              <w:t>红十字地震应急随身包</w:t>
            </w:r>
          </w:p>
        </w:tc>
        <w:tc>
          <w:tcPr>
            <w:tcW w:w="905" w:type="pct"/>
            <w:vAlign w:val="center"/>
          </w:tcPr>
          <w:p>
            <w:pPr>
              <w:pStyle w:val="89"/>
              <w:jc w:val="center"/>
              <w:rPr>
                <w:rFonts w:cs="仿宋_GB2312"/>
                <w:sz w:val="28"/>
              </w:rPr>
            </w:pPr>
            <w:r>
              <w:rPr>
                <w:rFonts w:hint="eastAsia" w:cs="仿宋_GB2312"/>
                <w:sz w:val="28"/>
              </w:rPr>
              <w:t>18</w:t>
            </w:r>
          </w:p>
        </w:tc>
        <w:tc>
          <w:tcPr>
            <w:tcW w:w="905" w:type="pct"/>
            <w:vAlign w:val="center"/>
          </w:tcPr>
          <w:p>
            <w:pPr>
              <w:pStyle w:val="89"/>
              <w:jc w:val="center"/>
              <w:rPr>
                <w:rFonts w:hAnsi="宋体"/>
              </w:rPr>
            </w:pP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pPr>
            <w:r>
              <w:rPr>
                <w:rFonts w:hint="eastAsia"/>
              </w:rPr>
              <w:t>LED超强光探照灯</w:t>
            </w:r>
          </w:p>
        </w:tc>
        <w:tc>
          <w:tcPr>
            <w:tcW w:w="905" w:type="pct"/>
            <w:vAlign w:val="center"/>
          </w:tcPr>
          <w:p>
            <w:pPr>
              <w:pStyle w:val="89"/>
              <w:jc w:val="center"/>
              <w:rPr>
                <w:rFonts w:hAnsi="宋体"/>
              </w:rPr>
            </w:pPr>
            <w:r>
              <w:rPr>
                <w:rFonts w:hint="eastAsia" w:hAnsi="宋体"/>
              </w:rPr>
              <w:t>2</w:t>
            </w:r>
          </w:p>
        </w:tc>
        <w:tc>
          <w:tcPr>
            <w:tcW w:w="905" w:type="pct"/>
            <w:vAlign w:val="center"/>
          </w:tcPr>
          <w:p>
            <w:pPr>
              <w:pStyle w:val="89"/>
              <w:jc w:val="center"/>
              <w:rPr>
                <w:rFonts w:hAnsi="宋体"/>
              </w:rPr>
            </w:pPr>
            <w:r>
              <w:rPr>
                <w:rFonts w:hint="eastAsia" w:hAnsi="宋体"/>
              </w:rPr>
              <w:t>把</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pPr>
            <w:r>
              <w:rPr>
                <w:rFonts w:hint="eastAsia"/>
              </w:rPr>
              <w:t>液压钳</w:t>
            </w:r>
          </w:p>
        </w:tc>
        <w:tc>
          <w:tcPr>
            <w:tcW w:w="905" w:type="pct"/>
            <w:vAlign w:val="center"/>
          </w:tcPr>
          <w:p>
            <w:pPr>
              <w:pStyle w:val="89"/>
              <w:jc w:val="center"/>
              <w:rPr>
                <w:rFonts w:hAnsi="宋体"/>
              </w:rPr>
            </w:pPr>
            <w:r>
              <w:rPr>
                <w:rFonts w:hint="eastAsia" w:hAnsi="宋体"/>
              </w:rPr>
              <w:t>1</w:t>
            </w:r>
          </w:p>
        </w:tc>
        <w:tc>
          <w:tcPr>
            <w:tcW w:w="905" w:type="pct"/>
            <w:vAlign w:val="center"/>
          </w:tcPr>
          <w:p>
            <w:pPr>
              <w:pStyle w:val="89"/>
              <w:jc w:val="center"/>
              <w:rPr>
                <w:rFonts w:hAnsi="宋体"/>
              </w:rPr>
            </w:pPr>
            <w:r>
              <w:rPr>
                <w:rFonts w:hint="eastAsia" w:hAnsi="宋体"/>
              </w:rPr>
              <w:t>个</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pPr>
            <w:r>
              <w:rPr>
                <w:rFonts w:hint="eastAsia"/>
              </w:rPr>
              <w:t>3M口罩</w:t>
            </w:r>
          </w:p>
        </w:tc>
        <w:tc>
          <w:tcPr>
            <w:tcW w:w="905" w:type="pct"/>
            <w:vAlign w:val="center"/>
          </w:tcPr>
          <w:p>
            <w:pPr>
              <w:pStyle w:val="89"/>
              <w:jc w:val="center"/>
              <w:rPr>
                <w:rFonts w:cs="仿宋_GB2312"/>
                <w:sz w:val="28"/>
              </w:rPr>
            </w:pPr>
            <w:r>
              <w:rPr>
                <w:rFonts w:hint="eastAsia" w:cs="仿宋_GB2312"/>
                <w:sz w:val="28"/>
              </w:rPr>
              <w:t>1</w:t>
            </w:r>
          </w:p>
        </w:tc>
        <w:tc>
          <w:tcPr>
            <w:tcW w:w="905" w:type="pct"/>
            <w:vAlign w:val="center"/>
          </w:tcPr>
          <w:p>
            <w:pPr>
              <w:pStyle w:val="89"/>
              <w:jc w:val="center"/>
              <w:rPr>
                <w:rFonts w:hAnsi="宋体"/>
              </w:rPr>
            </w:pPr>
            <w:r>
              <w:rPr>
                <w:rFonts w:hint="eastAsia" w:cs="仿宋_GB2312"/>
                <w:sz w:val="28"/>
              </w:rPr>
              <w:t>盒</w:t>
            </w:r>
          </w:p>
        </w:tc>
        <w:tc>
          <w:tcPr>
            <w:tcW w:w="1398" w:type="pct"/>
            <w:vMerge w:val="continue"/>
            <w:vAlign w:val="center"/>
          </w:tcPr>
          <w:p>
            <w:pPr>
              <w:pStyle w:val="8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2" w:type="pct"/>
            <w:vAlign w:val="center"/>
          </w:tcPr>
          <w:p>
            <w:pPr>
              <w:pStyle w:val="89"/>
              <w:jc w:val="center"/>
            </w:pPr>
            <w:r>
              <w:rPr>
                <w:rFonts w:hint="eastAsia"/>
              </w:rPr>
              <w:t>一次性口罩</w:t>
            </w:r>
          </w:p>
        </w:tc>
        <w:tc>
          <w:tcPr>
            <w:tcW w:w="905" w:type="pct"/>
            <w:vAlign w:val="center"/>
          </w:tcPr>
          <w:p>
            <w:pPr>
              <w:pStyle w:val="89"/>
              <w:jc w:val="center"/>
              <w:rPr>
                <w:rFonts w:cs="仿宋_GB2312"/>
                <w:sz w:val="28"/>
              </w:rPr>
            </w:pPr>
            <w:r>
              <w:rPr>
                <w:rFonts w:hint="eastAsia" w:cs="仿宋_GB2312"/>
                <w:sz w:val="28"/>
              </w:rPr>
              <w:t>5</w:t>
            </w:r>
          </w:p>
        </w:tc>
        <w:tc>
          <w:tcPr>
            <w:tcW w:w="905" w:type="pct"/>
            <w:vAlign w:val="center"/>
          </w:tcPr>
          <w:p>
            <w:pPr>
              <w:pStyle w:val="89"/>
              <w:jc w:val="center"/>
              <w:rPr>
                <w:rFonts w:hAnsi="宋体"/>
              </w:rPr>
            </w:pPr>
            <w:r>
              <w:rPr>
                <w:rFonts w:hint="eastAsia" w:cs="仿宋_GB2312"/>
                <w:sz w:val="28"/>
              </w:rPr>
              <w:t>盒</w:t>
            </w:r>
          </w:p>
        </w:tc>
        <w:tc>
          <w:tcPr>
            <w:tcW w:w="1398" w:type="pct"/>
            <w:vMerge w:val="continue"/>
            <w:vAlign w:val="center"/>
          </w:tcPr>
          <w:p>
            <w:pPr>
              <w:pStyle w:val="89"/>
              <w:jc w:val="center"/>
              <w:rPr>
                <w:rFonts w:hAnsi="宋体"/>
              </w:rPr>
            </w:pPr>
          </w:p>
        </w:tc>
      </w:tr>
    </w:tbl>
    <w:p>
      <w:pPr>
        <w:ind w:firstLine="560"/>
      </w:pPr>
    </w:p>
    <w:p>
      <w:pPr>
        <w:pStyle w:val="4"/>
        <w:ind w:firstLine="394"/>
      </w:pPr>
      <w:r>
        <w:rPr>
          <w:rFonts w:hint="eastAsia"/>
        </w:rPr>
        <w:t>8</w:t>
      </w:r>
      <w:r>
        <w:t>.2</w:t>
      </w:r>
      <w:r>
        <w:rPr>
          <w:rFonts w:hint="eastAsia"/>
        </w:rPr>
        <w:t>应急防汛物资统计表</w:t>
      </w:r>
    </w:p>
    <w:tbl>
      <w:tblPr>
        <w:tblStyle w:val="35"/>
        <w:tblW w:w="9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966"/>
        <w:gridCol w:w="1462"/>
        <w:gridCol w:w="1082"/>
        <w:gridCol w:w="3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1" w:type="dxa"/>
            <w:vAlign w:val="center"/>
          </w:tcPr>
          <w:p>
            <w:pPr>
              <w:pStyle w:val="89"/>
              <w:jc w:val="center"/>
              <w:rPr>
                <w:b/>
                <w:bCs/>
              </w:rPr>
            </w:pPr>
            <w:r>
              <w:rPr>
                <w:rFonts w:hint="eastAsia"/>
                <w:b/>
                <w:bCs/>
              </w:rPr>
              <w:t>序号</w:t>
            </w:r>
          </w:p>
        </w:tc>
        <w:tc>
          <w:tcPr>
            <w:tcW w:w="1588" w:type="dxa"/>
            <w:vAlign w:val="center"/>
          </w:tcPr>
          <w:p>
            <w:pPr>
              <w:pStyle w:val="89"/>
              <w:jc w:val="center"/>
              <w:rPr>
                <w:b/>
                <w:bCs/>
              </w:rPr>
            </w:pPr>
            <w:r>
              <w:rPr>
                <w:rFonts w:hint="eastAsia"/>
                <w:b/>
                <w:bCs/>
              </w:rPr>
              <w:t>名称</w:t>
            </w:r>
          </w:p>
        </w:tc>
        <w:tc>
          <w:tcPr>
            <w:tcW w:w="1181" w:type="dxa"/>
            <w:vAlign w:val="center"/>
          </w:tcPr>
          <w:p>
            <w:pPr>
              <w:pStyle w:val="89"/>
              <w:jc w:val="center"/>
              <w:rPr>
                <w:b/>
                <w:bCs/>
              </w:rPr>
            </w:pPr>
            <w:r>
              <w:rPr>
                <w:rFonts w:hint="eastAsia"/>
                <w:b/>
                <w:bCs/>
              </w:rPr>
              <w:t>数量</w:t>
            </w:r>
          </w:p>
        </w:tc>
        <w:tc>
          <w:tcPr>
            <w:tcW w:w="874" w:type="dxa"/>
            <w:vAlign w:val="center"/>
          </w:tcPr>
          <w:p>
            <w:pPr>
              <w:pStyle w:val="89"/>
              <w:jc w:val="center"/>
              <w:rPr>
                <w:b/>
                <w:bCs/>
              </w:rPr>
            </w:pPr>
            <w:r>
              <w:rPr>
                <w:rFonts w:hint="eastAsia"/>
                <w:b/>
                <w:bCs/>
              </w:rPr>
              <w:t>单位</w:t>
            </w:r>
          </w:p>
        </w:tc>
        <w:tc>
          <w:tcPr>
            <w:tcW w:w="3015" w:type="dxa"/>
            <w:vAlign w:val="center"/>
          </w:tcPr>
          <w:p>
            <w:pPr>
              <w:pStyle w:val="89"/>
              <w:jc w:val="center"/>
              <w:rPr>
                <w:b/>
                <w:bCs/>
              </w:rPr>
            </w:pPr>
            <w:r>
              <w:rPr>
                <w:rFonts w:hint="eastAsia"/>
                <w:b/>
                <w:bCs/>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1" w:type="dxa"/>
            <w:vAlign w:val="center"/>
          </w:tcPr>
          <w:p>
            <w:pPr>
              <w:pStyle w:val="89"/>
              <w:jc w:val="center"/>
              <w:rPr>
                <w:rFonts w:cs="仿宋_GB2312"/>
              </w:rPr>
            </w:pPr>
            <w:r>
              <w:rPr>
                <w:rFonts w:hint="eastAsia" w:cs="仿宋_GB2312"/>
              </w:rPr>
              <w:t>1</w:t>
            </w:r>
          </w:p>
        </w:tc>
        <w:tc>
          <w:tcPr>
            <w:tcW w:w="1588" w:type="dxa"/>
            <w:vAlign w:val="center"/>
          </w:tcPr>
          <w:p>
            <w:pPr>
              <w:pStyle w:val="89"/>
              <w:jc w:val="center"/>
              <w:rPr>
                <w:rFonts w:cs="仿宋_GB2312"/>
              </w:rPr>
            </w:pPr>
            <w:r>
              <w:rPr>
                <w:rFonts w:hint="eastAsia" w:cs="仿宋_GB2312"/>
              </w:rPr>
              <w:t>铁锹</w:t>
            </w:r>
          </w:p>
        </w:tc>
        <w:tc>
          <w:tcPr>
            <w:tcW w:w="1181" w:type="dxa"/>
            <w:vAlign w:val="center"/>
          </w:tcPr>
          <w:p>
            <w:pPr>
              <w:pStyle w:val="89"/>
              <w:jc w:val="center"/>
              <w:rPr>
                <w:rFonts w:cs="仿宋_GB2312"/>
              </w:rPr>
            </w:pPr>
            <w:r>
              <w:rPr>
                <w:rFonts w:hint="eastAsia" w:cs="仿宋_GB2312"/>
              </w:rPr>
              <w:t>50</w:t>
            </w:r>
          </w:p>
        </w:tc>
        <w:tc>
          <w:tcPr>
            <w:tcW w:w="874" w:type="dxa"/>
            <w:vAlign w:val="center"/>
          </w:tcPr>
          <w:p>
            <w:pPr>
              <w:pStyle w:val="89"/>
              <w:jc w:val="center"/>
              <w:rPr>
                <w:rFonts w:cs="仿宋_GB2312"/>
              </w:rPr>
            </w:pPr>
            <w:r>
              <w:rPr>
                <w:rFonts w:hint="eastAsia" w:cs="仿宋_GB2312"/>
              </w:rPr>
              <w:t>把</w:t>
            </w:r>
          </w:p>
        </w:tc>
        <w:tc>
          <w:tcPr>
            <w:tcW w:w="3015" w:type="dxa"/>
            <w:vAlign w:val="center"/>
          </w:tcPr>
          <w:p>
            <w:pPr>
              <w:pStyle w:val="89"/>
              <w:jc w:val="center"/>
              <w:rPr>
                <w:rFonts w:cs="仿宋_GB2312"/>
              </w:rPr>
            </w:pPr>
            <w:r>
              <w:rPr>
                <w:rFonts w:hint="eastAsia" w:cs="仿宋_GB2312"/>
              </w:rPr>
              <w:t>办事处一楼库房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1" w:type="dxa"/>
            <w:vAlign w:val="center"/>
          </w:tcPr>
          <w:p>
            <w:pPr>
              <w:pStyle w:val="89"/>
              <w:jc w:val="center"/>
              <w:rPr>
                <w:rFonts w:cs="仿宋_GB2312"/>
              </w:rPr>
            </w:pPr>
            <w:r>
              <w:rPr>
                <w:rFonts w:hint="eastAsia" w:cs="仿宋_GB2312"/>
              </w:rPr>
              <w:t>2</w:t>
            </w:r>
          </w:p>
        </w:tc>
        <w:tc>
          <w:tcPr>
            <w:tcW w:w="1588" w:type="dxa"/>
            <w:vAlign w:val="center"/>
          </w:tcPr>
          <w:p>
            <w:pPr>
              <w:pStyle w:val="89"/>
              <w:jc w:val="center"/>
              <w:rPr>
                <w:rFonts w:cs="仿宋_GB2312"/>
              </w:rPr>
            </w:pPr>
            <w:r>
              <w:rPr>
                <w:rFonts w:hint="eastAsia" w:cs="仿宋_GB2312"/>
              </w:rPr>
              <w:t>防汛沙袋</w:t>
            </w:r>
          </w:p>
        </w:tc>
        <w:tc>
          <w:tcPr>
            <w:tcW w:w="1181" w:type="dxa"/>
            <w:vAlign w:val="center"/>
          </w:tcPr>
          <w:p>
            <w:pPr>
              <w:pStyle w:val="89"/>
              <w:jc w:val="center"/>
              <w:rPr>
                <w:rFonts w:cs="仿宋_GB2312"/>
              </w:rPr>
            </w:pPr>
            <w:r>
              <w:rPr>
                <w:rFonts w:hint="eastAsia" w:cs="仿宋_GB2312"/>
              </w:rPr>
              <w:t>600</w:t>
            </w:r>
          </w:p>
        </w:tc>
        <w:tc>
          <w:tcPr>
            <w:tcW w:w="874" w:type="dxa"/>
            <w:vAlign w:val="center"/>
          </w:tcPr>
          <w:p>
            <w:pPr>
              <w:pStyle w:val="89"/>
              <w:jc w:val="center"/>
              <w:rPr>
                <w:rFonts w:cs="仿宋_GB2312"/>
              </w:rPr>
            </w:pPr>
            <w:r>
              <w:rPr>
                <w:rFonts w:hint="eastAsia" w:cs="仿宋_GB2312"/>
              </w:rPr>
              <w:t>袋</w:t>
            </w:r>
          </w:p>
        </w:tc>
        <w:tc>
          <w:tcPr>
            <w:tcW w:w="3015" w:type="dxa"/>
            <w:vAlign w:val="center"/>
          </w:tcPr>
          <w:p>
            <w:pPr>
              <w:pStyle w:val="89"/>
              <w:jc w:val="center"/>
              <w:rPr>
                <w:rFonts w:cs="仿宋_GB2312"/>
              </w:rPr>
            </w:pPr>
            <w:r>
              <w:rPr>
                <w:rFonts w:hint="eastAsia" w:cs="仿宋_GB2312"/>
              </w:rPr>
              <w:t>裕川家园小区地库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1" w:type="dxa"/>
            <w:vAlign w:val="center"/>
          </w:tcPr>
          <w:p>
            <w:pPr>
              <w:pStyle w:val="89"/>
              <w:jc w:val="center"/>
              <w:rPr>
                <w:rFonts w:cs="仿宋_GB2312"/>
              </w:rPr>
            </w:pPr>
            <w:r>
              <w:rPr>
                <w:rFonts w:hint="eastAsia" w:cs="仿宋_GB2312"/>
              </w:rPr>
              <w:t>3</w:t>
            </w:r>
          </w:p>
        </w:tc>
        <w:tc>
          <w:tcPr>
            <w:tcW w:w="1588" w:type="dxa"/>
            <w:vAlign w:val="center"/>
          </w:tcPr>
          <w:p>
            <w:pPr>
              <w:pStyle w:val="89"/>
              <w:jc w:val="center"/>
              <w:rPr>
                <w:rFonts w:cs="仿宋_GB2312"/>
              </w:rPr>
            </w:pPr>
            <w:r>
              <w:rPr>
                <w:rFonts w:hint="eastAsia" w:cs="仿宋_GB2312"/>
              </w:rPr>
              <w:t>雨衣</w:t>
            </w:r>
          </w:p>
        </w:tc>
        <w:tc>
          <w:tcPr>
            <w:tcW w:w="1181" w:type="dxa"/>
            <w:vAlign w:val="center"/>
          </w:tcPr>
          <w:p>
            <w:pPr>
              <w:pStyle w:val="89"/>
              <w:jc w:val="center"/>
              <w:rPr>
                <w:rFonts w:cs="仿宋_GB2312"/>
              </w:rPr>
            </w:pPr>
            <w:r>
              <w:rPr>
                <w:rFonts w:hint="eastAsia" w:cs="仿宋_GB2312"/>
              </w:rPr>
              <w:t>12</w:t>
            </w:r>
          </w:p>
        </w:tc>
        <w:tc>
          <w:tcPr>
            <w:tcW w:w="874" w:type="dxa"/>
            <w:vAlign w:val="center"/>
          </w:tcPr>
          <w:p>
            <w:pPr>
              <w:pStyle w:val="89"/>
              <w:jc w:val="center"/>
              <w:rPr>
                <w:rFonts w:cs="仿宋_GB2312"/>
              </w:rPr>
            </w:pPr>
            <w:r>
              <w:rPr>
                <w:rFonts w:hint="eastAsia" w:cs="仿宋_GB2312"/>
              </w:rPr>
              <w:t>件</w:t>
            </w:r>
          </w:p>
        </w:tc>
        <w:tc>
          <w:tcPr>
            <w:tcW w:w="3015" w:type="dxa"/>
            <w:vAlign w:val="center"/>
          </w:tcPr>
          <w:p>
            <w:pPr>
              <w:pStyle w:val="89"/>
              <w:jc w:val="center"/>
              <w:rPr>
                <w:rFonts w:cs="仿宋_GB2312"/>
              </w:rPr>
            </w:pPr>
            <w:r>
              <w:rPr>
                <w:rFonts w:hint="eastAsia" w:cs="仿宋_GB2312"/>
              </w:rPr>
              <w:t>公共安全办库房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1" w:type="dxa"/>
            <w:vAlign w:val="center"/>
          </w:tcPr>
          <w:p>
            <w:pPr>
              <w:pStyle w:val="89"/>
              <w:jc w:val="center"/>
              <w:rPr>
                <w:rFonts w:cs="仿宋_GB2312"/>
              </w:rPr>
            </w:pPr>
            <w:r>
              <w:rPr>
                <w:rFonts w:hint="eastAsia" w:cs="仿宋_GB2312"/>
              </w:rPr>
              <w:t>4</w:t>
            </w:r>
          </w:p>
        </w:tc>
        <w:tc>
          <w:tcPr>
            <w:tcW w:w="1588" w:type="dxa"/>
            <w:vAlign w:val="center"/>
          </w:tcPr>
          <w:p>
            <w:pPr>
              <w:pStyle w:val="89"/>
              <w:jc w:val="center"/>
              <w:rPr>
                <w:rFonts w:cs="仿宋_GB2312"/>
              </w:rPr>
            </w:pPr>
            <w:r>
              <w:rPr>
                <w:rFonts w:hint="eastAsia" w:cs="仿宋_GB2312"/>
              </w:rPr>
              <w:t>雨靴</w:t>
            </w:r>
          </w:p>
        </w:tc>
        <w:tc>
          <w:tcPr>
            <w:tcW w:w="1181" w:type="dxa"/>
            <w:vAlign w:val="center"/>
          </w:tcPr>
          <w:p>
            <w:pPr>
              <w:pStyle w:val="89"/>
              <w:jc w:val="center"/>
              <w:rPr>
                <w:rFonts w:cs="仿宋_GB2312"/>
              </w:rPr>
            </w:pPr>
            <w:r>
              <w:rPr>
                <w:rFonts w:hint="eastAsia" w:cs="仿宋_GB2312"/>
              </w:rPr>
              <w:t>12</w:t>
            </w:r>
          </w:p>
        </w:tc>
        <w:tc>
          <w:tcPr>
            <w:tcW w:w="874" w:type="dxa"/>
            <w:vAlign w:val="center"/>
          </w:tcPr>
          <w:p>
            <w:pPr>
              <w:pStyle w:val="89"/>
              <w:jc w:val="center"/>
              <w:rPr>
                <w:rFonts w:cs="仿宋_GB2312"/>
              </w:rPr>
            </w:pPr>
            <w:r>
              <w:rPr>
                <w:rFonts w:hint="eastAsia" w:cs="仿宋_GB2312"/>
              </w:rPr>
              <w:t>双</w:t>
            </w:r>
          </w:p>
        </w:tc>
        <w:tc>
          <w:tcPr>
            <w:tcW w:w="3015" w:type="dxa"/>
            <w:vAlign w:val="center"/>
          </w:tcPr>
          <w:p>
            <w:pPr>
              <w:pStyle w:val="89"/>
              <w:jc w:val="center"/>
              <w:rPr>
                <w:rFonts w:cs="仿宋_GB2312"/>
              </w:rPr>
            </w:pPr>
            <w:r>
              <w:rPr>
                <w:rFonts w:hint="eastAsia" w:cs="仿宋_GB2312"/>
              </w:rPr>
              <w:t>公共安全办库房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1" w:type="dxa"/>
            <w:vAlign w:val="center"/>
          </w:tcPr>
          <w:p>
            <w:pPr>
              <w:pStyle w:val="89"/>
              <w:jc w:val="center"/>
              <w:rPr>
                <w:rFonts w:cs="仿宋_GB2312"/>
              </w:rPr>
            </w:pPr>
            <w:r>
              <w:rPr>
                <w:rFonts w:hint="eastAsia" w:cs="仿宋_GB2312"/>
              </w:rPr>
              <w:t>5</w:t>
            </w:r>
          </w:p>
        </w:tc>
        <w:tc>
          <w:tcPr>
            <w:tcW w:w="1588" w:type="dxa"/>
            <w:vAlign w:val="center"/>
          </w:tcPr>
          <w:p>
            <w:pPr>
              <w:pStyle w:val="89"/>
              <w:jc w:val="center"/>
              <w:rPr>
                <w:rFonts w:cs="仿宋_GB2312"/>
              </w:rPr>
            </w:pPr>
            <w:r>
              <w:rPr>
                <w:rFonts w:hint="eastAsia" w:cs="仿宋_GB2312"/>
              </w:rPr>
              <w:t>应急灯</w:t>
            </w:r>
          </w:p>
        </w:tc>
        <w:tc>
          <w:tcPr>
            <w:tcW w:w="1181" w:type="dxa"/>
            <w:vAlign w:val="center"/>
          </w:tcPr>
          <w:p>
            <w:pPr>
              <w:pStyle w:val="89"/>
              <w:jc w:val="center"/>
              <w:rPr>
                <w:rFonts w:cs="仿宋_GB2312"/>
              </w:rPr>
            </w:pPr>
            <w:r>
              <w:rPr>
                <w:rFonts w:hint="eastAsia" w:cs="仿宋_GB2312"/>
              </w:rPr>
              <w:t>6</w:t>
            </w:r>
          </w:p>
        </w:tc>
        <w:tc>
          <w:tcPr>
            <w:tcW w:w="874" w:type="dxa"/>
            <w:vAlign w:val="center"/>
          </w:tcPr>
          <w:p>
            <w:pPr>
              <w:pStyle w:val="89"/>
              <w:jc w:val="center"/>
              <w:rPr>
                <w:rFonts w:cs="仿宋_GB2312"/>
              </w:rPr>
            </w:pPr>
            <w:r>
              <w:rPr>
                <w:rFonts w:hint="eastAsia" w:cs="仿宋_GB2312"/>
              </w:rPr>
              <w:t>支</w:t>
            </w:r>
          </w:p>
        </w:tc>
        <w:tc>
          <w:tcPr>
            <w:tcW w:w="3015" w:type="dxa"/>
            <w:vAlign w:val="center"/>
          </w:tcPr>
          <w:p>
            <w:pPr>
              <w:pStyle w:val="89"/>
              <w:jc w:val="center"/>
              <w:rPr>
                <w:rFonts w:cs="仿宋_GB2312"/>
              </w:rPr>
            </w:pPr>
            <w:r>
              <w:rPr>
                <w:rFonts w:hint="eastAsia" w:cs="仿宋_GB2312"/>
              </w:rPr>
              <w:t>公共安全办库房4支，书记主任办公室各一支</w:t>
            </w:r>
          </w:p>
        </w:tc>
      </w:tr>
    </w:tbl>
    <w:p>
      <w:pPr>
        <w:ind w:firstLine="560"/>
      </w:pPr>
    </w:p>
    <w:sectPr>
      <w:pgSz w:w="11905" w:h="16840"/>
      <w:pgMar w:top="1418" w:right="1134" w:bottom="1247" w:left="1588" w:header="851" w:footer="850" w:gutter="0"/>
      <w:paperSrc w:first="7" w:other="7"/>
      <w:cols w:space="720" w:num="1"/>
      <w:docGrid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aco">
    <w:panose1 w:val="020B0509030404040204"/>
    <w:charset w:val="00"/>
    <w:family w:val="auto"/>
    <w:pitch w:val="default"/>
    <w:sig w:usb0="00000000" w:usb1="00000000" w:usb2="00000000" w:usb3="00000000" w:csb0="00000000" w:csb1="00000000"/>
  </w:font>
  <w:font w:name="monospace">
    <w:altName w:val="Times New Roman"/>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Georgia">
    <w:panose1 w:val="02040502050405020303"/>
    <w:charset w:val="00"/>
    <w:family w:val="roman"/>
    <w:pitch w:val="default"/>
    <w:sig w:usb0="000002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文星仿宋">
    <w:altName w:val="宋体"/>
    <w:panose1 w:val="00000000000000000000"/>
    <w:charset w:val="86"/>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_GB2312">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2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0" w:firstLineChars="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2</w:t>
    </w:r>
    <w:r>
      <w:rPr>
        <w:rFonts w:hint="eastAsia" w:ascii="仿宋_GB2312" w:eastAsia="仿宋_GB2312"/>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rPr>
        <w:rFonts w:ascii="仿宋_GB2312" w:eastAsia="仿宋_GB2312"/>
      </w:rPr>
    </w:pPr>
    <w:r>
      <w:rPr>
        <w:rFonts w:hint="eastAsia" w:ascii="仿宋_GB2312" w:eastAsia="仿宋_GB2312"/>
      </w:rPr>
      <w:t>天津市滨海新区人民政府新北街道办事处突发事件总体应急预案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900"/>
        </w:tabs>
        <w:ind w:left="900" w:hanging="360"/>
      </w:pPr>
      <w:rPr>
        <w:rFonts w:hint="eastAsia"/>
      </w:rPr>
    </w:lvl>
    <w:lvl w:ilvl="1" w:tentative="0">
      <w:start w:val="1"/>
      <w:numFmt w:val="lowerLetter"/>
      <w:pStyle w:val="168"/>
      <w:lvlText w:val="%2)"/>
      <w:lvlJc w:val="left"/>
      <w:pPr>
        <w:tabs>
          <w:tab w:val="left" w:pos="1380"/>
        </w:tabs>
        <w:ind w:left="1380" w:hanging="420"/>
      </w:pPr>
    </w:lvl>
    <w:lvl w:ilvl="2" w:tentative="0">
      <w:start w:val="1"/>
      <w:numFmt w:val="lowerRoman"/>
      <w:pStyle w:val="167"/>
      <w:lvlText w:val="%3."/>
      <w:lvlJc w:val="right"/>
      <w:pPr>
        <w:tabs>
          <w:tab w:val="left" w:pos="1800"/>
        </w:tabs>
        <w:ind w:left="1800" w:hanging="420"/>
      </w:pPr>
    </w:lvl>
    <w:lvl w:ilvl="3" w:tentative="0">
      <w:start w:val="1"/>
      <w:numFmt w:val="decimal"/>
      <w:pStyle w:val="181"/>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2D316E83"/>
    <w:multiLevelType w:val="multilevel"/>
    <w:tmpl w:val="2D316E83"/>
    <w:lvl w:ilvl="0" w:tentative="0">
      <w:start w:val="1"/>
      <w:numFmt w:val="decimal"/>
      <w:suff w:val="nothing"/>
      <w:lvlText w:val="%1"/>
      <w:lvlJc w:val="righ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BE5724"/>
    <w:multiLevelType w:val="multilevel"/>
    <w:tmpl w:val="75BE572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40"/>
  <w:drawingGridVerticalSpacing w:val="314"/>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172A27"/>
    <w:rsid w:val="000006C6"/>
    <w:rsid w:val="00000D43"/>
    <w:rsid w:val="00001264"/>
    <w:rsid w:val="00001368"/>
    <w:rsid w:val="00001C11"/>
    <w:rsid w:val="00001E80"/>
    <w:rsid w:val="00001FB0"/>
    <w:rsid w:val="000021F6"/>
    <w:rsid w:val="000027CC"/>
    <w:rsid w:val="000049EB"/>
    <w:rsid w:val="000065F9"/>
    <w:rsid w:val="000069D6"/>
    <w:rsid w:val="00006E80"/>
    <w:rsid w:val="00010629"/>
    <w:rsid w:val="00010B00"/>
    <w:rsid w:val="00012C16"/>
    <w:rsid w:val="00014064"/>
    <w:rsid w:val="00016433"/>
    <w:rsid w:val="000220FC"/>
    <w:rsid w:val="00022209"/>
    <w:rsid w:val="0002316E"/>
    <w:rsid w:val="000235B4"/>
    <w:rsid w:val="0002527C"/>
    <w:rsid w:val="00026733"/>
    <w:rsid w:val="00026773"/>
    <w:rsid w:val="00026B7B"/>
    <w:rsid w:val="000308DA"/>
    <w:rsid w:val="00030920"/>
    <w:rsid w:val="00030A72"/>
    <w:rsid w:val="00032AEB"/>
    <w:rsid w:val="00033BC5"/>
    <w:rsid w:val="0003461F"/>
    <w:rsid w:val="00034766"/>
    <w:rsid w:val="00037956"/>
    <w:rsid w:val="00041F63"/>
    <w:rsid w:val="00042957"/>
    <w:rsid w:val="00042A56"/>
    <w:rsid w:val="00042B52"/>
    <w:rsid w:val="00043B55"/>
    <w:rsid w:val="0004744C"/>
    <w:rsid w:val="00050852"/>
    <w:rsid w:val="0005100D"/>
    <w:rsid w:val="0005213B"/>
    <w:rsid w:val="00052AF1"/>
    <w:rsid w:val="00052D26"/>
    <w:rsid w:val="0005323D"/>
    <w:rsid w:val="000553C4"/>
    <w:rsid w:val="0005553B"/>
    <w:rsid w:val="00055722"/>
    <w:rsid w:val="00055EE0"/>
    <w:rsid w:val="0005612C"/>
    <w:rsid w:val="000572D4"/>
    <w:rsid w:val="00057B47"/>
    <w:rsid w:val="000603EF"/>
    <w:rsid w:val="00062034"/>
    <w:rsid w:val="00062361"/>
    <w:rsid w:val="000649C0"/>
    <w:rsid w:val="00064D33"/>
    <w:rsid w:val="00064E30"/>
    <w:rsid w:val="0006669B"/>
    <w:rsid w:val="00066D09"/>
    <w:rsid w:val="0006703A"/>
    <w:rsid w:val="00067AD9"/>
    <w:rsid w:val="00070C51"/>
    <w:rsid w:val="00072EC4"/>
    <w:rsid w:val="00073522"/>
    <w:rsid w:val="0007499D"/>
    <w:rsid w:val="00074B03"/>
    <w:rsid w:val="00074B5B"/>
    <w:rsid w:val="00075DA7"/>
    <w:rsid w:val="00076B02"/>
    <w:rsid w:val="0008129A"/>
    <w:rsid w:val="000814AB"/>
    <w:rsid w:val="00082A93"/>
    <w:rsid w:val="00082E29"/>
    <w:rsid w:val="00083546"/>
    <w:rsid w:val="000846CB"/>
    <w:rsid w:val="00084E79"/>
    <w:rsid w:val="0008540A"/>
    <w:rsid w:val="00085AC2"/>
    <w:rsid w:val="0008673B"/>
    <w:rsid w:val="0008693D"/>
    <w:rsid w:val="00086AB8"/>
    <w:rsid w:val="00086D0A"/>
    <w:rsid w:val="00086D2B"/>
    <w:rsid w:val="000870B2"/>
    <w:rsid w:val="00087CB7"/>
    <w:rsid w:val="000910AC"/>
    <w:rsid w:val="00092063"/>
    <w:rsid w:val="00092D6B"/>
    <w:rsid w:val="00093CFC"/>
    <w:rsid w:val="00094BCB"/>
    <w:rsid w:val="000961C3"/>
    <w:rsid w:val="00097002"/>
    <w:rsid w:val="000A0651"/>
    <w:rsid w:val="000A073E"/>
    <w:rsid w:val="000A0D35"/>
    <w:rsid w:val="000A15A6"/>
    <w:rsid w:val="000A220F"/>
    <w:rsid w:val="000A2226"/>
    <w:rsid w:val="000A2253"/>
    <w:rsid w:val="000A2376"/>
    <w:rsid w:val="000A2F00"/>
    <w:rsid w:val="000A3A25"/>
    <w:rsid w:val="000A3D45"/>
    <w:rsid w:val="000A4A39"/>
    <w:rsid w:val="000A56D1"/>
    <w:rsid w:val="000A5ECB"/>
    <w:rsid w:val="000A7413"/>
    <w:rsid w:val="000A78DB"/>
    <w:rsid w:val="000A7F98"/>
    <w:rsid w:val="000B000F"/>
    <w:rsid w:val="000B070B"/>
    <w:rsid w:val="000B1257"/>
    <w:rsid w:val="000B44AD"/>
    <w:rsid w:val="000B5308"/>
    <w:rsid w:val="000B63F6"/>
    <w:rsid w:val="000C0449"/>
    <w:rsid w:val="000C0DE0"/>
    <w:rsid w:val="000C3294"/>
    <w:rsid w:val="000C329A"/>
    <w:rsid w:val="000C4936"/>
    <w:rsid w:val="000C5811"/>
    <w:rsid w:val="000C596B"/>
    <w:rsid w:val="000C6515"/>
    <w:rsid w:val="000C7198"/>
    <w:rsid w:val="000C740A"/>
    <w:rsid w:val="000D08BF"/>
    <w:rsid w:val="000D10FE"/>
    <w:rsid w:val="000D1275"/>
    <w:rsid w:val="000D1E7D"/>
    <w:rsid w:val="000D2559"/>
    <w:rsid w:val="000D27F7"/>
    <w:rsid w:val="000D34FE"/>
    <w:rsid w:val="000D4097"/>
    <w:rsid w:val="000D40F0"/>
    <w:rsid w:val="000D49FB"/>
    <w:rsid w:val="000D566D"/>
    <w:rsid w:val="000D5F39"/>
    <w:rsid w:val="000D6536"/>
    <w:rsid w:val="000D72EC"/>
    <w:rsid w:val="000D761D"/>
    <w:rsid w:val="000D785F"/>
    <w:rsid w:val="000D7FE4"/>
    <w:rsid w:val="000E049D"/>
    <w:rsid w:val="000E0A13"/>
    <w:rsid w:val="000E138D"/>
    <w:rsid w:val="000E3241"/>
    <w:rsid w:val="000E3452"/>
    <w:rsid w:val="000E355F"/>
    <w:rsid w:val="000E3789"/>
    <w:rsid w:val="000E41BC"/>
    <w:rsid w:val="000E44D5"/>
    <w:rsid w:val="000E4711"/>
    <w:rsid w:val="000E6FA2"/>
    <w:rsid w:val="000E732F"/>
    <w:rsid w:val="000E7F07"/>
    <w:rsid w:val="000F0B32"/>
    <w:rsid w:val="000F2175"/>
    <w:rsid w:val="000F2FBD"/>
    <w:rsid w:val="000F32AD"/>
    <w:rsid w:val="000F4118"/>
    <w:rsid w:val="000F43BD"/>
    <w:rsid w:val="000F4519"/>
    <w:rsid w:val="000F4A6D"/>
    <w:rsid w:val="000F4DFF"/>
    <w:rsid w:val="000F50AF"/>
    <w:rsid w:val="000F5E17"/>
    <w:rsid w:val="000F6360"/>
    <w:rsid w:val="000F671D"/>
    <w:rsid w:val="000F772A"/>
    <w:rsid w:val="000F7872"/>
    <w:rsid w:val="00102152"/>
    <w:rsid w:val="00103C50"/>
    <w:rsid w:val="00103FA2"/>
    <w:rsid w:val="00105DF4"/>
    <w:rsid w:val="0011051C"/>
    <w:rsid w:val="00110CC2"/>
    <w:rsid w:val="001112EF"/>
    <w:rsid w:val="00111506"/>
    <w:rsid w:val="00111EAE"/>
    <w:rsid w:val="0011234D"/>
    <w:rsid w:val="001129A4"/>
    <w:rsid w:val="00113481"/>
    <w:rsid w:val="00113923"/>
    <w:rsid w:val="00114590"/>
    <w:rsid w:val="00114CF8"/>
    <w:rsid w:val="00115585"/>
    <w:rsid w:val="00116754"/>
    <w:rsid w:val="001169BB"/>
    <w:rsid w:val="0011756D"/>
    <w:rsid w:val="001203E3"/>
    <w:rsid w:val="00120F9F"/>
    <w:rsid w:val="001220BA"/>
    <w:rsid w:val="001222B4"/>
    <w:rsid w:val="001222E4"/>
    <w:rsid w:val="00122805"/>
    <w:rsid w:val="00122B36"/>
    <w:rsid w:val="00123BE7"/>
    <w:rsid w:val="00124DE3"/>
    <w:rsid w:val="00125712"/>
    <w:rsid w:val="00125DD0"/>
    <w:rsid w:val="00125EDF"/>
    <w:rsid w:val="00127B9E"/>
    <w:rsid w:val="00131A90"/>
    <w:rsid w:val="00131EDD"/>
    <w:rsid w:val="00133A88"/>
    <w:rsid w:val="00133FE4"/>
    <w:rsid w:val="0013407D"/>
    <w:rsid w:val="001341C8"/>
    <w:rsid w:val="00135CAF"/>
    <w:rsid w:val="00135D54"/>
    <w:rsid w:val="001365EC"/>
    <w:rsid w:val="001366E3"/>
    <w:rsid w:val="00137896"/>
    <w:rsid w:val="00141633"/>
    <w:rsid w:val="0014185E"/>
    <w:rsid w:val="00142917"/>
    <w:rsid w:val="0014361C"/>
    <w:rsid w:val="00143781"/>
    <w:rsid w:val="00143CA6"/>
    <w:rsid w:val="00143D8F"/>
    <w:rsid w:val="00143ED4"/>
    <w:rsid w:val="00143F0E"/>
    <w:rsid w:val="0014400A"/>
    <w:rsid w:val="00144705"/>
    <w:rsid w:val="00144A3D"/>
    <w:rsid w:val="00144E4A"/>
    <w:rsid w:val="00145603"/>
    <w:rsid w:val="001457A7"/>
    <w:rsid w:val="001463AD"/>
    <w:rsid w:val="00146FAB"/>
    <w:rsid w:val="001470BC"/>
    <w:rsid w:val="00147769"/>
    <w:rsid w:val="00147B4B"/>
    <w:rsid w:val="00147BF1"/>
    <w:rsid w:val="00150052"/>
    <w:rsid w:val="00150D31"/>
    <w:rsid w:val="00151114"/>
    <w:rsid w:val="001520ED"/>
    <w:rsid w:val="00152C73"/>
    <w:rsid w:val="00153A03"/>
    <w:rsid w:val="00153B53"/>
    <w:rsid w:val="00154673"/>
    <w:rsid w:val="001557C9"/>
    <w:rsid w:val="00156FCA"/>
    <w:rsid w:val="00157311"/>
    <w:rsid w:val="00160F75"/>
    <w:rsid w:val="001611A9"/>
    <w:rsid w:val="00165297"/>
    <w:rsid w:val="00165B4D"/>
    <w:rsid w:val="00166822"/>
    <w:rsid w:val="0016779E"/>
    <w:rsid w:val="001713C6"/>
    <w:rsid w:val="00171C34"/>
    <w:rsid w:val="00172A27"/>
    <w:rsid w:val="00172CE2"/>
    <w:rsid w:val="00174061"/>
    <w:rsid w:val="00174E7C"/>
    <w:rsid w:val="00174FF7"/>
    <w:rsid w:val="00175D6A"/>
    <w:rsid w:val="00176AC2"/>
    <w:rsid w:val="0017720E"/>
    <w:rsid w:val="0017780A"/>
    <w:rsid w:val="00177B0C"/>
    <w:rsid w:val="00181331"/>
    <w:rsid w:val="00181F9F"/>
    <w:rsid w:val="001823D1"/>
    <w:rsid w:val="001842E0"/>
    <w:rsid w:val="001844B5"/>
    <w:rsid w:val="001844E1"/>
    <w:rsid w:val="00186221"/>
    <w:rsid w:val="0018647D"/>
    <w:rsid w:val="00186927"/>
    <w:rsid w:val="00186E28"/>
    <w:rsid w:val="001872A8"/>
    <w:rsid w:val="00187566"/>
    <w:rsid w:val="001900AB"/>
    <w:rsid w:val="00190463"/>
    <w:rsid w:val="00190745"/>
    <w:rsid w:val="00190B01"/>
    <w:rsid w:val="00191424"/>
    <w:rsid w:val="00192B85"/>
    <w:rsid w:val="00193F67"/>
    <w:rsid w:val="001960B4"/>
    <w:rsid w:val="001965F9"/>
    <w:rsid w:val="0019695B"/>
    <w:rsid w:val="00196BDB"/>
    <w:rsid w:val="0019756E"/>
    <w:rsid w:val="00197E3D"/>
    <w:rsid w:val="001A0B8D"/>
    <w:rsid w:val="001A0C42"/>
    <w:rsid w:val="001A0D01"/>
    <w:rsid w:val="001A16A6"/>
    <w:rsid w:val="001A2519"/>
    <w:rsid w:val="001A32BC"/>
    <w:rsid w:val="001A7A93"/>
    <w:rsid w:val="001B045E"/>
    <w:rsid w:val="001B12A2"/>
    <w:rsid w:val="001B16EE"/>
    <w:rsid w:val="001B18A9"/>
    <w:rsid w:val="001B1F14"/>
    <w:rsid w:val="001B23D5"/>
    <w:rsid w:val="001B27C8"/>
    <w:rsid w:val="001B2822"/>
    <w:rsid w:val="001B3297"/>
    <w:rsid w:val="001B32D3"/>
    <w:rsid w:val="001B3A37"/>
    <w:rsid w:val="001B4ABE"/>
    <w:rsid w:val="001B4B46"/>
    <w:rsid w:val="001B5533"/>
    <w:rsid w:val="001B6A75"/>
    <w:rsid w:val="001B7146"/>
    <w:rsid w:val="001B7E43"/>
    <w:rsid w:val="001C0CD1"/>
    <w:rsid w:val="001C307C"/>
    <w:rsid w:val="001C3DE7"/>
    <w:rsid w:val="001C433C"/>
    <w:rsid w:val="001C6DC2"/>
    <w:rsid w:val="001D04A4"/>
    <w:rsid w:val="001D05B2"/>
    <w:rsid w:val="001D0983"/>
    <w:rsid w:val="001D1000"/>
    <w:rsid w:val="001D132A"/>
    <w:rsid w:val="001D1DC5"/>
    <w:rsid w:val="001D24B4"/>
    <w:rsid w:val="001D29A4"/>
    <w:rsid w:val="001D3D9E"/>
    <w:rsid w:val="001D4435"/>
    <w:rsid w:val="001D76D0"/>
    <w:rsid w:val="001E0469"/>
    <w:rsid w:val="001E0773"/>
    <w:rsid w:val="001E0780"/>
    <w:rsid w:val="001E1069"/>
    <w:rsid w:val="001E236D"/>
    <w:rsid w:val="001E2B31"/>
    <w:rsid w:val="001E2E2E"/>
    <w:rsid w:val="001E315C"/>
    <w:rsid w:val="001E3BAD"/>
    <w:rsid w:val="001E55E0"/>
    <w:rsid w:val="001E6563"/>
    <w:rsid w:val="001E71B6"/>
    <w:rsid w:val="001E7697"/>
    <w:rsid w:val="001E78E1"/>
    <w:rsid w:val="001E7935"/>
    <w:rsid w:val="001E7F7C"/>
    <w:rsid w:val="001F0318"/>
    <w:rsid w:val="001F0476"/>
    <w:rsid w:val="001F06FD"/>
    <w:rsid w:val="001F0B9B"/>
    <w:rsid w:val="001F1A59"/>
    <w:rsid w:val="001F22C2"/>
    <w:rsid w:val="001F3607"/>
    <w:rsid w:val="001F388D"/>
    <w:rsid w:val="001F4E9E"/>
    <w:rsid w:val="001F53A4"/>
    <w:rsid w:val="001F561E"/>
    <w:rsid w:val="001F5ADA"/>
    <w:rsid w:val="001F683E"/>
    <w:rsid w:val="001F74C1"/>
    <w:rsid w:val="001F7560"/>
    <w:rsid w:val="002000DB"/>
    <w:rsid w:val="0020023C"/>
    <w:rsid w:val="0020037B"/>
    <w:rsid w:val="00200A30"/>
    <w:rsid w:val="00200FA3"/>
    <w:rsid w:val="002010BA"/>
    <w:rsid w:val="002012C6"/>
    <w:rsid w:val="00201E65"/>
    <w:rsid w:val="0020386D"/>
    <w:rsid w:val="00204148"/>
    <w:rsid w:val="00204853"/>
    <w:rsid w:val="00206980"/>
    <w:rsid w:val="002069A3"/>
    <w:rsid w:val="00206A85"/>
    <w:rsid w:val="0021165F"/>
    <w:rsid w:val="00211CDA"/>
    <w:rsid w:val="00212098"/>
    <w:rsid w:val="00212A8B"/>
    <w:rsid w:val="00213064"/>
    <w:rsid w:val="00213689"/>
    <w:rsid w:val="002139AF"/>
    <w:rsid w:val="002140BE"/>
    <w:rsid w:val="002144F2"/>
    <w:rsid w:val="00215092"/>
    <w:rsid w:val="002156CC"/>
    <w:rsid w:val="0021587B"/>
    <w:rsid w:val="0021619A"/>
    <w:rsid w:val="0022178F"/>
    <w:rsid w:val="00222BC0"/>
    <w:rsid w:val="002236B0"/>
    <w:rsid w:val="0022378D"/>
    <w:rsid w:val="00224051"/>
    <w:rsid w:val="00226B29"/>
    <w:rsid w:val="00227062"/>
    <w:rsid w:val="00227B6C"/>
    <w:rsid w:val="00232979"/>
    <w:rsid w:val="00232DCE"/>
    <w:rsid w:val="002332CC"/>
    <w:rsid w:val="002334CE"/>
    <w:rsid w:val="0023358C"/>
    <w:rsid w:val="00235AEF"/>
    <w:rsid w:val="002368F7"/>
    <w:rsid w:val="00240350"/>
    <w:rsid w:val="00240F46"/>
    <w:rsid w:val="00243D21"/>
    <w:rsid w:val="00244551"/>
    <w:rsid w:val="00245205"/>
    <w:rsid w:val="002464FB"/>
    <w:rsid w:val="0024685D"/>
    <w:rsid w:val="00246DFE"/>
    <w:rsid w:val="002474BE"/>
    <w:rsid w:val="0024772A"/>
    <w:rsid w:val="00247DE0"/>
    <w:rsid w:val="00247FEE"/>
    <w:rsid w:val="00250C25"/>
    <w:rsid w:val="002517C9"/>
    <w:rsid w:val="002536A5"/>
    <w:rsid w:val="00254C9D"/>
    <w:rsid w:val="00255776"/>
    <w:rsid w:val="0025631A"/>
    <w:rsid w:val="00256557"/>
    <w:rsid w:val="002568A2"/>
    <w:rsid w:val="00256FEF"/>
    <w:rsid w:val="0026207A"/>
    <w:rsid w:val="00262589"/>
    <w:rsid w:val="00262FBB"/>
    <w:rsid w:val="0026311C"/>
    <w:rsid w:val="00263AE7"/>
    <w:rsid w:val="00264D55"/>
    <w:rsid w:val="00265053"/>
    <w:rsid w:val="00265DFA"/>
    <w:rsid w:val="00266156"/>
    <w:rsid w:val="00266468"/>
    <w:rsid w:val="0026656C"/>
    <w:rsid w:val="00266BA1"/>
    <w:rsid w:val="00266D44"/>
    <w:rsid w:val="00267991"/>
    <w:rsid w:val="00267BEF"/>
    <w:rsid w:val="0027162E"/>
    <w:rsid w:val="00271E1F"/>
    <w:rsid w:val="0027484B"/>
    <w:rsid w:val="0027506E"/>
    <w:rsid w:val="00275535"/>
    <w:rsid w:val="00275A30"/>
    <w:rsid w:val="00276D67"/>
    <w:rsid w:val="00277241"/>
    <w:rsid w:val="00277263"/>
    <w:rsid w:val="002774BB"/>
    <w:rsid w:val="00277710"/>
    <w:rsid w:val="00277AA5"/>
    <w:rsid w:val="00277F10"/>
    <w:rsid w:val="002805DE"/>
    <w:rsid w:val="00281971"/>
    <w:rsid w:val="00281C4B"/>
    <w:rsid w:val="0028318E"/>
    <w:rsid w:val="00283471"/>
    <w:rsid w:val="002842A5"/>
    <w:rsid w:val="00284456"/>
    <w:rsid w:val="002849E3"/>
    <w:rsid w:val="00285033"/>
    <w:rsid w:val="00286949"/>
    <w:rsid w:val="0029010F"/>
    <w:rsid w:val="00291EE9"/>
    <w:rsid w:val="0029222D"/>
    <w:rsid w:val="002929EC"/>
    <w:rsid w:val="00292A1D"/>
    <w:rsid w:val="00293157"/>
    <w:rsid w:val="002932B1"/>
    <w:rsid w:val="00293596"/>
    <w:rsid w:val="002949E7"/>
    <w:rsid w:val="00294CFD"/>
    <w:rsid w:val="00294D6F"/>
    <w:rsid w:val="0029550D"/>
    <w:rsid w:val="002978B1"/>
    <w:rsid w:val="002A01AE"/>
    <w:rsid w:val="002A1387"/>
    <w:rsid w:val="002A1A38"/>
    <w:rsid w:val="002A2185"/>
    <w:rsid w:val="002A3A97"/>
    <w:rsid w:val="002A4904"/>
    <w:rsid w:val="002A5BF8"/>
    <w:rsid w:val="002A5E1C"/>
    <w:rsid w:val="002A62A4"/>
    <w:rsid w:val="002A6364"/>
    <w:rsid w:val="002B0582"/>
    <w:rsid w:val="002B0AAE"/>
    <w:rsid w:val="002B2244"/>
    <w:rsid w:val="002B2413"/>
    <w:rsid w:val="002B2D7F"/>
    <w:rsid w:val="002B3967"/>
    <w:rsid w:val="002B43AD"/>
    <w:rsid w:val="002B52B2"/>
    <w:rsid w:val="002B5A8C"/>
    <w:rsid w:val="002B6EF5"/>
    <w:rsid w:val="002B7495"/>
    <w:rsid w:val="002B7B29"/>
    <w:rsid w:val="002C011F"/>
    <w:rsid w:val="002C0A35"/>
    <w:rsid w:val="002C1829"/>
    <w:rsid w:val="002C1DE4"/>
    <w:rsid w:val="002C2477"/>
    <w:rsid w:val="002C2657"/>
    <w:rsid w:val="002C3DEA"/>
    <w:rsid w:val="002C4D39"/>
    <w:rsid w:val="002C5315"/>
    <w:rsid w:val="002C694C"/>
    <w:rsid w:val="002D5F8D"/>
    <w:rsid w:val="002D665B"/>
    <w:rsid w:val="002D66E4"/>
    <w:rsid w:val="002D69A4"/>
    <w:rsid w:val="002D6A6A"/>
    <w:rsid w:val="002D6D07"/>
    <w:rsid w:val="002D7009"/>
    <w:rsid w:val="002D737D"/>
    <w:rsid w:val="002D7759"/>
    <w:rsid w:val="002D79C1"/>
    <w:rsid w:val="002D7E2D"/>
    <w:rsid w:val="002E0188"/>
    <w:rsid w:val="002E1151"/>
    <w:rsid w:val="002E1F2B"/>
    <w:rsid w:val="002E209E"/>
    <w:rsid w:val="002E37EB"/>
    <w:rsid w:val="002E3A27"/>
    <w:rsid w:val="002E3CE3"/>
    <w:rsid w:val="002E3EAF"/>
    <w:rsid w:val="002E534E"/>
    <w:rsid w:val="002E5453"/>
    <w:rsid w:val="002E5C0E"/>
    <w:rsid w:val="002E68B7"/>
    <w:rsid w:val="002E6BA3"/>
    <w:rsid w:val="002E6C10"/>
    <w:rsid w:val="002F08A6"/>
    <w:rsid w:val="002F2F3F"/>
    <w:rsid w:val="002F3887"/>
    <w:rsid w:val="002F452D"/>
    <w:rsid w:val="002F5552"/>
    <w:rsid w:val="002F682D"/>
    <w:rsid w:val="002F6B36"/>
    <w:rsid w:val="002F6F4D"/>
    <w:rsid w:val="002F74F4"/>
    <w:rsid w:val="003019C8"/>
    <w:rsid w:val="00301DFB"/>
    <w:rsid w:val="00302562"/>
    <w:rsid w:val="0030294B"/>
    <w:rsid w:val="00302BE2"/>
    <w:rsid w:val="003031CA"/>
    <w:rsid w:val="0030376F"/>
    <w:rsid w:val="00303822"/>
    <w:rsid w:val="0030486D"/>
    <w:rsid w:val="00304978"/>
    <w:rsid w:val="00305A6E"/>
    <w:rsid w:val="00305A98"/>
    <w:rsid w:val="00305ABA"/>
    <w:rsid w:val="00306443"/>
    <w:rsid w:val="00306971"/>
    <w:rsid w:val="00306D07"/>
    <w:rsid w:val="003118B9"/>
    <w:rsid w:val="003119C4"/>
    <w:rsid w:val="00311C7F"/>
    <w:rsid w:val="00311E5C"/>
    <w:rsid w:val="00311F11"/>
    <w:rsid w:val="00312E59"/>
    <w:rsid w:val="00312F0E"/>
    <w:rsid w:val="00312F46"/>
    <w:rsid w:val="00312FA2"/>
    <w:rsid w:val="003131C8"/>
    <w:rsid w:val="00314955"/>
    <w:rsid w:val="00315FA3"/>
    <w:rsid w:val="00316010"/>
    <w:rsid w:val="00316880"/>
    <w:rsid w:val="003168AB"/>
    <w:rsid w:val="003173D9"/>
    <w:rsid w:val="003201C5"/>
    <w:rsid w:val="0032040B"/>
    <w:rsid w:val="0032137D"/>
    <w:rsid w:val="0032151B"/>
    <w:rsid w:val="00321A69"/>
    <w:rsid w:val="003244CB"/>
    <w:rsid w:val="00326C9C"/>
    <w:rsid w:val="00327285"/>
    <w:rsid w:val="003308A0"/>
    <w:rsid w:val="003308CD"/>
    <w:rsid w:val="00330A63"/>
    <w:rsid w:val="00330ACC"/>
    <w:rsid w:val="00331E4C"/>
    <w:rsid w:val="00331EB5"/>
    <w:rsid w:val="00332AF5"/>
    <w:rsid w:val="00334017"/>
    <w:rsid w:val="00334227"/>
    <w:rsid w:val="0033597F"/>
    <w:rsid w:val="00336C25"/>
    <w:rsid w:val="00336DD0"/>
    <w:rsid w:val="00336FB2"/>
    <w:rsid w:val="0033726B"/>
    <w:rsid w:val="00340008"/>
    <w:rsid w:val="0034048E"/>
    <w:rsid w:val="003410BF"/>
    <w:rsid w:val="0034124C"/>
    <w:rsid w:val="003428D5"/>
    <w:rsid w:val="00343835"/>
    <w:rsid w:val="00345E93"/>
    <w:rsid w:val="0034678F"/>
    <w:rsid w:val="00346948"/>
    <w:rsid w:val="003475BF"/>
    <w:rsid w:val="00347AD6"/>
    <w:rsid w:val="003522A4"/>
    <w:rsid w:val="00352DDE"/>
    <w:rsid w:val="003534D3"/>
    <w:rsid w:val="00354913"/>
    <w:rsid w:val="00354BEC"/>
    <w:rsid w:val="00355935"/>
    <w:rsid w:val="00356A75"/>
    <w:rsid w:val="0035762E"/>
    <w:rsid w:val="003600BB"/>
    <w:rsid w:val="0036042C"/>
    <w:rsid w:val="00360434"/>
    <w:rsid w:val="00360541"/>
    <w:rsid w:val="00361074"/>
    <w:rsid w:val="00361865"/>
    <w:rsid w:val="00362511"/>
    <w:rsid w:val="00362CB0"/>
    <w:rsid w:val="00362D5C"/>
    <w:rsid w:val="00362FD9"/>
    <w:rsid w:val="003635F4"/>
    <w:rsid w:val="00363785"/>
    <w:rsid w:val="00364410"/>
    <w:rsid w:val="003644C1"/>
    <w:rsid w:val="0036461E"/>
    <w:rsid w:val="00364FB1"/>
    <w:rsid w:val="003654F9"/>
    <w:rsid w:val="003658FB"/>
    <w:rsid w:val="003659B0"/>
    <w:rsid w:val="00365ABD"/>
    <w:rsid w:val="0036641C"/>
    <w:rsid w:val="00366DBE"/>
    <w:rsid w:val="0036796D"/>
    <w:rsid w:val="00367FB3"/>
    <w:rsid w:val="00370274"/>
    <w:rsid w:val="00373836"/>
    <w:rsid w:val="0037562B"/>
    <w:rsid w:val="00377EDC"/>
    <w:rsid w:val="00380C0B"/>
    <w:rsid w:val="00380FF7"/>
    <w:rsid w:val="0038114B"/>
    <w:rsid w:val="00381577"/>
    <w:rsid w:val="00381827"/>
    <w:rsid w:val="003824A5"/>
    <w:rsid w:val="00382C18"/>
    <w:rsid w:val="00383729"/>
    <w:rsid w:val="0038482D"/>
    <w:rsid w:val="00384AFC"/>
    <w:rsid w:val="00384B8F"/>
    <w:rsid w:val="00384F05"/>
    <w:rsid w:val="0038501B"/>
    <w:rsid w:val="003859BB"/>
    <w:rsid w:val="003860CF"/>
    <w:rsid w:val="00386299"/>
    <w:rsid w:val="00386510"/>
    <w:rsid w:val="003870D9"/>
    <w:rsid w:val="00387AD5"/>
    <w:rsid w:val="00387BAE"/>
    <w:rsid w:val="0039003C"/>
    <w:rsid w:val="00390C0F"/>
    <w:rsid w:val="00390FD7"/>
    <w:rsid w:val="00391734"/>
    <w:rsid w:val="003938C4"/>
    <w:rsid w:val="003964D9"/>
    <w:rsid w:val="00397CBD"/>
    <w:rsid w:val="003A00E3"/>
    <w:rsid w:val="003A0477"/>
    <w:rsid w:val="003A08EE"/>
    <w:rsid w:val="003A157B"/>
    <w:rsid w:val="003A168D"/>
    <w:rsid w:val="003A2B4A"/>
    <w:rsid w:val="003A2BC5"/>
    <w:rsid w:val="003A384A"/>
    <w:rsid w:val="003A46B5"/>
    <w:rsid w:val="003A4AC3"/>
    <w:rsid w:val="003A5608"/>
    <w:rsid w:val="003A5801"/>
    <w:rsid w:val="003A633F"/>
    <w:rsid w:val="003A66B1"/>
    <w:rsid w:val="003A672D"/>
    <w:rsid w:val="003A782C"/>
    <w:rsid w:val="003B0A2C"/>
    <w:rsid w:val="003B2B85"/>
    <w:rsid w:val="003B35F6"/>
    <w:rsid w:val="003B3D5A"/>
    <w:rsid w:val="003B3F31"/>
    <w:rsid w:val="003B4A87"/>
    <w:rsid w:val="003B4EFF"/>
    <w:rsid w:val="003B4FFF"/>
    <w:rsid w:val="003B5F6F"/>
    <w:rsid w:val="003B6BBC"/>
    <w:rsid w:val="003B6CFE"/>
    <w:rsid w:val="003B6EF2"/>
    <w:rsid w:val="003C0358"/>
    <w:rsid w:val="003C13DF"/>
    <w:rsid w:val="003C2A5D"/>
    <w:rsid w:val="003C3B15"/>
    <w:rsid w:val="003C4C59"/>
    <w:rsid w:val="003C5C47"/>
    <w:rsid w:val="003C6760"/>
    <w:rsid w:val="003C7B1A"/>
    <w:rsid w:val="003D08B2"/>
    <w:rsid w:val="003D2867"/>
    <w:rsid w:val="003D310C"/>
    <w:rsid w:val="003D3882"/>
    <w:rsid w:val="003D436B"/>
    <w:rsid w:val="003D63FC"/>
    <w:rsid w:val="003D64DD"/>
    <w:rsid w:val="003D78B7"/>
    <w:rsid w:val="003D7D1F"/>
    <w:rsid w:val="003E0AE0"/>
    <w:rsid w:val="003E1994"/>
    <w:rsid w:val="003E279C"/>
    <w:rsid w:val="003E2967"/>
    <w:rsid w:val="003E34B6"/>
    <w:rsid w:val="003E4C22"/>
    <w:rsid w:val="003E61D8"/>
    <w:rsid w:val="003E6D9D"/>
    <w:rsid w:val="003E6DA1"/>
    <w:rsid w:val="003E7211"/>
    <w:rsid w:val="003E7417"/>
    <w:rsid w:val="003F001D"/>
    <w:rsid w:val="003F0269"/>
    <w:rsid w:val="003F1B5C"/>
    <w:rsid w:val="003F1C92"/>
    <w:rsid w:val="003F1EF3"/>
    <w:rsid w:val="003F1F25"/>
    <w:rsid w:val="003F24BB"/>
    <w:rsid w:val="003F30A7"/>
    <w:rsid w:val="003F4BDA"/>
    <w:rsid w:val="003F4F3B"/>
    <w:rsid w:val="003F5C8D"/>
    <w:rsid w:val="003F5D1A"/>
    <w:rsid w:val="003F5E41"/>
    <w:rsid w:val="003F6814"/>
    <w:rsid w:val="003F6E22"/>
    <w:rsid w:val="003F799C"/>
    <w:rsid w:val="004006BA"/>
    <w:rsid w:val="00400A30"/>
    <w:rsid w:val="00400D1C"/>
    <w:rsid w:val="004012F4"/>
    <w:rsid w:val="00401418"/>
    <w:rsid w:val="00402493"/>
    <w:rsid w:val="00402A93"/>
    <w:rsid w:val="0040372C"/>
    <w:rsid w:val="0040452E"/>
    <w:rsid w:val="00404FCD"/>
    <w:rsid w:val="00405732"/>
    <w:rsid w:val="00405F42"/>
    <w:rsid w:val="004074CB"/>
    <w:rsid w:val="0041113E"/>
    <w:rsid w:val="0041189B"/>
    <w:rsid w:val="00411CE3"/>
    <w:rsid w:val="004129FD"/>
    <w:rsid w:val="00412BE6"/>
    <w:rsid w:val="004135E9"/>
    <w:rsid w:val="0041377C"/>
    <w:rsid w:val="00413B34"/>
    <w:rsid w:val="00414662"/>
    <w:rsid w:val="00415750"/>
    <w:rsid w:val="00415F5A"/>
    <w:rsid w:val="004162BC"/>
    <w:rsid w:val="004165F3"/>
    <w:rsid w:val="00416835"/>
    <w:rsid w:val="004203AB"/>
    <w:rsid w:val="00420F78"/>
    <w:rsid w:val="004218AB"/>
    <w:rsid w:val="00421D6D"/>
    <w:rsid w:val="00422B5F"/>
    <w:rsid w:val="00422E50"/>
    <w:rsid w:val="00423833"/>
    <w:rsid w:val="00423D2C"/>
    <w:rsid w:val="00423D94"/>
    <w:rsid w:val="00424679"/>
    <w:rsid w:val="004249B5"/>
    <w:rsid w:val="00424E87"/>
    <w:rsid w:val="004264D8"/>
    <w:rsid w:val="00426937"/>
    <w:rsid w:val="00426AEC"/>
    <w:rsid w:val="004275E0"/>
    <w:rsid w:val="004303D5"/>
    <w:rsid w:val="00430A05"/>
    <w:rsid w:val="00430B7D"/>
    <w:rsid w:val="0043195A"/>
    <w:rsid w:val="00431CCF"/>
    <w:rsid w:val="004325B0"/>
    <w:rsid w:val="00432655"/>
    <w:rsid w:val="004334EF"/>
    <w:rsid w:val="00433A74"/>
    <w:rsid w:val="00433D98"/>
    <w:rsid w:val="00436949"/>
    <w:rsid w:val="00437165"/>
    <w:rsid w:val="00437956"/>
    <w:rsid w:val="00440925"/>
    <w:rsid w:val="0044136E"/>
    <w:rsid w:val="00441804"/>
    <w:rsid w:val="004418A0"/>
    <w:rsid w:val="00442965"/>
    <w:rsid w:val="0044301C"/>
    <w:rsid w:val="00443D0F"/>
    <w:rsid w:val="004474B6"/>
    <w:rsid w:val="00447708"/>
    <w:rsid w:val="0045012E"/>
    <w:rsid w:val="0045027F"/>
    <w:rsid w:val="004504EA"/>
    <w:rsid w:val="00451362"/>
    <w:rsid w:val="004521F1"/>
    <w:rsid w:val="004524F2"/>
    <w:rsid w:val="00452636"/>
    <w:rsid w:val="00454A6B"/>
    <w:rsid w:val="00456242"/>
    <w:rsid w:val="004567E6"/>
    <w:rsid w:val="00456F71"/>
    <w:rsid w:val="004578C3"/>
    <w:rsid w:val="00457C08"/>
    <w:rsid w:val="00457DC7"/>
    <w:rsid w:val="00460D82"/>
    <w:rsid w:val="00462301"/>
    <w:rsid w:val="00462AE7"/>
    <w:rsid w:val="00463233"/>
    <w:rsid w:val="00464116"/>
    <w:rsid w:val="004643FD"/>
    <w:rsid w:val="00464959"/>
    <w:rsid w:val="0046545F"/>
    <w:rsid w:val="00466523"/>
    <w:rsid w:val="004676DA"/>
    <w:rsid w:val="00467FA2"/>
    <w:rsid w:val="00474410"/>
    <w:rsid w:val="00474910"/>
    <w:rsid w:val="004755AD"/>
    <w:rsid w:val="004758B7"/>
    <w:rsid w:val="00475A5C"/>
    <w:rsid w:val="0047754E"/>
    <w:rsid w:val="00477C69"/>
    <w:rsid w:val="00477DF8"/>
    <w:rsid w:val="00480410"/>
    <w:rsid w:val="00481E94"/>
    <w:rsid w:val="00481F03"/>
    <w:rsid w:val="00482143"/>
    <w:rsid w:val="004829F5"/>
    <w:rsid w:val="00482A78"/>
    <w:rsid w:val="00482CF0"/>
    <w:rsid w:val="0048301D"/>
    <w:rsid w:val="00483859"/>
    <w:rsid w:val="00484733"/>
    <w:rsid w:val="00485D8E"/>
    <w:rsid w:val="00486271"/>
    <w:rsid w:val="00486A2F"/>
    <w:rsid w:val="004911CC"/>
    <w:rsid w:val="00492092"/>
    <w:rsid w:val="00492558"/>
    <w:rsid w:val="00493A98"/>
    <w:rsid w:val="00493C70"/>
    <w:rsid w:val="00494369"/>
    <w:rsid w:val="004946EC"/>
    <w:rsid w:val="00494987"/>
    <w:rsid w:val="00494D6A"/>
    <w:rsid w:val="00496F39"/>
    <w:rsid w:val="00497256"/>
    <w:rsid w:val="00497A10"/>
    <w:rsid w:val="004A074B"/>
    <w:rsid w:val="004A115E"/>
    <w:rsid w:val="004A4940"/>
    <w:rsid w:val="004A4BFA"/>
    <w:rsid w:val="004A544E"/>
    <w:rsid w:val="004A5D8A"/>
    <w:rsid w:val="004A6D72"/>
    <w:rsid w:val="004B078C"/>
    <w:rsid w:val="004B0E8A"/>
    <w:rsid w:val="004B1092"/>
    <w:rsid w:val="004B36A4"/>
    <w:rsid w:val="004B436E"/>
    <w:rsid w:val="004B572E"/>
    <w:rsid w:val="004B5B2F"/>
    <w:rsid w:val="004B7128"/>
    <w:rsid w:val="004C0055"/>
    <w:rsid w:val="004C1235"/>
    <w:rsid w:val="004C15F4"/>
    <w:rsid w:val="004C1B9C"/>
    <w:rsid w:val="004C322E"/>
    <w:rsid w:val="004C4290"/>
    <w:rsid w:val="004C488E"/>
    <w:rsid w:val="004C50D3"/>
    <w:rsid w:val="004C58C3"/>
    <w:rsid w:val="004C686C"/>
    <w:rsid w:val="004C7D53"/>
    <w:rsid w:val="004D080F"/>
    <w:rsid w:val="004D11D4"/>
    <w:rsid w:val="004D153F"/>
    <w:rsid w:val="004D1A14"/>
    <w:rsid w:val="004D4F25"/>
    <w:rsid w:val="004D5117"/>
    <w:rsid w:val="004D550D"/>
    <w:rsid w:val="004D7568"/>
    <w:rsid w:val="004D7569"/>
    <w:rsid w:val="004D7D1B"/>
    <w:rsid w:val="004E09D3"/>
    <w:rsid w:val="004E0EC4"/>
    <w:rsid w:val="004E1EAD"/>
    <w:rsid w:val="004E2758"/>
    <w:rsid w:val="004E303B"/>
    <w:rsid w:val="004E32E0"/>
    <w:rsid w:val="004E36F2"/>
    <w:rsid w:val="004E46E5"/>
    <w:rsid w:val="004E5BC6"/>
    <w:rsid w:val="004E641C"/>
    <w:rsid w:val="004E7F95"/>
    <w:rsid w:val="004F340C"/>
    <w:rsid w:val="004F34BD"/>
    <w:rsid w:val="004F36DF"/>
    <w:rsid w:val="004F3B22"/>
    <w:rsid w:val="004F40C1"/>
    <w:rsid w:val="004F63E3"/>
    <w:rsid w:val="004F6495"/>
    <w:rsid w:val="004F656D"/>
    <w:rsid w:val="005003EF"/>
    <w:rsid w:val="00500CAB"/>
    <w:rsid w:val="00500D51"/>
    <w:rsid w:val="00500FB6"/>
    <w:rsid w:val="005017C3"/>
    <w:rsid w:val="00501F3F"/>
    <w:rsid w:val="00502187"/>
    <w:rsid w:val="0050351E"/>
    <w:rsid w:val="00503945"/>
    <w:rsid w:val="00503A80"/>
    <w:rsid w:val="00504DB2"/>
    <w:rsid w:val="00505EAE"/>
    <w:rsid w:val="00506114"/>
    <w:rsid w:val="00506E63"/>
    <w:rsid w:val="00507844"/>
    <w:rsid w:val="00507E85"/>
    <w:rsid w:val="00510425"/>
    <w:rsid w:val="005105F4"/>
    <w:rsid w:val="00511864"/>
    <w:rsid w:val="005124E8"/>
    <w:rsid w:val="00512FE8"/>
    <w:rsid w:val="00514326"/>
    <w:rsid w:val="005156A0"/>
    <w:rsid w:val="00515DE5"/>
    <w:rsid w:val="00515EAC"/>
    <w:rsid w:val="005167E4"/>
    <w:rsid w:val="00516D65"/>
    <w:rsid w:val="0051799C"/>
    <w:rsid w:val="00517A36"/>
    <w:rsid w:val="0052143F"/>
    <w:rsid w:val="00521D91"/>
    <w:rsid w:val="00524AF3"/>
    <w:rsid w:val="00524F1B"/>
    <w:rsid w:val="0052594E"/>
    <w:rsid w:val="00525DB7"/>
    <w:rsid w:val="0052601E"/>
    <w:rsid w:val="00533354"/>
    <w:rsid w:val="005347AE"/>
    <w:rsid w:val="00534A55"/>
    <w:rsid w:val="00534D8A"/>
    <w:rsid w:val="005354FE"/>
    <w:rsid w:val="00535645"/>
    <w:rsid w:val="00540FCE"/>
    <w:rsid w:val="0054121B"/>
    <w:rsid w:val="00541891"/>
    <w:rsid w:val="00541E61"/>
    <w:rsid w:val="00542941"/>
    <w:rsid w:val="0054299F"/>
    <w:rsid w:val="00543452"/>
    <w:rsid w:val="00545878"/>
    <w:rsid w:val="00546684"/>
    <w:rsid w:val="00546739"/>
    <w:rsid w:val="00547F4D"/>
    <w:rsid w:val="00550843"/>
    <w:rsid w:val="005515FD"/>
    <w:rsid w:val="00551DF6"/>
    <w:rsid w:val="00552F1C"/>
    <w:rsid w:val="005543D9"/>
    <w:rsid w:val="005545B3"/>
    <w:rsid w:val="00554DAF"/>
    <w:rsid w:val="00554EF7"/>
    <w:rsid w:val="005558BA"/>
    <w:rsid w:val="00556350"/>
    <w:rsid w:val="005577BA"/>
    <w:rsid w:val="00560007"/>
    <w:rsid w:val="005607D1"/>
    <w:rsid w:val="00560896"/>
    <w:rsid w:val="00560CC5"/>
    <w:rsid w:val="00561282"/>
    <w:rsid w:val="00561590"/>
    <w:rsid w:val="005628E2"/>
    <w:rsid w:val="00562D6E"/>
    <w:rsid w:val="00563B43"/>
    <w:rsid w:val="00564031"/>
    <w:rsid w:val="00564A8E"/>
    <w:rsid w:val="005650B1"/>
    <w:rsid w:val="00565AD0"/>
    <w:rsid w:val="00566F64"/>
    <w:rsid w:val="00567D00"/>
    <w:rsid w:val="0057003B"/>
    <w:rsid w:val="00570AEF"/>
    <w:rsid w:val="00570C05"/>
    <w:rsid w:val="00572246"/>
    <w:rsid w:val="00572343"/>
    <w:rsid w:val="00572942"/>
    <w:rsid w:val="00572DAD"/>
    <w:rsid w:val="005737D2"/>
    <w:rsid w:val="00574294"/>
    <w:rsid w:val="00574D46"/>
    <w:rsid w:val="005755AE"/>
    <w:rsid w:val="00575B76"/>
    <w:rsid w:val="005762BD"/>
    <w:rsid w:val="00577F60"/>
    <w:rsid w:val="00580291"/>
    <w:rsid w:val="0058075C"/>
    <w:rsid w:val="00581163"/>
    <w:rsid w:val="00581A50"/>
    <w:rsid w:val="00581F86"/>
    <w:rsid w:val="00583334"/>
    <w:rsid w:val="00583771"/>
    <w:rsid w:val="005854D1"/>
    <w:rsid w:val="00586604"/>
    <w:rsid w:val="00586E4D"/>
    <w:rsid w:val="00587A10"/>
    <w:rsid w:val="00587EA6"/>
    <w:rsid w:val="00590024"/>
    <w:rsid w:val="00590AF9"/>
    <w:rsid w:val="005910E2"/>
    <w:rsid w:val="00591B70"/>
    <w:rsid w:val="00591C71"/>
    <w:rsid w:val="0059252B"/>
    <w:rsid w:val="005928AA"/>
    <w:rsid w:val="00592910"/>
    <w:rsid w:val="00593B16"/>
    <w:rsid w:val="00593B61"/>
    <w:rsid w:val="005944B3"/>
    <w:rsid w:val="00594682"/>
    <w:rsid w:val="00595D6C"/>
    <w:rsid w:val="00595EF8"/>
    <w:rsid w:val="00596780"/>
    <w:rsid w:val="005A0C30"/>
    <w:rsid w:val="005A1A93"/>
    <w:rsid w:val="005A1D08"/>
    <w:rsid w:val="005A1F2C"/>
    <w:rsid w:val="005A3B84"/>
    <w:rsid w:val="005A3F42"/>
    <w:rsid w:val="005A5D91"/>
    <w:rsid w:val="005A6471"/>
    <w:rsid w:val="005A689C"/>
    <w:rsid w:val="005A71C0"/>
    <w:rsid w:val="005B0DCD"/>
    <w:rsid w:val="005B1793"/>
    <w:rsid w:val="005B2099"/>
    <w:rsid w:val="005B22A0"/>
    <w:rsid w:val="005B2366"/>
    <w:rsid w:val="005B420E"/>
    <w:rsid w:val="005B43D8"/>
    <w:rsid w:val="005B4A6E"/>
    <w:rsid w:val="005B4B1D"/>
    <w:rsid w:val="005B4E07"/>
    <w:rsid w:val="005B5EAE"/>
    <w:rsid w:val="005B67A2"/>
    <w:rsid w:val="005B6F5F"/>
    <w:rsid w:val="005B75FD"/>
    <w:rsid w:val="005B7924"/>
    <w:rsid w:val="005C08ED"/>
    <w:rsid w:val="005C0F53"/>
    <w:rsid w:val="005C29D1"/>
    <w:rsid w:val="005C2EA5"/>
    <w:rsid w:val="005C3CE9"/>
    <w:rsid w:val="005C3FBE"/>
    <w:rsid w:val="005C4DAB"/>
    <w:rsid w:val="005D0170"/>
    <w:rsid w:val="005D0C38"/>
    <w:rsid w:val="005D14EC"/>
    <w:rsid w:val="005D1978"/>
    <w:rsid w:val="005D1FF6"/>
    <w:rsid w:val="005D2776"/>
    <w:rsid w:val="005D3865"/>
    <w:rsid w:val="005D611A"/>
    <w:rsid w:val="005D692E"/>
    <w:rsid w:val="005D6C54"/>
    <w:rsid w:val="005D7CEC"/>
    <w:rsid w:val="005E03C2"/>
    <w:rsid w:val="005E173A"/>
    <w:rsid w:val="005E1FBB"/>
    <w:rsid w:val="005E26EF"/>
    <w:rsid w:val="005E2F00"/>
    <w:rsid w:val="005E2F5E"/>
    <w:rsid w:val="005E3DBE"/>
    <w:rsid w:val="005E54CB"/>
    <w:rsid w:val="005E56DF"/>
    <w:rsid w:val="005E63E3"/>
    <w:rsid w:val="005E66B9"/>
    <w:rsid w:val="005E680D"/>
    <w:rsid w:val="005F042A"/>
    <w:rsid w:val="005F06C1"/>
    <w:rsid w:val="005F0F60"/>
    <w:rsid w:val="005F2613"/>
    <w:rsid w:val="005F2A68"/>
    <w:rsid w:val="005F38DE"/>
    <w:rsid w:val="005F41E8"/>
    <w:rsid w:val="005F4FC8"/>
    <w:rsid w:val="005F5F27"/>
    <w:rsid w:val="005F63FE"/>
    <w:rsid w:val="00600572"/>
    <w:rsid w:val="006007BD"/>
    <w:rsid w:val="00600AC4"/>
    <w:rsid w:val="00600BF8"/>
    <w:rsid w:val="00602AA9"/>
    <w:rsid w:val="006041C4"/>
    <w:rsid w:val="00604C83"/>
    <w:rsid w:val="00605A0E"/>
    <w:rsid w:val="00605E58"/>
    <w:rsid w:val="00606858"/>
    <w:rsid w:val="006069D8"/>
    <w:rsid w:val="00606EDD"/>
    <w:rsid w:val="00607751"/>
    <w:rsid w:val="00610C29"/>
    <w:rsid w:val="00611038"/>
    <w:rsid w:val="00611B55"/>
    <w:rsid w:val="00611C4F"/>
    <w:rsid w:val="00611E8D"/>
    <w:rsid w:val="0061339D"/>
    <w:rsid w:val="00614453"/>
    <w:rsid w:val="006155DB"/>
    <w:rsid w:val="006165D0"/>
    <w:rsid w:val="00616949"/>
    <w:rsid w:val="00616CB9"/>
    <w:rsid w:val="006177A2"/>
    <w:rsid w:val="00620611"/>
    <w:rsid w:val="00621297"/>
    <w:rsid w:val="006213A9"/>
    <w:rsid w:val="006219C9"/>
    <w:rsid w:val="00622004"/>
    <w:rsid w:val="006227BD"/>
    <w:rsid w:val="00622B7F"/>
    <w:rsid w:val="00622E0B"/>
    <w:rsid w:val="006240F6"/>
    <w:rsid w:val="00624344"/>
    <w:rsid w:val="006245E6"/>
    <w:rsid w:val="00624A57"/>
    <w:rsid w:val="006251CB"/>
    <w:rsid w:val="00625917"/>
    <w:rsid w:val="006305B0"/>
    <w:rsid w:val="0063080D"/>
    <w:rsid w:val="00630F84"/>
    <w:rsid w:val="00631A38"/>
    <w:rsid w:val="00636593"/>
    <w:rsid w:val="00637B7A"/>
    <w:rsid w:val="00637E20"/>
    <w:rsid w:val="006404B5"/>
    <w:rsid w:val="00641847"/>
    <w:rsid w:val="006430F4"/>
    <w:rsid w:val="006434FA"/>
    <w:rsid w:val="006441A4"/>
    <w:rsid w:val="00644853"/>
    <w:rsid w:val="00644DB0"/>
    <w:rsid w:val="0064677D"/>
    <w:rsid w:val="0064686E"/>
    <w:rsid w:val="00646CD1"/>
    <w:rsid w:val="00647632"/>
    <w:rsid w:val="0065006D"/>
    <w:rsid w:val="0065031A"/>
    <w:rsid w:val="00650D77"/>
    <w:rsid w:val="00650F2D"/>
    <w:rsid w:val="006529EC"/>
    <w:rsid w:val="00654114"/>
    <w:rsid w:val="006552EF"/>
    <w:rsid w:val="00655767"/>
    <w:rsid w:val="006559C3"/>
    <w:rsid w:val="00656A59"/>
    <w:rsid w:val="006574AC"/>
    <w:rsid w:val="00657581"/>
    <w:rsid w:val="006606A4"/>
    <w:rsid w:val="0066113F"/>
    <w:rsid w:val="00661986"/>
    <w:rsid w:val="00663551"/>
    <w:rsid w:val="006637CA"/>
    <w:rsid w:val="00664C57"/>
    <w:rsid w:val="00665400"/>
    <w:rsid w:val="006658F3"/>
    <w:rsid w:val="006702E0"/>
    <w:rsid w:val="0067045E"/>
    <w:rsid w:val="00670A4F"/>
    <w:rsid w:val="00670CA7"/>
    <w:rsid w:val="00670ED1"/>
    <w:rsid w:val="006712A2"/>
    <w:rsid w:val="00671796"/>
    <w:rsid w:val="00673521"/>
    <w:rsid w:val="006737CF"/>
    <w:rsid w:val="006739BB"/>
    <w:rsid w:val="00673AA0"/>
    <w:rsid w:val="00674B1C"/>
    <w:rsid w:val="006765F4"/>
    <w:rsid w:val="00677E42"/>
    <w:rsid w:val="0068010A"/>
    <w:rsid w:val="00680A2B"/>
    <w:rsid w:val="00681EF9"/>
    <w:rsid w:val="00682B9E"/>
    <w:rsid w:val="006834A4"/>
    <w:rsid w:val="00684900"/>
    <w:rsid w:val="00685A2A"/>
    <w:rsid w:val="00685A78"/>
    <w:rsid w:val="00685CE8"/>
    <w:rsid w:val="00685D8B"/>
    <w:rsid w:val="00686552"/>
    <w:rsid w:val="0068694D"/>
    <w:rsid w:val="00687B1E"/>
    <w:rsid w:val="00690D07"/>
    <w:rsid w:val="0069142A"/>
    <w:rsid w:val="00691699"/>
    <w:rsid w:val="0069259A"/>
    <w:rsid w:val="0069325B"/>
    <w:rsid w:val="0069434B"/>
    <w:rsid w:val="006944BB"/>
    <w:rsid w:val="00694FC0"/>
    <w:rsid w:val="0069530E"/>
    <w:rsid w:val="00696AFC"/>
    <w:rsid w:val="006A01DB"/>
    <w:rsid w:val="006A1331"/>
    <w:rsid w:val="006A1B1F"/>
    <w:rsid w:val="006A294D"/>
    <w:rsid w:val="006A40C5"/>
    <w:rsid w:val="006A4BAA"/>
    <w:rsid w:val="006A5D2C"/>
    <w:rsid w:val="006A636A"/>
    <w:rsid w:val="006A6F5B"/>
    <w:rsid w:val="006A7252"/>
    <w:rsid w:val="006A788E"/>
    <w:rsid w:val="006A7A5E"/>
    <w:rsid w:val="006A7B2C"/>
    <w:rsid w:val="006B1316"/>
    <w:rsid w:val="006B1819"/>
    <w:rsid w:val="006B1E02"/>
    <w:rsid w:val="006B27D9"/>
    <w:rsid w:val="006B2B1D"/>
    <w:rsid w:val="006B32D1"/>
    <w:rsid w:val="006B353D"/>
    <w:rsid w:val="006B3D6E"/>
    <w:rsid w:val="006B42F1"/>
    <w:rsid w:val="006B4620"/>
    <w:rsid w:val="006B60D4"/>
    <w:rsid w:val="006B68B1"/>
    <w:rsid w:val="006B6BFD"/>
    <w:rsid w:val="006B7693"/>
    <w:rsid w:val="006B7763"/>
    <w:rsid w:val="006B79A8"/>
    <w:rsid w:val="006C0C78"/>
    <w:rsid w:val="006C17B8"/>
    <w:rsid w:val="006C254D"/>
    <w:rsid w:val="006C39CC"/>
    <w:rsid w:val="006C4413"/>
    <w:rsid w:val="006C5BE5"/>
    <w:rsid w:val="006C5CC2"/>
    <w:rsid w:val="006C6048"/>
    <w:rsid w:val="006C61C4"/>
    <w:rsid w:val="006C64F8"/>
    <w:rsid w:val="006C6F2F"/>
    <w:rsid w:val="006C7548"/>
    <w:rsid w:val="006C7910"/>
    <w:rsid w:val="006C7D65"/>
    <w:rsid w:val="006C7E83"/>
    <w:rsid w:val="006D0988"/>
    <w:rsid w:val="006D09E9"/>
    <w:rsid w:val="006D1E65"/>
    <w:rsid w:val="006D2413"/>
    <w:rsid w:val="006D243E"/>
    <w:rsid w:val="006D4F05"/>
    <w:rsid w:val="006D6645"/>
    <w:rsid w:val="006D690E"/>
    <w:rsid w:val="006D6F70"/>
    <w:rsid w:val="006D74ED"/>
    <w:rsid w:val="006E3394"/>
    <w:rsid w:val="006E3ACC"/>
    <w:rsid w:val="006E44EA"/>
    <w:rsid w:val="006E4B1C"/>
    <w:rsid w:val="006E4FB8"/>
    <w:rsid w:val="006E6219"/>
    <w:rsid w:val="006E6FF7"/>
    <w:rsid w:val="006E7209"/>
    <w:rsid w:val="006E7D9D"/>
    <w:rsid w:val="006F1645"/>
    <w:rsid w:val="006F1C22"/>
    <w:rsid w:val="006F21A4"/>
    <w:rsid w:val="006F2C82"/>
    <w:rsid w:val="006F2DAA"/>
    <w:rsid w:val="006F2FCA"/>
    <w:rsid w:val="006F431E"/>
    <w:rsid w:val="006F495B"/>
    <w:rsid w:val="006F58E5"/>
    <w:rsid w:val="006F6FC5"/>
    <w:rsid w:val="006F6FFE"/>
    <w:rsid w:val="006F7623"/>
    <w:rsid w:val="007003E9"/>
    <w:rsid w:val="00700DBB"/>
    <w:rsid w:val="007012A8"/>
    <w:rsid w:val="00702248"/>
    <w:rsid w:val="00702701"/>
    <w:rsid w:val="00702D03"/>
    <w:rsid w:val="0070380A"/>
    <w:rsid w:val="00703DFD"/>
    <w:rsid w:val="00704AC1"/>
    <w:rsid w:val="007060DD"/>
    <w:rsid w:val="00710127"/>
    <w:rsid w:val="0071074F"/>
    <w:rsid w:val="007111EF"/>
    <w:rsid w:val="00711A59"/>
    <w:rsid w:val="00713B8E"/>
    <w:rsid w:val="00714B37"/>
    <w:rsid w:val="00715138"/>
    <w:rsid w:val="00715961"/>
    <w:rsid w:val="00715D28"/>
    <w:rsid w:val="00717025"/>
    <w:rsid w:val="007203C4"/>
    <w:rsid w:val="00720AD3"/>
    <w:rsid w:val="00721A3D"/>
    <w:rsid w:val="00721F5F"/>
    <w:rsid w:val="0072216F"/>
    <w:rsid w:val="00722946"/>
    <w:rsid w:val="00725D55"/>
    <w:rsid w:val="0072783E"/>
    <w:rsid w:val="0073047C"/>
    <w:rsid w:val="007312B8"/>
    <w:rsid w:val="00731CC0"/>
    <w:rsid w:val="00731E98"/>
    <w:rsid w:val="00731EED"/>
    <w:rsid w:val="00731F8A"/>
    <w:rsid w:val="00733738"/>
    <w:rsid w:val="00734536"/>
    <w:rsid w:val="007352C3"/>
    <w:rsid w:val="00735C8E"/>
    <w:rsid w:val="00735F9E"/>
    <w:rsid w:val="0074047D"/>
    <w:rsid w:val="0074099B"/>
    <w:rsid w:val="00741CC9"/>
    <w:rsid w:val="007433A9"/>
    <w:rsid w:val="00746231"/>
    <w:rsid w:val="00746DB3"/>
    <w:rsid w:val="007510E5"/>
    <w:rsid w:val="0075152C"/>
    <w:rsid w:val="00751BCF"/>
    <w:rsid w:val="00753271"/>
    <w:rsid w:val="007544DB"/>
    <w:rsid w:val="00755951"/>
    <w:rsid w:val="0075755F"/>
    <w:rsid w:val="007607E9"/>
    <w:rsid w:val="007610CD"/>
    <w:rsid w:val="007612D0"/>
    <w:rsid w:val="00761F5C"/>
    <w:rsid w:val="0076216F"/>
    <w:rsid w:val="007637B9"/>
    <w:rsid w:val="00763C7A"/>
    <w:rsid w:val="00763FA8"/>
    <w:rsid w:val="00764795"/>
    <w:rsid w:val="0076526B"/>
    <w:rsid w:val="00765EA9"/>
    <w:rsid w:val="007678B4"/>
    <w:rsid w:val="00767ADA"/>
    <w:rsid w:val="00767EBA"/>
    <w:rsid w:val="007700CE"/>
    <w:rsid w:val="00771127"/>
    <w:rsid w:val="00771C08"/>
    <w:rsid w:val="00772EB6"/>
    <w:rsid w:val="00773EC9"/>
    <w:rsid w:val="0077497C"/>
    <w:rsid w:val="00774EE9"/>
    <w:rsid w:val="007750E9"/>
    <w:rsid w:val="0077549E"/>
    <w:rsid w:val="00775519"/>
    <w:rsid w:val="00776C91"/>
    <w:rsid w:val="0077741C"/>
    <w:rsid w:val="00777C75"/>
    <w:rsid w:val="00780CC5"/>
    <w:rsid w:val="00781A06"/>
    <w:rsid w:val="00782C4D"/>
    <w:rsid w:val="007834ED"/>
    <w:rsid w:val="00783784"/>
    <w:rsid w:val="00784423"/>
    <w:rsid w:val="007865D4"/>
    <w:rsid w:val="00787830"/>
    <w:rsid w:val="00787C64"/>
    <w:rsid w:val="00787DE1"/>
    <w:rsid w:val="007905CF"/>
    <w:rsid w:val="00791227"/>
    <w:rsid w:val="007927BA"/>
    <w:rsid w:val="007928C3"/>
    <w:rsid w:val="007933B9"/>
    <w:rsid w:val="00793510"/>
    <w:rsid w:val="00793F83"/>
    <w:rsid w:val="007947FE"/>
    <w:rsid w:val="00794A7D"/>
    <w:rsid w:val="00794F54"/>
    <w:rsid w:val="00795B4E"/>
    <w:rsid w:val="00795CFE"/>
    <w:rsid w:val="007962D3"/>
    <w:rsid w:val="007A00D5"/>
    <w:rsid w:val="007A03B5"/>
    <w:rsid w:val="007A0479"/>
    <w:rsid w:val="007A1D4A"/>
    <w:rsid w:val="007A232C"/>
    <w:rsid w:val="007A24D8"/>
    <w:rsid w:val="007A2D91"/>
    <w:rsid w:val="007A3447"/>
    <w:rsid w:val="007A39CE"/>
    <w:rsid w:val="007A533F"/>
    <w:rsid w:val="007A5893"/>
    <w:rsid w:val="007A7350"/>
    <w:rsid w:val="007A74FC"/>
    <w:rsid w:val="007A7D94"/>
    <w:rsid w:val="007B00F2"/>
    <w:rsid w:val="007B1097"/>
    <w:rsid w:val="007B12FB"/>
    <w:rsid w:val="007B20CA"/>
    <w:rsid w:val="007B2E44"/>
    <w:rsid w:val="007B2E77"/>
    <w:rsid w:val="007B31F6"/>
    <w:rsid w:val="007B4157"/>
    <w:rsid w:val="007B4BA2"/>
    <w:rsid w:val="007B4D63"/>
    <w:rsid w:val="007B4E86"/>
    <w:rsid w:val="007B53FE"/>
    <w:rsid w:val="007B6335"/>
    <w:rsid w:val="007C098A"/>
    <w:rsid w:val="007C0D8F"/>
    <w:rsid w:val="007C2FBB"/>
    <w:rsid w:val="007C3371"/>
    <w:rsid w:val="007C48F4"/>
    <w:rsid w:val="007C576E"/>
    <w:rsid w:val="007C60E1"/>
    <w:rsid w:val="007C6A07"/>
    <w:rsid w:val="007C75A2"/>
    <w:rsid w:val="007C7B3E"/>
    <w:rsid w:val="007D097E"/>
    <w:rsid w:val="007D159E"/>
    <w:rsid w:val="007D2420"/>
    <w:rsid w:val="007D2469"/>
    <w:rsid w:val="007D32BA"/>
    <w:rsid w:val="007D3572"/>
    <w:rsid w:val="007D432B"/>
    <w:rsid w:val="007D44E5"/>
    <w:rsid w:val="007D5165"/>
    <w:rsid w:val="007D6789"/>
    <w:rsid w:val="007D6885"/>
    <w:rsid w:val="007D6ECE"/>
    <w:rsid w:val="007D71D5"/>
    <w:rsid w:val="007D7B89"/>
    <w:rsid w:val="007D7D4E"/>
    <w:rsid w:val="007E23AE"/>
    <w:rsid w:val="007E3577"/>
    <w:rsid w:val="007E3C79"/>
    <w:rsid w:val="007E4C26"/>
    <w:rsid w:val="007E548C"/>
    <w:rsid w:val="007E5E86"/>
    <w:rsid w:val="007E6297"/>
    <w:rsid w:val="007E6D68"/>
    <w:rsid w:val="007F2984"/>
    <w:rsid w:val="007F3C1D"/>
    <w:rsid w:val="007F5212"/>
    <w:rsid w:val="007F601A"/>
    <w:rsid w:val="007F6138"/>
    <w:rsid w:val="007F61A3"/>
    <w:rsid w:val="007F68BE"/>
    <w:rsid w:val="007F71B5"/>
    <w:rsid w:val="007F7371"/>
    <w:rsid w:val="00800BD1"/>
    <w:rsid w:val="00801A59"/>
    <w:rsid w:val="00803879"/>
    <w:rsid w:val="008040F9"/>
    <w:rsid w:val="00805F1B"/>
    <w:rsid w:val="0080640E"/>
    <w:rsid w:val="00806490"/>
    <w:rsid w:val="00807958"/>
    <w:rsid w:val="00810A76"/>
    <w:rsid w:val="008111ED"/>
    <w:rsid w:val="00811913"/>
    <w:rsid w:val="00811D59"/>
    <w:rsid w:val="00811E70"/>
    <w:rsid w:val="00812288"/>
    <w:rsid w:val="00812CD4"/>
    <w:rsid w:val="00813299"/>
    <w:rsid w:val="00814DFE"/>
    <w:rsid w:val="00815621"/>
    <w:rsid w:val="00816665"/>
    <w:rsid w:val="00816D75"/>
    <w:rsid w:val="0081721B"/>
    <w:rsid w:val="008173E8"/>
    <w:rsid w:val="008213CE"/>
    <w:rsid w:val="00821938"/>
    <w:rsid w:val="00821E34"/>
    <w:rsid w:val="00821F77"/>
    <w:rsid w:val="008221BA"/>
    <w:rsid w:val="0082379F"/>
    <w:rsid w:val="0082428A"/>
    <w:rsid w:val="008266A1"/>
    <w:rsid w:val="00827890"/>
    <w:rsid w:val="00830157"/>
    <w:rsid w:val="00831BF2"/>
    <w:rsid w:val="00831DB3"/>
    <w:rsid w:val="00832277"/>
    <w:rsid w:val="0083288B"/>
    <w:rsid w:val="0083292B"/>
    <w:rsid w:val="00832DB8"/>
    <w:rsid w:val="008330D6"/>
    <w:rsid w:val="00833258"/>
    <w:rsid w:val="00833C93"/>
    <w:rsid w:val="00834124"/>
    <w:rsid w:val="008344F9"/>
    <w:rsid w:val="00835322"/>
    <w:rsid w:val="00835E39"/>
    <w:rsid w:val="0083709C"/>
    <w:rsid w:val="008377C6"/>
    <w:rsid w:val="008378C6"/>
    <w:rsid w:val="00837932"/>
    <w:rsid w:val="00837F20"/>
    <w:rsid w:val="00837F28"/>
    <w:rsid w:val="00840E25"/>
    <w:rsid w:val="00841551"/>
    <w:rsid w:val="00841C67"/>
    <w:rsid w:val="008427FD"/>
    <w:rsid w:val="00843353"/>
    <w:rsid w:val="00843DF3"/>
    <w:rsid w:val="0084631E"/>
    <w:rsid w:val="008479AC"/>
    <w:rsid w:val="00847BF6"/>
    <w:rsid w:val="00850289"/>
    <w:rsid w:val="00850409"/>
    <w:rsid w:val="008505B6"/>
    <w:rsid w:val="00850E30"/>
    <w:rsid w:val="00850FEB"/>
    <w:rsid w:val="00851FD8"/>
    <w:rsid w:val="00852F62"/>
    <w:rsid w:val="00853C35"/>
    <w:rsid w:val="00853CF8"/>
    <w:rsid w:val="008568D6"/>
    <w:rsid w:val="00856A4E"/>
    <w:rsid w:val="00857019"/>
    <w:rsid w:val="008570DF"/>
    <w:rsid w:val="008571BF"/>
    <w:rsid w:val="00857BC8"/>
    <w:rsid w:val="0086024C"/>
    <w:rsid w:val="00860734"/>
    <w:rsid w:val="0086143F"/>
    <w:rsid w:val="0086149B"/>
    <w:rsid w:val="0086152E"/>
    <w:rsid w:val="00861531"/>
    <w:rsid w:val="00861F3B"/>
    <w:rsid w:val="0086232D"/>
    <w:rsid w:val="00863814"/>
    <w:rsid w:val="0086420E"/>
    <w:rsid w:val="00865E29"/>
    <w:rsid w:val="0086695D"/>
    <w:rsid w:val="0087019A"/>
    <w:rsid w:val="00870CDA"/>
    <w:rsid w:val="00872FE5"/>
    <w:rsid w:val="008734B4"/>
    <w:rsid w:val="00873BDA"/>
    <w:rsid w:val="00874293"/>
    <w:rsid w:val="00874A5B"/>
    <w:rsid w:val="00875446"/>
    <w:rsid w:val="0087556F"/>
    <w:rsid w:val="00875975"/>
    <w:rsid w:val="008762AD"/>
    <w:rsid w:val="00877105"/>
    <w:rsid w:val="00877856"/>
    <w:rsid w:val="00877BF9"/>
    <w:rsid w:val="00877C62"/>
    <w:rsid w:val="00880549"/>
    <w:rsid w:val="0088156D"/>
    <w:rsid w:val="00882FA7"/>
    <w:rsid w:val="008832EA"/>
    <w:rsid w:val="00883ADA"/>
    <w:rsid w:val="0088400C"/>
    <w:rsid w:val="00885261"/>
    <w:rsid w:val="0088533D"/>
    <w:rsid w:val="008857EA"/>
    <w:rsid w:val="008859DA"/>
    <w:rsid w:val="00886517"/>
    <w:rsid w:val="00886974"/>
    <w:rsid w:val="00887C1B"/>
    <w:rsid w:val="008901FC"/>
    <w:rsid w:val="00890813"/>
    <w:rsid w:val="00892346"/>
    <w:rsid w:val="008940A6"/>
    <w:rsid w:val="008959EF"/>
    <w:rsid w:val="00895D54"/>
    <w:rsid w:val="00895EDA"/>
    <w:rsid w:val="008963BD"/>
    <w:rsid w:val="008969A6"/>
    <w:rsid w:val="00896F4D"/>
    <w:rsid w:val="00897090"/>
    <w:rsid w:val="00897353"/>
    <w:rsid w:val="008978C3"/>
    <w:rsid w:val="00897BAD"/>
    <w:rsid w:val="008A0BCC"/>
    <w:rsid w:val="008A2809"/>
    <w:rsid w:val="008A2E8D"/>
    <w:rsid w:val="008A339F"/>
    <w:rsid w:val="008A3BFB"/>
    <w:rsid w:val="008A3C76"/>
    <w:rsid w:val="008A4458"/>
    <w:rsid w:val="008A4847"/>
    <w:rsid w:val="008A4CC4"/>
    <w:rsid w:val="008A4EAA"/>
    <w:rsid w:val="008A4EAD"/>
    <w:rsid w:val="008A51D1"/>
    <w:rsid w:val="008A6170"/>
    <w:rsid w:val="008A63C9"/>
    <w:rsid w:val="008A7299"/>
    <w:rsid w:val="008A73EA"/>
    <w:rsid w:val="008A7643"/>
    <w:rsid w:val="008A7C15"/>
    <w:rsid w:val="008A7CA0"/>
    <w:rsid w:val="008B03FA"/>
    <w:rsid w:val="008B043F"/>
    <w:rsid w:val="008B33C0"/>
    <w:rsid w:val="008B341A"/>
    <w:rsid w:val="008B3978"/>
    <w:rsid w:val="008B39D0"/>
    <w:rsid w:val="008B3F8D"/>
    <w:rsid w:val="008B430A"/>
    <w:rsid w:val="008B4F23"/>
    <w:rsid w:val="008B5722"/>
    <w:rsid w:val="008B58B4"/>
    <w:rsid w:val="008B5DDC"/>
    <w:rsid w:val="008B71CC"/>
    <w:rsid w:val="008C14AC"/>
    <w:rsid w:val="008C22D8"/>
    <w:rsid w:val="008C2D01"/>
    <w:rsid w:val="008C485C"/>
    <w:rsid w:val="008C4944"/>
    <w:rsid w:val="008C5B96"/>
    <w:rsid w:val="008C6C00"/>
    <w:rsid w:val="008C6C8B"/>
    <w:rsid w:val="008C6E26"/>
    <w:rsid w:val="008D04E1"/>
    <w:rsid w:val="008D0D4E"/>
    <w:rsid w:val="008D0D76"/>
    <w:rsid w:val="008D0F89"/>
    <w:rsid w:val="008D1497"/>
    <w:rsid w:val="008D177A"/>
    <w:rsid w:val="008D1EF8"/>
    <w:rsid w:val="008D283C"/>
    <w:rsid w:val="008D31B7"/>
    <w:rsid w:val="008D365A"/>
    <w:rsid w:val="008D3C97"/>
    <w:rsid w:val="008D476E"/>
    <w:rsid w:val="008D489B"/>
    <w:rsid w:val="008D49A6"/>
    <w:rsid w:val="008D55E2"/>
    <w:rsid w:val="008D567C"/>
    <w:rsid w:val="008D5C1B"/>
    <w:rsid w:val="008D6088"/>
    <w:rsid w:val="008D7512"/>
    <w:rsid w:val="008D7B00"/>
    <w:rsid w:val="008D7F65"/>
    <w:rsid w:val="008E0CCE"/>
    <w:rsid w:val="008E1288"/>
    <w:rsid w:val="008E131C"/>
    <w:rsid w:val="008E2980"/>
    <w:rsid w:val="008E2DC0"/>
    <w:rsid w:val="008E3812"/>
    <w:rsid w:val="008E38EE"/>
    <w:rsid w:val="008E4AAA"/>
    <w:rsid w:val="008E5359"/>
    <w:rsid w:val="008E55C6"/>
    <w:rsid w:val="008E57FB"/>
    <w:rsid w:val="008E5887"/>
    <w:rsid w:val="008E5901"/>
    <w:rsid w:val="008E6B6F"/>
    <w:rsid w:val="008E6B74"/>
    <w:rsid w:val="008F00AD"/>
    <w:rsid w:val="008F0DFC"/>
    <w:rsid w:val="008F193D"/>
    <w:rsid w:val="008F2D82"/>
    <w:rsid w:val="008F2FD7"/>
    <w:rsid w:val="008F3384"/>
    <w:rsid w:val="008F347C"/>
    <w:rsid w:val="008F4829"/>
    <w:rsid w:val="008F58BD"/>
    <w:rsid w:val="008F6B44"/>
    <w:rsid w:val="008F7F02"/>
    <w:rsid w:val="008F7FF5"/>
    <w:rsid w:val="00901CA5"/>
    <w:rsid w:val="009021AA"/>
    <w:rsid w:val="00903566"/>
    <w:rsid w:val="00903819"/>
    <w:rsid w:val="00903C20"/>
    <w:rsid w:val="00903F78"/>
    <w:rsid w:val="00904050"/>
    <w:rsid w:val="009047E2"/>
    <w:rsid w:val="00904995"/>
    <w:rsid w:val="00904A53"/>
    <w:rsid w:val="009055F6"/>
    <w:rsid w:val="009056F8"/>
    <w:rsid w:val="00906B07"/>
    <w:rsid w:val="00907260"/>
    <w:rsid w:val="009077BF"/>
    <w:rsid w:val="00907B0C"/>
    <w:rsid w:val="0091031E"/>
    <w:rsid w:val="00910E47"/>
    <w:rsid w:val="0091292E"/>
    <w:rsid w:val="0091315F"/>
    <w:rsid w:val="00913487"/>
    <w:rsid w:val="00913B0B"/>
    <w:rsid w:val="00913D12"/>
    <w:rsid w:val="00914AAD"/>
    <w:rsid w:val="00914B08"/>
    <w:rsid w:val="00915DDC"/>
    <w:rsid w:val="009164D1"/>
    <w:rsid w:val="009168F8"/>
    <w:rsid w:val="00916B9B"/>
    <w:rsid w:val="009170DB"/>
    <w:rsid w:val="00917E6D"/>
    <w:rsid w:val="009206B6"/>
    <w:rsid w:val="009218B0"/>
    <w:rsid w:val="00922B67"/>
    <w:rsid w:val="00922D4D"/>
    <w:rsid w:val="00923066"/>
    <w:rsid w:val="009231F6"/>
    <w:rsid w:val="00923D67"/>
    <w:rsid w:val="0092453D"/>
    <w:rsid w:val="00924BE1"/>
    <w:rsid w:val="00924D45"/>
    <w:rsid w:val="00925B4A"/>
    <w:rsid w:val="00925B5C"/>
    <w:rsid w:val="0092652A"/>
    <w:rsid w:val="009267EC"/>
    <w:rsid w:val="00926869"/>
    <w:rsid w:val="00926AFD"/>
    <w:rsid w:val="00926E00"/>
    <w:rsid w:val="00927331"/>
    <w:rsid w:val="00927C65"/>
    <w:rsid w:val="0093008A"/>
    <w:rsid w:val="00931AA4"/>
    <w:rsid w:val="009322EC"/>
    <w:rsid w:val="00932548"/>
    <w:rsid w:val="00932D79"/>
    <w:rsid w:val="00932D90"/>
    <w:rsid w:val="009335A3"/>
    <w:rsid w:val="009338FA"/>
    <w:rsid w:val="00934AC7"/>
    <w:rsid w:val="009353A9"/>
    <w:rsid w:val="00935568"/>
    <w:rsid w:val="009355A8"/>
    <w:rsid w:val="00936389"/>
    <w:rsid w:val="00936E2E"/>
    <w:rsid w:val="00936EF1"/>
    <w:rsid w:val="009373E4"/>
    <w:rsid w:val="009373FD"/>
    <w:rsid w:val="009378D7"/>
    <w:rsid w:val="009379AF"/>
    <w:rsid w:val="00937C06"/>
    <w:rsid w:val="0094035F"/>
    <w:rsid w:val="009409B1"/>
    <w:rsid w:val="00940B3A"/>
    <w:rsid w:val="009415B0"/>
    <w:rsid w:val="0094290A"/>
    <w:rsid w:val="00943619"/>
    <w:rsid w:val="00945757"/>
    <w:rsid w:val="00945A4E"/>
    <w:rsid w:val="00945E1F"/>
    <w:rsid w:val="009461F9"/>
    <w:rsid w:val="00946C04"/>
    <w:rsid w:val="0094734A"/>
    <w:rsid w:val="00947D83"/>
    <w:rsid w:val="00950C13"/>
    <w:rsid w:val="009512A6"/>
    <w:rsid w:val="00952107"/>
    <w:rsid w:val="009535C8"/>
    <w:rsid w:val="00953A5B"/>
    <w:rsid w:val="00953B17"/>
    <w:rsid w:val="00953BE0"/>
    <w:rsid w:val="009541CF"/>
    <w:rsid w:val="00954216"/>
    <w:rsid w:val="00954499"/>
    <w:rsid w:val="00955452"/>
    <w:rsid w:val="00955EB5"/>
    <w:rsid w:val="00955FF6"/>
    <w:rsid w:val="0095606D"/>
    <w:rsid w:val="0096028B"/>
    <w:rsid w:val="00961174"/>
    <w:rsid w:val="00961542"/>
    <w:rsid w:val="00961FE5"/>
    <w:rsid w:val="009620E6"/>
    <w:rsid w:val="009644D0"/>
    <w:rsid w:val="00966042"/>
    <w:rsid w:val="009664FA"/>
    <w:rsid w:val="0096662D"/>
    <w:rsid w:val="00966AA4"/>
    <w:rsid w:val="009701EE"/>
    <w:rsid w:val="00971261"/>
    <w:rsid w:val="009715F3"/>
    <w:rsid w:val="0097186A"/>
    <w:rsid w:val="00975CD8"/>
    <w:rsid w:val="0097663A"/>
    <w:rsid w:val="009768A1"/>
    <w:rsid w:val="00977124"/>
    <w:rsid w:val="00977272"/>
    <w:rsid w:val="00980168"/>
    <w:rsid w:val="00980849"/>
    <w:rsid w:val="0098086F"/>
    <w:rsid w:val="00982746"/>
    <w:rsid w:val="0098318E"/>
    <w:rsid w:val="0098391B"/>
    <w:rsid w:val="00984B7C"/>
    <w:rsid w:val="0098521C"/>
    <w:rsid w:val="009857E9"/>
    <w:rsid w:val="009868E9"/>
    <w:rsid w:val="00986C1D"/>
    <w:rsid w:val="00986E8C"/>
    <w:rsid w:val="00987A44"/>
    <w:rsid w:val="00990203"/>
    <w:rsid w:val="00990A1F"/>
    <w:rsid w:val="00990B0D"/>
    <w:rsid w:val="00991692"/>
    <w:rsid w:val="00991C1D"/>
    <w:rsid w:val="00991F35"/>
    <w:rsid w:val="00991F3F"/>
    <w:rsid w:val="00992137"/>
    <w:rsid w:val="0099332B"/>
    <w:rsid w:val="00993657"/>
    <w:rsid w:val="00993B72"/>
    <w:rsid w:val="00993D6B"/>
    <w:rsid w:val="00993F18"/>
    <w:rsid w:val="009940F1"/>
    <w:rsid w:val="009946E5"/>
    <w:rsid w:val="00994F90"/>
    <w:rsid w:val="00995456"/>
    <w:rsid w:val="00996789"/>
    <w:rsid w:val="00996FA7"/>
    <w:rsid w:val="00997A5D"/>
    <w:rsid w:val="00997D76"/>
    <w:rsid w:val="00997E4F"/>
    <w:rsid w:val="009A014E"/>
    <w:rsid w:val="009A01C5"/>
    <w:rsid w:val="009A041E"/>
    <w:rsid w:val="009A12C5"/>
    <w:rsid w:val="009A1E85"/>
    <w:rsid w:val="009A22CA"/>
    <w:rsid w:val="009A22EE"/>
    <w:rsid w:val="009A2E9D"/>
    <w:rsid w:val="009A395F"/>
    <w:rsid w:val="009A3F93"/>
    <w:rsid w:val="009A44C8"/>
    <w:rsid w:val="009A4CDC"/>
    <w:rsid w:val="009A550F"/>
    <w:rsid w:val="009A6268"/>
    <w:rsid w:val="009A7222"/>
    <w:rsid w:val="009A7D5E"/>
    <w:rsid w:val="009B02D9"/>
    <w:rsid w:val="009B0D40"/>
    <w:rsid w:val="009B1675"/>
    <w:rsid w:val="009B16A0"/>
    <w:rsid w:val="009B23E8"/>
    <w:rsid w:val="009B27E5"/>
    <w:rsid w:val="009B322F"/>
    <w:rsid w:val="009B492A"/>
    <w:rsid w:val="009B4A36"/>
    <w:rsid w:val="009B5140"/>
    <w:rsid w:val="009B5369"/>
    <w:rsid w:val="009B56CE"/>
    <w:rsid w:val="009B5862"/>
    <w:rsid w:val="009B6608"/>
    <w:rsid w:val="009B6D94"/>
    <w:rsid w:val="009B75C3"/>
    <w:rsid w:val="009C0263"/>
    <w:rsid w:val="009C0667"/>
    <w:rsid w:val="009C15E8"/>
    <w:rsid w:val="009C178C"/>
    <w:rsid w:val="009C22B0"/>
    <w:rsid w:val="009C24C7"/>
    <w:rsid w:val="009C295B"/>
    <w:rsid w:val="009C3123"/>
    <w:rsid w:val="009C37AD"/>
    <w:rsid w:val="009C54F5"/>
    <w:rsid w:val="009C56D1"/>
    <w:rsid w:val="009C5E94"/>
    <w:rsid w:val="009C6DB2"/>
    <w:rsid w:val="009C77EB"/>
    <w:rsid w:val="009D0316"/>
    <w:rsid w:val="009D0EC8"/>
    <w:rsid w:val="009D1875"/>
    <w:rsid w:val="009D2AFE"/>
    <w:rsid w:val="009D33C0"/>
    <w:rsid w:val="009D3B83"/>
    <w:rsid w:val="009D3C4D"/>
    <w:rsid w:val="009D5762"/>
    <w:rsid w:val="009D6446"/>
    <w:rsid w:val="009D7123"/>
    <w:rsid w:val="009D7558"/>
    <w:rsid w:val="009D7DBC"/>
    <w:rsid w:val="009E108F"/>
    <w:rsid w:val="009E125C"/>
    <w:rsid w:val="009E1C6D"/>
    <w:rsid w:val="009E23C2"/>
    <w:rsid w:val="009E27F4"/>
    <w:rsid w:val="009E2C95"/>
    <w:rsid w:val="009E34D3"/>
    <w:rsid w:val="009E38E1"/>
    <w:rsid w:val="009E3A59"/>
    <w:rsid w:val="009E3C58"/>
    <w:rsid w:val="009E420E"/>
    <w:rsid w:val="009E4725"/>
    <w:rsid w:val="009E517E"/>
    <w:rsid w:val="009E5A8F"/>
    <w:rsid w:val="009E5CD7"/>
    <w:rsid w:val="009E6C46"/>
    <w:rsid w:val="009F05F6"/>
    <w:rsid w:val="009F0ABC"/>
    <w:rsid w:val="009F2DD7"/>
    <w:rsid w:val="009F4250"/>
    <w:rsid w:val="009F454A"/>
    <w:rsid w:val="009F590F"/>
    <w:rsid w:val="009F5CA3"/>
    <w:rsid w:val="009F5EFC"/>
    <w:rsid w:val="009F6925"/>
    <w:rsid w:val="009F6FD1"/>
    <w:rsid w:val="00A00137"/>
    <w:rsid w:val="00A00E66"/>
    <w:rsid w:val="00A01501"/>
    <w:rsid w:val="00A01958"/>
    <w:rsid w:val="00A01B84"/>
    <w:rsid w:val="00A01D20"/>
    <w:rsid w:val="00A01E11"/>
    <w:rsid w:val="00A02EDB"/>
    <w:rsid w:val="00A0424F"/>
    <w:rsid w:val="00A04A42"/>
    <w:rsid w:val="00A04B83"/>
    <w:rsid w:val="00A0528E"/>
    <w:rsid w:val="00A06A23"/>
    <w:rsid w:val="00A06AB4"/>
    <w:rsid w:val="00A06F4B"/>
    <w:rsid w:val="00A07503"/>
    <w:rsid w:val="00A07626"/>
    <w:rsid w:val="00A102F4"/>
    <w:rsid w:val="00A10BCC"/>
    <w:rsid w:val="00A10EC8"/>
    <w:rsid w:val="00A121F6"/>
    <w:rsid w:val="00A1248C"/>
    <w:rsid w:val="00A124A9"/>
    <w:rsid w:val="00A124C2"/>
    <w:rsid w:val="00A12924"/>
    <w:rsid w:val="00A134FB"/>
    <w:rsid w:val="00A143ED"/>
    <w:rsid w:val="00A1473B"/>
    <w:rsid w:val="00A15853"/>
    <w:rsid w:val="00A15858"/>
    <w:rsid w:val="00A15938"/>
    <w:rsid w:val="00A16ED4"/>
    <w:rsid w:val="00A17ECB"/>
    <w:rsid w:val="00A205FC"/>
    <w:rsid w:val="00A20B1A"/>
    <w:rsid w:val="00A2151E"/>
    <w:rsid w:val="00A228BA"/>
    <w:rsid w:val="00A22F5A"/>
    <w:rsid w:val="00A242A9"/>
    <w:rsid w:val="00A247D3"/>
    <w:rsid w:val="00A256A0"/>
    <w:rsid w:val="00A25ED4"/>
    <w:rsid w:val="00A2678A"/>
    <w:rsid w:val="00A26F0B"/>
    <w:rsid w:val="00A27342"/>
    <w:rsid w:val="00A27681"/>
    <w:rsid w:val="00A31B3B"/>
    <w:rsid w:val="00A31E76"/>
    <w:rsid w:val="00A33208"/>
    <w:rsid w:val="00A3321D"/>
    <w:rsid w:val="00A3466B"/>
    <w:rsid w:val="00A34689"/>
    <w:rsid w:val="00A34BF6"/>
    <w:rsid w:val="00A35588"/>
    <w:rsid w:val="00A3627A"/>
    <w:rsid w:val="00A36458"/>
    <w:rsid w:val="00A36930"/>
    <w:rsid w:val="00A37A05"/>
    <w:rsid w:val="00A37CE8"/>
    <w:rsid w:val="00A37E0B"/>
    <w:rsid w:val="00A4083A"/>
    <w:rsid w:val="00A417E0"/>
    <w:rsid w:val="00A4253E"/>
    <w:rsid w:val="00A4498E"/>
    <w:rsid w:val="00A4633C"/>
    <w:rsid w:val="00A4763A"/>
    <w:rsid w:val="00A501DF"/>
    <w:rsid w:val="00A50D16"/>
    <w:rsid w:val="00A52CD0"/>
    <w:rsid w:val="00A52FD7"/>
    <w:rsid w:val="00A53A0A"/>
    <w:rsid w:val="00A55385"/>
    <w:rsid w:val="00A5559F"/>
    <w:rsid w:val="00A55A7F"/>
    <w:rsid w:val="00A566E3"/>
    <w:rsid w:val="00A57111"/>
    <w:rsid w:val="00A57B5C"/>
    <w:rsid w:val="00A627DB"/>
    <w:rsid w:val="00A6355D"/>
    <w:rsid w:val="00A63D18"/>
    <w:rsid w:val="00A64191"/>
    <w:rsid w:val="00A651CE"/>
    <w:rsid w:val="00A663B1"/>
    <w:rsid w:val="00A66BA8"/>
    <w:rsid w:val="00A67004"/>
    <w:rsid w:val="00A67509"/>
    <w:rsid w:val="00A678F9"/>
    <w:rsid w:val="00A67B04"/>
    <w:rsid w:val="00A67D67"/>
    <w:rsid w:val="00A710EB"/>
    <w:rsid w:val="00A7306D"/>
    <w:rsid w:val="00A752C8"/>
    <w:rsid w:val="00A75B15"/>
    <w:rsid w:val="00A76B1E"/>
    <w:rsid w:val="00A76F0A"/>
    <w:rsid w:val="00A803EF"/>
    <w:rsid w:val="00A8146B"/>
    <w:rsid w:val="00A83822"/>
    <w:rsid w:val="00A85A2B"/>
    <w:rsid w:val="00A85A6F"/>
    <w:rsid w:val="00A85E67"/>
    <w:rsid w:val="00A902EC"/>
    <w:rsid w:val="00A909E2"/>
    <w:rsid w:val="00A90DB9"/>
    <w:rsid w:val="00A92222"/>
    <w:rsid w:val="00A9280A"/>
    <w:rsid w:val="00A92D42"/>
    <w:rsid w:val="00A9334B"/>
    <w:rsid w:val="00A93502"/>
    <w:rsid w:val="00A957E2"/>
    <w:rsid w:val="00A959EE"/>
    <w:rsid w:val="00A960EF"/>
    <w:rsid w:val="00A96AE6"/>
    <w:rsid w:val="00A97840"/>
    <w:rsid w:val="00A9793E"/>
    <w:rsid w:val="00AA138D"/>
    <w:rsid w:val="00AA1736"/>
    <w:rsid w:val="00AA1E60"/>
    <w:rsid w:val="00AA2519"/>
    <w:rsid w:val="00AA28B7"/>
    <w:rsid w:val="00AA2C5C"/>
    <w:rsid w:val="00AA39BB"/>
    <w:rsid w:val="00AA3B86"/>
    <w:rsid w:val="00AA3C6B"/>
    <w:rsid w:val="00AA437A"/>
    <w:rsid w:val="00AA4FA6"/>
    <w:rsid w:val="00AA709F"/>
    <w:rsid w:val="00AA74AD"/>
    <w:rsid w:val="00AA750E"/>
    <w:rsid w:val="00AA76DD"/>
    <w:rsid w:val="00AB080B"/>
    <w:rsid w:val="00AB2036"/>
    <w:rsid w:val="00AB2648"/>
    <w:rsid w:val="00AB28F0"/>
    <w:rsid w:val="00AB2AB7"/>
    <w:rsid w:val="00AB30CC"/>
    <w:rsid w:val="00AB337C"/>
    <w:rsid w:val="00AB4964"/>
    <w:rsid w:val="00AB4AC0"/>
    <w:rsid w:val="00AB4DB2"/>
    <w:rsid w:val="00AB6A54"/>
    <w:rsid w:val="00AB6C88"/>
    <w:rsid w:val="00AB7DBA"/>
    <w:rsid w:val="00AB7F95"/>
    <w:rsid w:val="00AC04F5"/>
    <w:rsid w:val="00AC07E2"/>
    <w:rsid w:val="00AC09BA"/>
    <w:rsid w:val="00AC1A52"/>
    <w:rsid w:val="00AC33B5"/>
    <w:rsid w:val="00AC3DD5"/>
    <w:rsid w:val="00AC55D1"/>
    <w:rsid w:val="00AC5652"/>
    <w:rsid w:val="00AC58BD"/>
    <w:rsid w:val="00AC5EA7"/>
    <w:rsid w:val="00AC7BB9"/>
    <w:rsid w:val="00AD0829"/>
    <w:rsid w:val="00AD0B2B"/>
    <w:rsid w:val="00AD13ED"/>
    <w:rsid w:val="00AD14D2"/>
    <w:rsid w:val="00AD17F4"/>
    <w:rsid w:val="00AD18CA"/>
    <w:rsid w:val="00AD1B37"/>
    <w:rsid w:val="00AD3531"/>
    <w:rsid w:val="00AD3948"/>
    <w:rsid w:val="00AD40E0"/>
    <w:rsid w:val="00AD4447"/>
    <w:rsid w:val="00AD4AAF"/>
    <w:rsid w:val="00AD7554"/>
    <w:rsid w:val="00AE2B81"/>
    <w:rsid w:val="00AE2D3F"/>
    <w:rsid w:val="00AE44A8"/>
    <w:rsid w:val="00AE4B0C"/>
    <w:rsid w:val="00AE5615"/>
    <w:rsid w:val="00AE5A8F"/>
    <w:rsid w:val="00AE5CF9"/>
    <w:rsid w:val="00AE6217"/>
    <w:rsid w:val="00AE674F"/>
    <w:rsid w:val="00AE675E"/>
    <w:rsid w:val="00AE6AA6"/>
    <w:rsid w:val="00AE6C5C"/>
    <w:rsid w:val="00AE7224"/>
    <w:rsid w:val="00AF05E4"/>
    <w:rsid w:val="00AF08D4"/>
    <w:rsid w:val="00AF1542"/>
    <w:rsid w:val="00AF1992"/>
    <w:rsid w:val="00AF24DF"/>
    <w:rsid w:val="00AF2D05"/>
    <w:rsid w:val="00AF397D"/>
    <w:rsid w:val="00AF3E53"/>
    <w:rsid w:val="00AF4093"/>
    <w:rsid w:val="00AF4A2C"/>
    <w:rsid w:val="00AF53B6"/>
    <w:rsid w:val="00AF58E1"/>
    <w:rsid w:val="00AF59CF"/>
    <w:rsid w:val="00AF5D44"/>
    <w:rsid w:val="00AF6286"/>
    <w:rsid w:val="00AF7F9F"/>
    <w:rsid w:val="00B00202"/>
    <w:rsid w:val="00B0115F"/>
    <w:rsid w:val="00B016D1"/>
    <w:rsid w:val="00B018AE"/>
    <w:rsid w:val="00B021F7"/>
    <w:rsid w:val="00B022FF"/>
    <w:rsid w:val="00B026E0"/>
    <w:rsid w:val="00B04285"/>
    <w:rsid w:val="00B04D4D"/>
    <w:rsid w:val="00B05F25"/>
    <w:rsid w:val="00B06597"/>
    <w:rsid w:val="00B067E0"/>
    <w:rsid w:val="00B06A76"/>
    <w:rsid w:val="00B10EFB"/>
    <w:rsid w:val="00B111FA"/>
    <w:rsid w:val="00B11490"/>
    <w:rsid w:val="00B12050"/>
    <w:rsid w:val="00B1296F"/>
    <w:rsid w:val="00B12B28"/>
    <w:rsid w:val="00B13D0B"/>
    <w:rsid w:val="00B13FE8"/>
    <w:rsid w:val="00B14542"/>
    <w:rsid w:val="00B14D8E"/>
    <w:rsid w:val="00B1559D"/>
    <w:rsid w:val="00B15BCD"/>
    <w:rsid w:val="00B16918"/>
    <w:rsid w:val="00B171D6"/>
    <w:rsid w:val="00B2004B"/>
    <w:rsid w:val="00B205C5"/>
    <w:rsid w:val="00B20B4E"/>
    <w:rsid w:val="00B2210F"/>
    <w:rsid w:val="00B22EC9"/>
    <w:rsid w:val="00B23078"/>
    <w:rsid w:val="00B230FB"/>
    <w:rsid w:val="00B23782"/>
    <w:rsid w:val="00B23B96"/>
    <w:rsid w:val="00B24699"/>
    <w:rsid w:val="00B24CD3"/>
    <w:rsid w:val="00B25957"/>
    <w:rsid w:val="00B25966"/>
    <w:rsid w:val="00B265C8"/>
    <w:rsid w:val="00B26E9C"/>
    <w:rsid w:val="00B272B8"/>
    <w:rsid w:val="00B27C1A"/>
    <w:rsid w:val="00B27CA4"/>
    <w:rsid w:val="00B30EEB"/>
    <w:rsid w:val="00B3188E"/>
    <w:rsid w:val="00B31A7C"/>
    <w:rsid w:val="00B31B9D"/>
    <w:rsid w:val="00B31FB1"/>
    <w:rsid w:val="00B3216E"/>
    <w:rsid w:val="00B329BE"/>
    <w:rsid w:val="00B3481D"/>
    <w:rsid w:val="00B34A30"/>
    <w:rsid w:val="00B35C6E"/>
    <w:rsid w:val="00B360D3"/>
    <w:rsid w:val="00B37296"/>
    <w:rsid w:val="00B4131E"/>
    <w:rsid w:val="00B414FA"/>
    <w:rsid w:val="00B4197D"/>
    <w:rsid w:val="00B41CC3"/>
    <w:rsid w:val="00B42178"/>
    <w:rsid w:val="00B4223B"/>
    <w:rsid w:val="00B42EDE"/>
    <w:rsid w:val="00B42F68"/>
    <w:rsid w:val="00B4377D"/>
    <w:rsid w:val="00B438AC"/>
    <w:rsid w:val="00B44082"/>
    <w:rsid w:val="00B447DB"/>
    <w:rsid w:val="00B448CE"/>
    <w:rsid w:val="00B4531D"/>
    <w:rsid w:val="00B454FC"/>
    <w:rsid w:val="00B50D2D"/>
    <w:rsid w:val="00B50F72"/>
    <w:rsid w:val="00B52110"/>
    <w:rsid w:val="00B5289D"/>
    <w:rsid w:val="00B529AF"/>
    <w:rsid w:val="00B538FB"/>
    <w:rsid w:val="00B543D4"/>
    <w:rsid w:val="00B570BA"/>
    <w:rsid w:val="00B57730"/>
    <w:rsid w:val="00B60B20"/>
    <w:rsid w:val="00B60D30"/>
    <w:rsid w:val="00B615A6"/>
    <w:rsid w:val="00B6423B"/>
    <w:rsid w:val="00B648FF"/>
    <w:rsid w:val="00B65063"/>
    <w:rsid w:val="00B651AB"/>
    <w:rsid w:val="00B655A8"/>
    <w:rsid w:val="00B65C5B"/>
    <w:rsid w:val="00B71523"/>
    <w:rsid w:val="00B72D0D"/>
    <w:rsid w:val="00B735C7"/>
    <w:rsid w:val="00B73CC5"/>
    <w:rsid w:val="00B7521E"/>
    <w:rsid w:val="00B75EDC"/>
    <w:rsid w:val="00B75F76"/>
    <w:rsid w:val="00B760C1"/>
    <w:rsid w:val="00B7653B"/>
    <w:rsid w:val="00B80141"/>
    <w:rsid w:val="00B80A08"/>
    <w:rsid w:val="00B81050"/>
    <w:rsid w:val="00B828E8"/>
    <w:rsid w:val="00B87B6C"/>
    <w:rsid w:val="00B915BE"/>
    <w:rsid w:val="00B91E54"/>
    <w:rsid w:val="00B92AE4"/>
    <w:rsid w:val="00B92B65"/>
    <w:rsid w:val="00B9362B"/>
    <w:rsid w:val="00B93800"/>
    <w:rsid w:val="00B93B5E"/>
    <w:rsid w:val="00B9457E"/>
    <w:rsid w:val="00B948E2"/>
    <w:rsid w:val="00B94BC6"/>
    <w:rsid w:val="00B95604"/>
    <w:rsid w:val="00B95AA5"/>
    <w:rsid w:val="00B95F84"/>
    <w:rsid w:val="00B96769"/>
    <w:rsid w:val="00B96B6D"/>
    <w:rsid w:val="00B971AC"/>
    <w:rsid w:val="00B97831"/>
    <w:rsid w:val="00B97FAA"/>
    <w:rsid w:val="00BA0001"/>
    <w:rsid w:val="00BA0335"/>
    <w:rsid w:val="00BA1AB4"/>
    <w:rsid w:val="00BA1B3C"/>
    <w:rsid w:val="00BA1E5D"/>
    <w:rsid w:val="00BA33B7"/>
    <w:rsid w:val="00BA3B3B"/>
    <w:rsid w:val="00BA488D"/>
    <w:rsid w:val="00BA586D"/>
    <w:rsid w:val="00BA62E9"/>
    <w:rsid w:val="00BA68C2"/>
    <w:rsid w:val="00BA6B42"/>
    <w:rsid w:val="00BA76A6"/>
    <w:rsid w:val="00BA78B9"/>
    <w:rsid w:val="00BB0A53"/>
    <w:rsid w:val="00BB1410"/>
    <w:rsid w:val="00BB2C78"/>
    <w:rsid w:val="00BB335C"/>
    <w:rsid w:val="00BB34D9"/>
    <w:rsid w:val="00BB4122"/>
    <w:rsid w:val="00BB4337"/>
    <w:rsid w:val="00BB5332"/>
    <w:rsid w:val="00BB54D4"/>
    <w:rsid w:val="00BB5DAD"/>
    <w:rsid w:val="00BB5E08"/>
    <w:rsid w:val="00BB7235"/>
    <w:rsid w:val="00BB76AB"/>
    <w:rsid w:val="00BB7729"/>
    <w:rsid w:val="00BB7B6B"/>
    <w:rsid w:val="00BB7B93"/>
    <w:rsid w:val="00BB7DA0"/>
    <w:rsid w:val="00BC0C53"/>
    <w:rsid w:val="00BC12B6"/>
    <w:rsid w:val="00BC1CA1"/>
    <w:rsid w:val="00BC4090"/>
    <w:rsid w:val="00BC45F7"/>
    <w:rsid w:val="00BC4E2A"/>
    <w:rsid w:val="00BC4F20"/>
    <w:rsid w:val="00BC5161"/>
    <w:rsid w:val="00BC5976"/>
    <w:rsid w:val="00BC5C74"/>
    <w:rsid w:val="00BC5E26"/>
    <w:rsid w:val="00BC5F8D"/>
    <w:rsid w:val="00BC6BA2"/>
    <w:rsid w:val="00BD0A86"/>
    <w:rsid w:val="00BD15EE"/>
    <w:rsid w:val="00BD1865"/>
    <w:rsid w:val="00BD1BC5"/>
    <w:rsid w:val="00BD2460"/>
    <w:rsid w:val="00BD2745"/>
    <w:rsid w:val="00BD2A1F"/>
    <w:rsid w:val="00BD2EE0"/>
    <w:rsid w:val="00BD3E6B"/>
    <w:rsid w:val="00BD3F65"/>
    <w:rsid w:val="00BD6017"/>
    <w:rsid w:val="00BE169F"/>
    <w:rsid w:val="00BE2C86"/>
    <w:rsid w:val="00BE314C"/>
    <w:rsid w:val="00BE47EC"/>
    <w:rsid w:val="00BE5C1B"/>
    <w:rsid w:val="00BE5D03"/>
    <w:rsid w:val="00BE66D0"/>
    <w:rsid w:val="00BE7782"/>
    <w:rsid w:val="00BE7856"/>
    <w:rsid w:val="00BF1374"/>
    <w:rsid w:val="00BF16FC"/>
    <w:rsid w:val="00BF44CE"/>
    <w:rsid w:val="00BF4759"/>
    <w:rsid w:val="00BF528C"/>
    <w:rsid w:val="00BF53B4"/>
    <w:rsid w:val="00BF53BF"/>
    <w:rsid w:val="00BF569E"/>
    <w:rsid w:val="00BF6DA4"/>
    <w:rsid w:val="00BF78A5"/>
    <w:rsid w:val="00C02925"/>
    <w:rsid w:val="00C03098"/>
    <w:rsid w:val="00C037A8"/>
    <w:rsid w:val="00C03FD8"/>
    <w:rsid w:val="00C044F2"/>
    <w:rsid w:val="00C04542"/>
    <w:rsid w:val="00C05463"/>
    <w:rsid w:val="00C06BAC"/>
    <w:rsid w:val="00C07389"/>
    <w:rsid w:val="00C1137F"/>
    <w:rsid w:val="00C1180D"/>
    <w:rsid w:val="00C147ED"/>
    <w:rsid w:val="00C1565D"/>
    <w:rsid w:val="00C159F8"/>
    <w:rsid w:val="00C15AB5"/>
    <w:rsid w:val="00C15CF6"/>
    <w:rsid w:val="00C15E3F"/>
    <w:rsid w:val="00C16226"/>
    <w:rsid w:val="00C17999"/>
    <w:rsid w:val="00C17FD7"/>
    <w:rsid w:val="00C20AD2"/>
    <w:rsid w:val="00C21347"/>
    <w:rsid w:val="00C22E92"/>
    <w:rsid w:val="00C232D2"/>
    <w:rsid w:val="00C2383E"/>
    <w:rsid w:val="00C23AE3"/>
    <w:rsid w:val="00C24289"/>
    <w:rsid w:val="00C24B70"/>
    <w:rsid w:val="00C25EBE"/>
    <w:rsid w:val="00C26E41"/>
    <w:rsid w:val="00C27404"/>
    <w:rsid w:val="00C279CD"/>
    <w:rsid w:val="00C30326"/>
    <w:rsid w:val="00C30AE1"/>
    <w:rsid w:val="00C3173F"/>
    <w:rsid w:val="00C31E01"/>
    <w:rsid w:val="00C334DD"/>
    <w:rsid w:val="00C35C11"/>
    <w:rsid w:val="00C36A29"/>
    <w:rsid w:val="00C36B62"/>
    <w:rsid w:val="00C36DD4"/>
    <w:rsid w:val="00C373A6"/>
    <w:rsid w:val="00C374C2"/>
    <w:rsid w:val="00C407DA"/>
    <w:rsid w:val="00C414EE"/>
    <w:rsid w:val="00C4188C"/>
    <w:rsid w:val="00C419C7"/>
    <w:rsid w:val="00C41D4B"/>
    <w:rsid w:val="00C41D89"/>
    <w:rsid w:val="00C43B3B"/>
    <w:rsid w:val="00C445B9"/>
    <w:rsid w:val="00C46821"/>
    <w:rsid w:val="00C46D96"/>
    <w:rsid w:val="00C47474"/>
    <w:rsid w:val="00C50DEB"/>
    <w:rsid w:val="00C51AC4"/>
    <w:rsid w:val="00C51C49"/>
    <w:rsid w:val="00C54DBA"/>
    <w:rsid w:val="00C556D2"/>
    <w:rsid w:val="00C57125"/>
    <w:rsid w:val="00C57144"/>
    <w:rsid w:val="00C5749F"/>
    <w:rsid w:val="00C57B17"/>
    <w:rsid w:val="00C57E13"/>
    <w:rsid w:val="00C6020C"/>
    <w:rsid w:val="00C60DBB"/>
    <w:rsid w:val="00C611AD"/>
    <w:rsid w:val="00C61DDF"/>
    <w:rsid w:val="00C61EFD"/>
    <w:rsid w:val="00C6275C"/>
    <w:rsid w:val="00C62CAF"/>
    <w:rsid w:val="00C636EA"/>
    <w:rsid w:val="00C66F6C"/>
    <w:rsid w:val="00C6701C"/>
    <w:rsid w:val="00C67E47"/>
    <w:rsid w:val="00C67ED3"/>
    <w:rsid w:val="00C706B6"/>
    <w:rsid w:val="00C724F9"/>
    <w:rsid w:val="00C725D9"/>
    <w:rsid w:val="00C734FC"/>
    <w:rsid w:val="00C73DB3"/>
    <w:rsid w:val="00C74982"/>
    <w:rsid w:val="00C74B4E"/>
    <w:rsid w:val="00C751F2"/>
    <w:rsid w:val="00C76059"/>
    <w:rsid w:val="00C76338"/>
    <w:rsid w:val="00C76730"/>
    <w:rsid w:val="00C775A9"/>
    <w:rsid w:val="00C77FFD"/>
    <w:rsid w:val="00C80B63"/>
    <w:rsid w:val="00C80CC5"/>
    <w:rsid w:val="00C82005"/>
    <w:rsid w:val="00C83212"/>
    <w:rsid w:val="00C84472"/>
    <w:rsid w:val="00C8535D"/>
    <w:rsid w:val="00C87067"/>
    <w:rsid w:val="00C91023"/>
    <w:rsid w:val="00C92415"/>
    <w:rsid w:val="00C9249E"/>
    <w:rsid w:val="00C943A2"/>
    <w:rsid w:val="00C94F24"/>
    <w:rsid w:val="00C9655A"/>
    <w:rsid w:val="00C967BA"/>
    <w:rsid w:val="00C9699D"/>
    <w:rsid w:val="00C96AD1"/>
    <w:rsid w:val="00C96F21"/>
    <w:rsid w:val="00C972AD"/>
    <w:rsid w:val="00C97642"/>
    <w:rsid w:val="00C97B90"/>
    <w:rsid w:val="00CA021B"/>
    <w:rsid w:val="00CA061D"/>
    <w:rsid w:val="00CA10CA"/>
    <w:rsid w:val="00CA26BD"/>
    <w:rsid w:val="00CA4628"/>
    <w:rsid w:val="00CA5FE1"/>
    <w:rsid w:val="00CA60CA"/>
    <w:rsid w:val="00CA6784"/>
    <w:rsid w:val="00CA76A3"/>
    <w:rsid w:val="00CA76E2"/>
    <w:rsid w:val="00CB0C8B"/>
    <w:rsid w:val="00CB1F49"/>
    <w:rsid w:val="00CB263F"/>
    <w:rsid w:val="00CB2B24"/>
    <w:rsid w:val="00CB3671"/>
    <w:rsid w:val="00CB4D69"/>
    <w:rsid w:val="00CB6DC8"/>
    <w:rsid w:val="00CB7C9E"/>
    <w:rsid w:val="00CC0714"/>
    <w:rsid w:val="00CC1CDB"/>
    <w:rsid w:val="00CC1DA9"/>
    <w:rsid w:val="00CC36A6"/>
    <w:rsid w:val="00CC3AAE"/>
    <w:rsid w:val="00CC3BAA"/>
    <w:rsid w:val="00CC48D5"/>
    <w:rsid w:val="00CC62F3"/>
    <w:rsid w:val="00CC66B9"/>
    <w:rsid w:val="00CC6887"/>
    <w:rsid w:val="00CD16A2"/>
    <w:rsid w:val="00CD21F1"/>
    <w:rsid w:val="00CD24A2"/>
    <w:rsid w:val="00CD25D9"/>
    <w:rsid w:val="00CD2635"/>
    <w:rsid w:val="00CD3B8A"/>
    <w:rsid w:val="00CD4579"/>
    <w:rsid w:val="00CD5689"/>
    <w:rsid w:val="00CD5903"/>
    <w:rsid w:val="00CD6155"/>
    <w:rsid w:val="00CE06D2"/>
    <w:rsid w:val="00CE0B4D"/>
    <w:rsid w:val="00CE1F0C"/>
    <w:rsid w:val="00CE1F4A"/>
    <w:rsid w:val="00CE3049"/>
    <w:rsid w:val="00CE3F79"/>
    <w:rsid w:val="00CE4918"/>
    <w:rsid w:val="00CE51AB"/>
    <w:rsid w:val="00CE5543"/>
    <w:rsid w:val="00CE5AC5"/>
    <w:rsid w:val="00CE5AEA"/>
    <w:rsid w:val="00CE6BED"/>
    <w:rsid w:val="00CE706D"/>
    <w:rsid w:val="00CE76E0"/>
    <w:rsid w:val="00CE78AC"/>
    <w:rsid w:val="00CF0155"/>
    <w:rsid w:val="00CF2724"/>
    <w:rsid w:val="00CF2A6C"/>
    <w:rsid w:val="00CF32EB"/>
    <w:rsid w:val="00CF4119"/>
    <w:rsid w:val="00CF4719"/>
    <w:rsid w:val="00CF4D22"/>
    <w:rsid w:val="00CF6194"/>
    <w:rsid w:val="00CF65FB"/>
    <w:rsid w:val="00CF6E96"/>
    <w:rsid w:val="00D001CA"/>
    <w:rsid w:val="00D00DD7"/>
    <w:rsid w:val="00D0118D"/>
    <w:rsid w:val="00D03AB0"/>
    <w:rsid w:val="00D04DEE"/>
    <w:rsid w:val="00D0557D"/>
    <w:rsid w:val="00D05B45"/>
    <w:rsid w:val="00D06F5A"/>
    <w:rsid w:val="00D07EBD"/>
    <w:rsid w:val="00D103C5"/>
    <w:rsid w:val="00D1056E"/>
    <w:rsid w:val="00D10BA0"/>
    <w:rsid w:val="00D1450D"/>
    <w:rsid w:val="00D14BFC"/>
    <w:rsid w:val="00D15C15"/>
    <w:rsid w:val="00D172D2"/>
    <w:rsid w:val="00D20F13"/>
    <w:rsid w:val="00D211F9"/>
    <w:rsid w:val="00D21834"/>
    <w:rsid w:val="00D23CF5"/>
    <w:rsid w:val="00D27317"/>
    <w:rsid w:val="00D30884"/>
    <w:rsid w:val="00D31C79"/>
    <w:rsid w:val="00D320F2"/>
    <w:rsid w:val="00D32B36"/>
    <w:rsid w:val="00D331A3"/>
    <w:rsid w:val="00D33BC2"/>
    <w:rsid w:val="00D33FBB"/>
    <w:rsid w:val="00D34DB5"/>
    <w:rsid w:val="00D351F3"/>
    <w:rsid w:val="00D35487"/>
    <w:rsid w:val="00D3643D"/>
    <w:rsid w:val="00D36457"/>
    <w:rsid w:val="00D36702"/>
    <w:rsid w:val="00D37252"/>
    <w:rsid w:val="00D37BC5"/>
    <w:rsid w:val="00D403F7"/>
    <w:rsid w:val="00D4139A"/>
    <w:rsid w:val="00D41BED"/>
    <w:rsid w:val="00D4244C"/>
    <w:rsid w:val="00D4470A"/>
    <w:rsid w:val="00D44B09"/>
    <w:rsid w:val="00D44CBF"/>
    <w:rsid w:val="00D45929"/>
    <w:rsid w:val="00D45F2C"/>
    <w:rsid w:val="00D46552"/>
    <w:rsid w:val="00D47A07"/>
    <w:rsid w:val="00D47FA9"/>
    <w:rsid w:val="00D503B8"/>
    <w:rsid w:val="00D50824"/>
    <w:rsid w:val="00D5327E"/>
    <w:rsid w:val="00D534A2"/>
    <w:rsid w:val="00D53D75"/>
    <w:rsid w:val="00D53D9F"/>
    <w:rsid w:val="00D55050"/>
    <w:rsid w:val="00D5621B"/>
    <w:rsid w:val="00D568DD"/>
    <w:rsid w:val="00D57171"/>
    <w:rsid w:val="00D5770B"/>
    <w:rsid w:val="00D60496"/>
    <w:rsid w:val="00D60E49"/>
    <w:rsid w:val="00D614AE"/>
    <w:rsid w:val="00D6183A"/>
    <w:rsid w:val="00D61A05"/>
    <w:rsid w:val="00D62363"/>
    <w:rsid w:val="00D636C2"/>
    <w:rsid w:val="00D63857"/>
    <w:rsid w:val="00D646D8"/>
    <w:rsid w:val="00D64877"/>
    <w:rsid w:val="00D65117"/>
    <w:rsid w:val="00D65492"/>
    <w:rsid w:val="00D66450"/>
    <w:rsid w:val="00D66A80"/>
    <w:rsid w:val="00D673D1"/>
    <w:rsid w:val="00D67ED1"/>
    <w:rsid w:val="00D71404"/>
    <w:rsid w:val="00D71418"/>
    <w:rsid w:val="00D71615"/>
    <w:rsid w:val="00D71D0B"/>
    <w:rsid w:val="00D71E30"/>
    <w:rsid w:val="00D730CB"/>
    <w:rsid w:val="00D744E9"/>
    <w:rsid w:val="00D75CED"/>
    <w:rsid w:val="00D7662F"/>
    <w:rsid w:val="00D76C1B"/>
    <w:rsid w:val="00D77523"/>
    <w:rsid w:val="00D80A07"/>
    <w:rsid w:val="00D81332"/>
    <w:rsid w:val="00D82B0F"/>
    <w:rsid w:val="00D82E23"/>
    <w:rsid w:val="00D83E87"/>
    <w:rsid w:val="00D846BA"/>
    <w:rsid w:val="00D84DC6"/>
    <w:rsid w:val="00D84F53"/>
    <w:rsid w:val="00D85548"/>
    <w:rsid w:val="00D86510"/>
    <w:rsid w:val="00D86A4F"/>
    <w:rsid w:val="00D87011"/>
    <w:rsid w:val="00D90A04"/>
    <w:rsid w:val="00D91B67"/>
    <w:rsid w:val="00D93592"/>
    <w:rsid w:val="00D9419E"/>
    <w:rsid w:val="00D9488C"/>
    <w:rsid w:val="00D95ADE"/>
    <w:rsid w:val="00D96B93"/>
    <w:rsid w:val="00DA0F40"/>
    <w:rsid w:val="00DA1706"/>
    <w:rsid w:val="00DA1C3B"/>
    <w:rsid w:val="00DA32DC"/>
    <w:rsid w:val="00DA3369"/>
    <w:rsid w:val="00DA385F"/>
    <w:rsid w:val="00DA4398"/>
    <w:rsid w:val="00DA650B"/>
    <w:rsid w:val="00DA6978"/>
    <w:rsid w:val="00DA6E76"/>
    <w:rsid w:val="00DA74F4"/>
    <w:rsid w:val="00DA79B3"/>
    <w:rsid w:val="00DA7B6C"/>
    <w:rsid w:val="00DB03A7"/>
    <w:rsid w:val="00DB2A51"/>
    <w:rsid w:val="00DB2AE2"/>
    <w:rsid w:val="00DB32C0"/>
    <w:rsid w:val="00DB35A7"/>
    <w:rsid w:val="00DB4CC3"/>
    <w:rsid w:val="00DB5112"/>
    <w:rsid w:val="00DB52A5"/>
    <w:rsid w:val="00DB52E2"/>
    <w:rsid w:val="00DB5E06"/>
    <w:rsid w:val="00DB7150"/>
    <w:rsid w:val="00DB7744"/>
    <w:rsid w:val="00DB7795"/>
    <w:rsid w:val="00DB79AC"/>
    <w:rsid w:val="00DB7C9D"/>
    <w:rsid w:val="00DC130D"/>
    <w:rsid w:val="00DC2A65"/>
    <w:rsid w:val="00DC2C86"/>
    <w:rsid w:val="00DC4EC1"/>
    <w:rsid w:val="00DC55D5"/>
    <w:rsid w:val="00DC6EC2"/>
    <w:rsid w:val="00DC7D20"/>
    <w:rsid w:val="00DC7E98"/>
    <w:rsid w:val="00DD1276"/>
    <w:rsid w:val="00DD17DB"/>
    <w:rsid w:val="00DD1A79"/>
    <w:rsid w:val="00DD1D6B"/>
    <w:rsid w:val="00DD21E0"/>
    <w:rsid w:val="00DD262E"/>
    <w:rsid w:val="00DD2972"/>
    <w:rsid w:val="00DD3AB7"/>
    <w:rsid w:val="00DD4572"/>
    <w:rsid w:val="00DD6395"/>
    <w:rsid w:val="00DE0597"/>
    <w:rsid w:val="00DE0E73"/>
    <w:rsid w:val="00DE115E"/>
    <w:rsid w:val="00DE11B0"/>
    <w:rsid w:val="00DE2861"/>
    <w:rsid w:val="00DE2D17"/>
    <w:rsid w:val="00DE3106"/>
    <w:rsid w:val="00DE39E8"/>
    <w:rsid w:val="00DE3A83"/>
    <w:rsid w:val="00DE3B9B"/>
    <w:rsid w:val="00DE471E"/>
    <w:rsid w:val="00DE4C52"/>
    <w:rsid w:val="00DE7AAC"/>
    <w:rsid w:val="00DF0152"/>
    <w:rsid w:val="00DF0564"/>
    <w:rsid w:val="00DF057A"/>
    <w:rsid w:val="00DF1193"/>
    <w:rsid w:val="00DF1A00"/>
    <w:rsid w:val="00DF1AE9"/>
    <w:rsid w:val="00DF2176"/>
    <w:rsid w:val="00DF22B0"/>
    <w:rsid w:val="00DF2CE1"/>
    <w:rsid w:val="00DF3DCB"/>
    <w:rsid w:val="00DF4277"/>
    <w:rsid w:val="00DF5D01"/>
    <w:rsid w:val="00DF5DCA"/>
    <w:rsid w:val="00DF681C"/>
    <w:rsid w:val="00DF71BE"/>
    <w:rsid w:val="00DF71DE"/>
    <w:rsid w:val="00DF77BB"/>
    <w:rsid w:val="00DF7CDF"/>
    <w:rsid w:val="00E002AE"/>
    <w:rsid w:val="00E003E5"/>
    <w:rsid w:val="00E00F62"/>
    <w:rsid w:val="00E01DB0"/>
    <w:rsid w:val="00E02701"/>
    <w:rsid w:val="00E02A6B"/>
    <w:rsid w:val="00E03B0F"/>
    <w:rsid w:val="00E03CC9"/>
    <w:rsid w:val="00E041E9"/>
    <w:rsid w:val="00E04488"/>
    <w:rsid w:val="00E04703"/>
    <w:rsid w:val="00E04805"/>
    <w:rsid w:val="00E0523C"/>
    <w:rsid w:val="00E05A9C"/>
    <w:rsid w:val="00E060C1"/>
    <w:rsid w:val="00E0698F"/>
    <w:rsid w:val="00E07BB5"/>
    <w:rsid w:val="00E07BD8"/>
    <w:rsid w:val="00E10D4C"/>
    <w:rsid w:val="00E10FAD"/>
    <w:rsid w:val="00E114E3"/>
    <w:rsid w:val="00E115B0"/>
    <w:rsid w:val="00E1246F"/>
    <w:rsid w:val="00E134E0"/>
    <w:rsid w:val="00E13CBF"/>
    <w:rsid w:val="00E148B8"/>
    <w:rsid w:val="00E148C9"/>
    <w:rsid w:val="00E153C1"/>
    <w:rsid w:val="00E16721"/>
    <w:rsid w:val="00E17329"/>
    <w:rsid w:val="00E20154"/>
    <w:rsid w:val="00E20415"/>
    <w:rsid w:val="00E20766"/>
    <w:rsid w:val="00E21309"/>
    <w:rsid w:val="00E22F7B"/>
    <w:rsid w:val="00E239AA"/>
    <w:rsid w:val="00E23A13"/>
    <w:rsid w:val="00E240F8"/>
    <w:rsid w:val="00E24124"/>
    <w:rsid w:val="00E24AF4"/>
    <w:rsid w:val="00E25541"/>
    <w:rsid w:val="00E256C5"/>
    <w:rsid w:val="00E25BBD"/>
    <w:rsid w:val="00E2615B"/>
    <w:rsid w:val="00E26CA4"/>
    <w:rsid w:val="00E27722"/>
    <w:rsid w:val="00E30406"/>
    <w:rsid w:val="00E31EC2"/>
    <w:rsid w:val="00E32896"/>
    <w:rsid w:val="00E33939"/>
    <w:rsid w:val="00E33AEB"/>
    <w:rsid w:val="00E33D5C"/>
    <w:rsid w:val="00E341A8"/>
    <w:rsid w:val="00E34410"/>
    <w:rsid w:val="00E35B2B"/>
    <w:rsid w:val="00E37DC4"/>
    <w:rsid w:val="00E37E2D"/>
    <w:rsid w:val="00E400B4"/>
    <w:rsid w:val="00E40CD3"/>
    <w:rsid w:val="00E412B4"/>
    <w:rsid w:val="00E41611"/>
    <w:rsid w:val="00E416F8"/>
    <w:rsid w:val="00E41900"/>
    <w:rsid w:val="00E41A0D"/>
    <w:rsid w:val="00E432AF"/>
    <w:rsid w:val="00E446E9"/>
    <w:rsid w:val="00E45A8D"/>
    <w:rsid w:val="00E463DF"/>
    <w:rsid w:val="00E46450"/>
    <w:rsid w:val="00E46C04"/>
    <w:rsid w:val="00E50E70"/>
    <w:rsid w:val="00E50F37"/>
    <w:rsid w:val="00E51363"/>
    <w:rsid w:val="00E51777"/>
    <w:rsid w:val="00E51D84"/>
    <w:rsid w:val="00E51D93"/>
    <w:rsid w:val="00E52F14"/>
    <w:rsid w:val="00E5435A"/>
    <w:rsid w:val="00E54ACB"/>
    <w:rsid w:val="00E54AD9"/>
    <w:rsid w:val="00E54D91"/>
    <w:rsid w:val="00E572E4"/>
    <w:rsid w:val="00E57350"/>
    <w:rsid w:val="00E574DC"/>
    <w:rsid w:val="00E57920"/>
    <w:rsid w:val="00E57955"/>
    <w:rsid w:val="00E60069"/>
    <w:rsid w:val="00E602F2"/>
    <w:rsid w:val="00E603E9"/>
    <w:rsid w:val="00E60427"/>
    <w:rsid w:val="00E614D2"/>
    <w:rsid w:val="00E62E30"/>
    <w:rsid w:val="00E63451"/>
    <w:rsid w:val="00E643F2"/>
    <w:rsid w:val="00E645DF"/>
    <w:rsid w:val="00E64903"/>
    <w:rsid w:val="00E64CF0"/>
    <w:rsid w:val="00E67BCA"/>
    <w:rsid w:val="00E703E3"/>
    <w:rsid w:val="00E72E9A"/>
    <w:rsid w:val="00E72FE2"/>
    <w:rsid w:val="00E7475B"/>
    <w:rsid w:val="00E771A7"/>
    <w:rsid w:val="00E807D9"/>
    <w:rsid w:val="00E80F24"/>
    <w:rsid w:val="00E85ADA"/>
    <w:rsid w:val="00E8712C"/>
    <w:rsid w:val="00E87F33"/>
    <w:rsid w:val="00E90F24"/>
    <w:rsid w:val="00E91F42"/>
    <w:rsid w:val="00E93385"/>
    <w:rsid w:val="00E93DD0"/>
    <w:rsid w:val="00E94191"/>
    <w:rsid w:val="00E94922"/>
    <w:rsid w:val="00E95B10"/>
    <w:rsid w:val="00E95B23"/>
    <w:rsid w:val="00E9746F"/>
    <w:rsid w:val="00E97DBF"/>
    <w:rsid w:val="00EA0039"/>
    <w:rsid w:val="00EA0C63"/>
    <w:rsid w:val="00EA2795"/>
    <w:rsid w:val="00EA2B6D"/>
    <w:rsid w:val="00EA2F02"/>
    <w:rsid w:val="00EA3466"/>
    <w:rsid w:val="00EA36BE"/>
    <w:rsid w:val="00EA3931"/>
    <w:rsid w:val="00EA51D3"/>
    <w:rsid w:val="00EA6F0C"/>
    <w:rsid w:val="00EA766B"/>
    <w:rsid w:val="00EA7C14"/>
    <w:rsid w:val="00EB16EE"/>
    <w:rsid w:val="00EB1D4A"/>
    <w:rsid w:val="00EB2659"/>
    <w:rsid w:val="00EB2660"/>
    <w:rsid w:val="00EB286D"/>
    <w:rsid w:val="00EB3D68"/>
    <w:rsid w:val="00EB4790"/>
    <w:rsid w:val="00EB4B7F"/>
    <w:rsid w:val="00EB5659"/>
    <w:rsid w:val="00EB57FF"/>
    <w:rsid w:val="00EB5F45"/>
    <w:rsid w:val="00EB6410"/>
    <w:rsid w:val="00EB6BEC"/>
    <w:rsid w:val="00EB6EE1"/>
    <w:rsid w:val="00EB7B55"/>
    <w:rsid w:val="00EB7E85"/>
    <w:rsid w:val="00EC08A7"/>
    <w:rsid w:val="00EC1151"/>
    <w:rsid w:val="00EC2057"/>
    <w:rsid w:val="00EC2750"/>
    <w:rsid w:val="00EC2C37"/>
    <w:rsid w:val="00EC2F2C"/>
    <w:rsid w:val="00EC39CA"/>
    <w:rsid w:val="00EC3D02"/>
    <w:rsid w:val="00EC488F"/>
    <w:rsid w:val="00EC595C"/>
    <w:rsid w:val="00EC5F0E"/>
    <w:rsid w:val="00EC626C"/>
    <w:rsid w:val="00EC6928"/>
    <w:rsid w:val="00EC6D5E"/>
    <w:rsid w:val="00EC74D6"/>
    <w:rsid w:val="00EC75BB"/>
    <w:rsid w:val="00EC79CF"/>
    <w:rsid w:val="00EC7BEE"/>
    <w:rsid w:val="00EC7EAA"/>
    <w:rsid w:val="00ED0D3D"/>
    <w:rsid w:val="00ED1A20"/>
    <w:rsid w:val="00ED1CF0"/>
    <w:rsid w:val="00ED236B"/>
    <w:rsid w:val="00ED3B54"/>
    <w:rsid w:val="00ED457A"/>
    <w:rsid w:val="00ED6255"/>
    <w:rsid w:val="00ED67B3"/>
    <w:rsid w:val="00ED74CF"/>
    <w:rsid w:val="00ED74EF"/>
    <w:rsid w:val="00ED7D10"/>
    <w:rsid w:val="00EE1BE4"/>
    <w:rsid w:val="00EE2030"/>
    <w:rsid w:val="00EE3A79"/>
    <w:rsid w:val="00EE4584"/>
    <w:rsid w:val="00EE5CFE"/>
    <w:rsid w:val="00EE601E"/>
    <w:rsid w:val="00EF011A"/>
    <w:rsid w:val="00EF068F"/>
    <w:rsid w:val="00EF0AE3"/>
    <w:rsid w:val="00EF12A5"/>
    <w:rsid w:val="00EF182F"/>
    <w:rsid w:val="00EF23E0"/>
    <w:rsid w:val="00EF268E"/>
    <w:rsid w:val="00EF3369"/>
    <w:rsid w:val="00EF48C5"/>
    <w:rsid w:val="00EF528A"/>
    <w:rsid w:val="00EF6D4A"/>
    <w:rsid w:val="00EF6FBD"/>
    <w:rsid w:val="00EF7025"/>
    <w:rsid w:val="00EF7035"/>
    <w:rsid w:val="00EF736F"/>
    <w:rsid w:val="00EF7B87"/>
    <w:rsid w:val="00F01335"/>
    <w:rsid w:val="00F01EEF"/>
    <w:rsid w:val="00F0397D"/>
    <w:rsid w:val="00F041B5"/>
    <w:rsid w:val="00F0436D"/>
    <w:rsid w:val="00F052E1"/>
    <w:rsid w:val="00F0562F"/>
    <w:rsid w:val="00F05BA5"/>
    <w:rsid w:val="00F05C69"/>
    <w:rsid w:val="00F05CE0"/>
    <w:rsid w:val="00F06147"/>
    <w:rsid w:val="00F07BA7"/>
    <w:rsid w:val="00F1080D"/>
    <w:rsid w:val="00F10A00"/>
    <w:rsid w:val="00F11169"/>
    <w:rsid w:val="00F1182A"/>
    <w:rsid w:val="00F119C8"/>
    <w:rsid w:val="00F119EF"/>
    <w:rsid w:val="00F11AAE"/>
    <w:rsid w:val="00F125DF"/>
    <w:rsid w:val="00F127FA"/>
    <w:rsid w:val="00F13769"/>
    <w:rsid w:val="00F13AB5"/>
    <w:rsid w:val="00F1545C"/>
    <w:rsid w:val="00F156B0"/>
    <w:rsid w:val="00F163D0"/>
    <w:rsid w:val="00F1721D"/>
    <w:rsid w:val="00F17CE0"/>
    <w:rsid w:val="00F20ECB"/>
    <w:rsid w:val="00F21CCB"/>
    <w:rsid w:val="00F21D62"/>
    <w:rsid w:val="00F236C4"/>
    <w:rsid w:val="00F24822"/>
    <w:rsid w:val="00F24B30"/>
    <w:rsid w:val="00F2522F"/>
    <w:rsid w:val="00F272CF"/>
    <w:rsid w:val="00F277A7"/>
    <w:rsid w:val="00F30C0D"/>
    <w:rsid w:val="00F32E85"/>
    <w:rsid w:val="00F33EF1"/>
    <w:rsid w:val="00F34806"/>
    <w:rsid w:val="00F35A18"/>
    <w:rsid w:val="00F370F7"/>
    <w:rsid w:val="00F37994"/>
    <w:rsid w:val="00F403B4"/>
    <w:rsid w:val="00F4146B"/>
    <w:rsid w:val="00F41781"/>
    <w:rsid w:val="00F41C40"/>
    <w:rsid w:val="00F42293"/>
    <w:rsid w:val="00F4261C"/>
    <w:rsid w:val="00F437D6"/>
    <w:rsid w:val="00F43999"/>
    <w:rsid w:val="00F44A1B"/>
    <w:rsid w:val="00F45F24"/>
    <w:rsid w:val="00F4613A"/>
    <w:rsid w:val="00F46682"/>
    <w:rsid w:val="00F470ED"/>
    <w:rsid w:val="00F47C84"/>
    <w:rsid w:val="00F5027A"/>
    <w:rsid w:val="00F51E63"/>
    <w:rsid w:val="00F5399B"/>
    <w:rsid w:val="00F54397"/>
    <w:rsid w:val="00F5622D"/>
    <w:rsid w:val="00F56A30"/>
    <w:rsid w:val="00F61485"/>
    <w:rsid w:val="00F6167C"/>
    <w:rsid w:val="00F61779"/>
    <w:rsid w:val="00F62387"/>
    <w:rsid w:val="00F65825"/>
    <w:rsid w:val="00F6584D"/>
    <w:rsid w:val="00F66CD1"/>
    <w:rsid w:val="00F67107"/>
    <w:rsid w:val="00F67446"/>
    <w:rsid w:val="00F7019D"/>
    <w:rsid w:val="00F70477"/>
    <w:rsid w:val="00F70E9F"/>
    <w:rsid w:val="00F71CA0"/>
    <w:rsid w:val="00F72472"/>
    <w:rsid w:val="00F724BE"/>
    <w:rsid w:val="00F733A1"/>
    <w:rsid w:val="00F73DDE"/>
    <w:rsid w:val="00F73FC3"/>
    <w:rsid w:val="00F744F6"/>
    <w:rsid w:val="00F75192"/>
    <w:rsid w:val="00F75788"/>
    <w:rsid w:val="00F75EE1"/>
    <w:rsid w:val="00F75FF2"/>
    <w:rsid w:val="00F7691A"/>
    <w:rsid w:val="00F76CB7"/>
    <w:rsid w:val="00F77287"/>
    <w:rsid w:val="00F777E0"/>
    <w:rsid w:val="00F801CD"/>
    <w:rsid w:val="00F804FD"/>
    <w:rsid w:val="00F81534"/>
    <w:rsid w:val="00F81727"/>
    <w:rsid w:val="00F819F7"/>
    <w:rsid w:val="00F82686"/>
    <w:rsid w:val="00F82CA2"/>
    <w:rsid w:val="00F82E23"/>
    <w:rsid w:val="00F83000"/>
    <w:rsid w:val="00F8319F"/>
    <w:rsid w:val="00F8493C"/>
    <w:rsid w:val="00F854F0"/>
    <w:rsid w:val="00F85B12"/>
    <w:rsid w:val="00F904F2"/>
    <w:rsid w:val="00F90ABE"/>
    <w:rsid w:val="00F91081"/>
    <w:rsid w:val="00F91852"/>
    <w:rsid w:val="00F91CE4"/>
    <w:rsid w:val="00F91E5D"/>
    <w:rsid w:val="00F927D5"/>
    <w:rsid w:val="00F93EEA"/>
    <w:rsid w:val="00F94930"/>
    <w:rsid w:val="00F94F7E"/>
    <w:rsid w:val="00F95F12"/>
    <w:rsid w:val="00F96413"/>
    <w:rsid w:val="00F97152"/>
    <w:rsid w:val="00FA02CD"/>
    <w:rsid w:val="00FA0AD0"/>
    <w:rsid w:val="00FA0EDD"/>
    <w:rsid w:val="00FA1C0E"/>
    <w:rsid w:val="00FA1DF6"/>
    <w:rsid w:val="00FA22FF"/>
    <w:rsid w:val="00FA2599"/>
    <w:rsid w:val="00FA2A3D"/>
    <w:rsid w:val="00FA2DBF"/>
    <w:rsid w:val="00FA3155"/>
    <w:rsid w:val="00FA36D7"/>
    <w:rsid w:val="00FA3B72"/>
    <w:rsid w:val="00FA3DCA"/>
    <w:rsid w:val="00FA44E1"/>
    <w:rsid w:val="00FA4D98"/>
    <w:rsid w:val="00FA51CF"/>
    <w:rsid w:val="00FA58F7"/>
    <w:rsid w:val="00FA5A15"/>
    <w:rsid w:val="00FA5E5D"/>
    <w:rsid w:val="00FA65C8"/>
    <w:rsid w:val="00FA6C63"/>
    <w:rsid w:val="00FA765A"/>
    <w:rsid w:val="00FB01B0"/>
    <w:rsid w:val="00FB0B79"/>
    <w:rsid w:val="00FB1028"/>
    <w:rsid w:val="00FB1D9B"/>
    <w:rsid w:val="00FB1DD7"/>
    <w:rsid w:val="00FB2FA4"/>
    <w:rsid w:val="00FB37BF"/>
    <w:rsid w:val="00FB3983"/>
    <w:rsid w:val="00FB3A55"/>
    <w:rsid w:val="00FB408B"/>
    <w:rsid w:val="00FB4498"/>
    <w:rsid w:val="00FB6329"/>
    <w:rsid w:val="00FB63F1"/>
    <w:rsid w:val="00FB695E"/>
    <w:rsid w:val="00FB7810"/>
    <w:rsid w:val="00FB78FE"/>
    <w:rsid w:val="00FB79C6"/>
    <w:rsid w:val="00FB7B38"/>
    <w:rsid w:val="00FC0BB2"/>
    <w:rsid w:val="00FC1321"/>
    <w:rsid w:val="00FC1797"/>
    <w:rsid w:val="00FC1993"/>
    <w:rsid w:val="00FC1A94"/>
    <w:rsid w:val="00FC1CB8"/>
    <w:rsid w:val="00FC2BA1"/>
    <w:rsid w:val="00FC2EA4"/>
    <w:rsid w:val="00FC301F"/>
    <w:rsid w:val="00FC3C1B"/>
    <w:rsid w:val="00FC3D24"/>
    <w:rsid w:val="00FC5A82"/>
    <w:rsid w:val="00FC63D1"/>
    <w:rsid w:val="00FD3E69"/>
    <w:rsid w:val="00FD472A"/>
    <w:rsid w:val="00FD5A81"/>
    <w:rsid w:val="00FD669F"/>
    <w:rsid w:val="00FD6EC0"/>
    <w:rsid w:val="00FD713C"/>
    <w:rsid w:val="00FE07B5"/>
    <w:rsid w:val="00FE0AAD"/>
    <w:rsid w:val="00FE180C"/>
    <w:rsid w:val="00FE26C1"/>
    <w:rsid w:val="00FE27C2"/>
    <w:rsid w:val="00FE2EEB"/>
    <w:rsid w:val="00FE37A3"/>
    <w:rsid w:val="00FE384F"/>
    <w:rsid w:val="00FE3B0D"/>
    <w:rsid w:val="00FE5416"/>
    <w:rsid w:val="00FE6FC6"/>
    <w:rsid w:val="00FE7F42"/>
    <w:rsid w:val="00FF0154"/>
    <w:rsid w:val="00FF1501"/>
    <w:rsid w:val="00FF1539"/>
    <w:rsid w:val="00FF3137"/>
    <w:rsid w:val="00FF3415"/>
    <w:rsid w:val="00FF74C9"/>
    <w:rsid w:val="00FF7570"/>
    <w:rsid w:val="044B25C1"/>
    <w:rsid w:val="061D5AC2"/>
    <w:rsid w:val="064B46E5"/>
    <w:rsid w:val="06CA1CAF"/>
    <w:rsid w:val="06D175F3"/>
    <w:rsid w:val="07614760"/>
    <w:rsid w:val="077732EE"/>
    <w:rsid w:val="0847576F"/>
    <w:rsid w:val="088F4D5F"/>
    <w:rsid w:val="089A2AE5"/>
    <w:rsid w:val="09391491"/>
    <w:rsid w:val="09ED28E0"/>
    <w:rsid w:val="0A17271C"/>
    <w:rsid w:val="0B07289E"/>
    <w:rsid w:val="0B2670BD"/>
    <w:rsid w:val="0B645669"/>
    <w:rsid w:val="0FAF4F8D"/>
    <w:rsid w:val="10251308"/>
    <w:rsid w:val="12C62553"/>
    <w:rsid w:val="13064FC2"/>
    <w:rsid w:val="1321061F"/>
    <w:rsid w:val="132E4FC1"/>
    <w:rsid w:val="14731BD2"/>
    <w:rsid w:val="14F902ED"/>
    <w:rsid w:val="15E80033"/>
    <w:rsid w:val="16A36026"/>
    <w:rsid w:val="19050937"/>
    <w:rsid w:val="19B8191F"/>
    <w:rsid w:val="19C76CC6"/>
    <w:rsid w:val="1A85418F"/>
    <w:rsid w:val="1B925BCC"/>
    <w:rsid w:val="1BAB0B6E"/>
    <w:rsid w:val="1CBC4922"/>
    <w:rsid w:val="1E3C4A61"/>
    <w:rsid w:val="1FB82048"/>
    <w:rsid w:val="208B2C7E"/>
    <w:rsid w:val="229B5D25"/>
    <w:rsid w:val="22A23F58"/>
    <w:rsid w:val="22FD1CC3"/>
    <w:rsid w:val="23044261"/>
    <w:rsid w:val="232417E2"/>
    <w:rsid w:val="24AF64AC"/>
    <w:rsid w:val="25E94D1F"/>
    <w:rsid w:val="275B3E1E"/>
    <w:rsid w:val="29C81A2A"/>
    <w:rsid w:val="29D82A39"/>
    <w:rsid w:val="2AFE02AC"/>
    <w:rsid w:val="2B3E68D9"/>
    <w:rsid w:val="2BF87564"/>
    <w:rsid w:val="2C3146A8"/>
    <w:rsid w:val="2CD33942"/>
    <w:rsid w:val="2EE26A10"/>
    <w:rsid w:val="2EFD3731"/>
    <w:rsid w:val="2F640A22"/>
    <w:rsid w:val="2FA3283A"/>
    <w:rsid w:val="2FEC412C"/>
    <w:rsid w:val="2FF1381E"/>
    <w:rsid w:val="30163CCC"/>
    <w:rsid w:val="309877BC"/>
    <w:rsid w:val="30DC03F1"/>
    <w:rsid w:val="320F7E75"/>
    <w:rsid w:val="32A852AA"/>
    <w:rsid w:val="33F1670A"/>
    <w:rsid w:val="36B7372C"/>
    <w:rsid w:val="378C51B2"/>
    <w:rsid w:val="3AF15E5F"/>
    <w:rsid w:val="3D2456A6"/>
    <w:rsid w:val="3DA65C12"/>
    <w:rsid w:val="3E144BBE"/>
    <w:rsid w:val="4032245D"/>
    <w:rsid w:val="414D0B32"/>
    <w:rsid w:val="418012E0"/>
    <w:rsid w:val="42623699"/>
    <w:rsid w:val="42F52032"/>
    <w:rsid w:val="46814152"/>
    <w:rsid w:val="46942FF6"/>
    <w:rsid w:val="46E62440"/>
    <w:rsid w:val="483977C0"/>
    <w:rsid w:val="48841362"/>
    <w:rsid w:val="4D993ADC"/>
    <w:rsid w:val="4E23388E"/>
    <w:rsid w:val="4EB011C6"/>
    <w:rsid w:val="51367387"/>
    <w:rsid w:val="51EA76B3"/>
    <w:rsid w:val="53A62BD6"/>
    <w:rsid w:val="546A5392"/>
    <w:rsid w:val="5589506F"/>
    <w:rsid w:val="55923285"/>
    <w:rsid w:val="56A64B36"/>
    <w:rsid w:val="59863419"/>
    <w:rsid w:val="59F1628A"/>
    <w:rsid w:val="5A474CEE"/>
    <w:rsid w:val="5A8105E9"/>
    <w:rsid w:val="5CF140F9"/>
    <w:rsid w:val="5D8A79DB"/>
    <w:rsid w:val="5DF50FB6"/>
    <w:rsid w:val="5F1F7195"/>
    <w:rsid w:val="61295307"/>
    <w:rsid w:val="617B083D"/>
    <w:rsid w:val="62C131C6"/>
    <w:rsid w:val="62C45C6F"/>
    <w:rsid w:val="66636786"/>
    <w:rsid w:val="6B8C2CCC"/>
    <w:rsid w:val="6F1717AA"/>
    <w:rsid w:val="6F466109"/>
    <w:rsid w:val="6F9823B3"/>
    <w:rsid w:val="6FFD0A4C"/>
    <w:rsid w:val="70393D0A"/>
    <w:rsid w:val="71DC63FC"/>
    <w:rsid w:val="71E078BB"/>
    <w:rsid w:val="72416F25"/>
    <w:rsid w:val="737E3735"/>
    <w:rsid w:val="73C54AE5"/>
    <w:rsid w:val="742D6721"/>
    <w:rsid w:val="756951D8"/>
    <w:rsid w:val="763F450F"/>
    <w:rsid w:val="78D501E3"/>
    <w:rsid w:val="79BD2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99" w:name="Body Text First Indent"/>
    <w:lsdException w:uiPriority="99"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0" w:name="HTML Preformatted"/>
    <w:lsdException w:qFormat="1" w:uiPriority="99" w:semiHidden="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仿宋_GB2312"/>
      <w:kern w:val="2"/>
      <w:sz w:val="28"/>
      <w:szCs w:val="28"/>
      <w:lang w:val="en-US" w:eastAsia="zh-CN" w:bidi="ar-SA"/>
    </w:rPr>
  </w:style>
  <w:style w:type="paragraph" w:styleId="2">
    <w:name w:val="heading 1"/>
    <w:basedOn w:val="1"/>
    <w:next w:val="1"/>
    <w:link w:val="123"/>
    <w:qFormat/>
    <w:uiPriority w:val="0"/>
    <w:pPr>
      <w:keepNext/>
      <w:keepLines/>
      <w:spacing w:before="100" w:after="100"/>
      <w:ind w:firstLine="50" w:firstLineChars="50"/>
      <w:outlineLvl w:val="0"/>
    </w:pPr>
    <w:rPr>
      <w:rFonts w:ascii="宋体" w:hAnsi="宋体" w:cs="Times New Roman"/>
      <w:b/>
      <w:bCs/>
      <w:kern w:val="44"/>
      <w:sz w:val="32"/>
      <w:szCs w:val="32"/>
    </w:rPr>
  </w:style>
  <w:style w:type="paragraph" w:styleId="3">
    <w:name w:val="heading 2"/>
    <w:basedOn w:val="1"/>
    <w:next w:val="1"/>
    <w:link w:val="124"/>
    <w:qFormat/>
    <w:uiPriority w:val="0"/>
    <w:pPr>
      <w:keepNext/>
      <w:keepLines/>
      <w:spacing w:before="100" w:after="100"/>
      <w:ind w:firstLine="100" w:firstLineChars="100"/>
      <w:outlineLvl w:val="1"/>
    </w:pPr>
    <w:rPr>
      <w:rFonts w:ascii="宋体" w:hAnsi="宋体" w:cs="Times New Roman"/>
      <w:b/>
      <w:bCs/>
      <w:sz w:val="30"/>
      <w:szCs w:val="30"/>
    </w:rPr>
  </w:style>
  <w:style w:type="paragraph" w:styleId="4">
    <w:name w:val="heading 3"/>
    <w:basedOn w:val="1"/>
    <w:next w:val="1"/>
    <w:link w:val="49"/>
    <w:qFormat/>
    <w:uiPriority w:val="0"/>
    <w:pPr>
      <w:keepNext/>
      <w:keepLines/>
      <w:spacing w:before="100" w:after="100"/>
      <w:ind w:firstLine="140" w:firstLineChars="140"/>
      <w:outlineLvl w:val="2"/>
    </w:pPr>
    <w:rPr>
      <w:rFonts w:cs="Times New Roman"/>
      <w:b/>
      <w:bCs/>
    </w:rPr>
  </w:style>
  <w:style w:type="paragraph" w:styleId="5">
    <w:name w:val="heading 4"/>
    <w:basedOn w:val="6"/>
    <w:next w:val="6"/>
    <w:link w:val="51"/>
    <w:qFormat/>
    <w:uiPriority w:val="0"/>
    <w:pPr>
      <w:keepNext/>
      <w:keepLines/>
      <w:spacing w:before="100" w:after="100"/>
      <w:outlineLvl w:val="3"/>
    </w:pPr>
    <w:rPr>
      <w:rFonts w:ascii="仿宋_GB2312" w:hAnsi="仿宋_GB2312" w:eastAsia="仿宋_GB2312"/>
      <w:b/>
      <w:bCs/>
      <w:sz w:val="28"/>
      <w:szCs w:val="28"/>
    </w:rPr>
  </w:style>
  <w:style w:type="paragraph" w:styleId="7">
    <w:name w:val="heading 5"/>
    <w:next w:val="1"/>
    <w:link w:val="52"/>
    <w:qFormat/>
    <w:uiPriority w:val="0"/>
    <w:pPr>
      <w:adjustRightInd w:val="0"/>
      <w:snapToGrid w:val="0"/>
      <w:spacing w:line="300" w:lineRule="auto"/>
      <w:outlineLvl w:val="4"/>
    </w:pPr>
    <w:rPr>
      <w:rFonts w:ascii="Calibri" w:hAnsi="Calibri" w:eastAsia="宋体" w:cs="宋体"/>
      <w:snapToGrid w:val="0"/>
      <w:sz w:val="21"/>
      <w:szCs w:val="21"/>
      <w:lang w:val="en-US" w:eastAsia="zh-CN"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6">
    <w:name w:val="段"/>
    <w:basedOn w:val="1"/>
    <w:link w:val="50"/>
    <w:qFormat/>
    <w:uiPriority w:val="99"/>
    <w:rPr>
      <w:rFonts w:ascii="Calibri" w:hAnsi="Calibri" w:eastAsia="宋体" w:cs="Times New Roman"/>
      <w:kern w:val="0"/>
      <w:sz w:val="24"/>
      <w:szCs w:val="20"/>
    </w:rPr>
  </w:style>
  <w:style w:type="paragraph" w:styleId="8">
    <w:name w:val="toc 7"/>
    <w:basedOn w:val="1"/>
    <w:next w:val="1"/>
    <w:qFormat/>
    <w:uiPriority w:val="39"/>
    <w:pPr>
      <w:ind w:left="1400"/>
      <w:jc w:val="left"/>
    </w:pPr>
    <w:rPr>
      <w:rFonts w:ascii="Calibri" w:hAnsi="Calibri"/>
      <w:sz w:val="20"/>
      <w:szCs w:val="20"/>
    </w:rPr>
  </w:style>
  <w:style w:type="paragraph" w:styleId="9">
    <w:name w:val="Normal Indent"/>
    <w:basedOn w:val="1"/>
    <w:qFormat/>
    <w:uiPriority w:val="99"/>
    <w:pPr>
      <w:ind w:firstLine="560"/>
    </w:pPr>
  </w:style>
  <w:style w:type="paragraph" w:styleId="10">
    <w:name w:val="Document Map"/>
    <w:basedOn w:val="1"/>
    <w:link w:val="61"/>
    <w:qFormat/>
    <w:uiPriority w:val="99"/>
    <w:rPr>
      <w:rFonts w:ascii="宋体" w:hAnsi="Calibri" w:eastAsia="宋体" w:cs="Times New Roman"/>
      <w:sz w:val="18"/>
      <w:szCs w:val="18"/>
    </w:rPr>
  </w:style>
  <w:style w:type="paragraph" w:styleId="11">
    <w:name w:val="annotation text"/>
    <w:basedOn w:val="1"/>
    <w:link w:val="58"/>
    <w:qFormat/>
    <w:uiPriority w:val="0"/>
    <w:pPr>
      <w:jc w:val="left"/>
    </w:pPr>
    <w:rPr>
      <w:rFonts w:ascii="Calibri" w:hAnsi="Calibri" w:eastAsia="宋体" w:cs="Times New Roman"/>
      <w:sz w:val="21"/>
      <w:szCs w:val="24"/>
    </w:rPr>
  </w:style>
  <w:style w:type="paragraph" w:styleId="12">
    <w:name w:val="Body Text 3"/>
    <w:basedOn w:val="1"/>
    <w:link w:val="142"/>
    <w:qFormat/>
    <w:uiPriority w:val="99"/>
    <w:pPr>
      <w:jc w:val="center"/>
    </w:pPr>
    <w:rPr>
      <w:rFonts w:ascii="黑体" w:hAnsi="宋体" w:eastAsia="黑体" w:cs="Times New Roman"/>
      <w:b/>
      <w:bCs/>
      <w:sz w:val="44"/>
      <w:szCs w:val="21"/>
    </w:rPr>
  </w:style>
  <w:style w:type="paragraph" w:styleId="13">
    <w:name w:val="Body Text"/>
    <w:basedOn w:val="1"/>
    <w:link w:val="140"/>
    <w:qFormat/>
    <w:uiPriority w:val="0"/>
    <w:rPr>
      <w:rFonts w:cs="Times New Roman"/>
    </w:rPr>
  </w:style>
  <w:style w:type="paragraph" w:styleId="14">
    <w:name w:val="Body Text Indent"/>
    <w:basedOn w:val="1"/>
    <w:link w:val="148"/>
    <w:qFormat/>
    <w:uiPriority w:val="99"/>
    <w:pPr>
      <w:ind w:firstLine="420"/>
    </w:pPr>
    <w:rPr>
      <w:rFonts w:ascii="宋体" w:hAnsi="宋体" w:cs="Times New Roman"/>
    </w:rPr>
  </w:style>
  <w:style w:type="paragraph" w:styleId="15">
    <w:name w:val="toc 5"/>
    <w:basedOn w:val="1"/>
    <w:next w:val="1"/>
    <w:qFormat/>
    <w:uiPriority w:val="39"/>
    <w:pPr>
      <w:ind w:left="840"/>
      <w:jc w:val="left"/>
    </w:pPr>
    <w:rPr>
      <w:rFonts w:ascii="Calibri" w:hAnsi="Calibri"/>
      <w:sz w:val="20"/>
      <w:szCs w:val="20"/>
    </w:rPr>
  </w:style>
  <w:style w:type="paragraph" w:styleId="16">
    <w:name w:val="toc 3"/>
    <w:basedOn w:val="1"/>
    <w:next w:val="1"/>
    <w:qFormat/>
    <w:uiPriority w:val="39"/>
    <w:pPr>
      <w:ind w:left="280"/>
      <w:jc w:val="left"/>
    </w:pPr>
    <w:rPr>
      <w:rFonts w:ascii="Calibri" w:hAnsi="Calibri"/>
      <w:sz w:val="20"/>
      <w:szCs w:val="20"/>
    </w:rPr>
  </w:style>
  <w:style w:type="paragraph" w:styleId="17">
    <w:name w:val="Plain Text"/>
    <w:basedOn w:val="1"/>
    <w:link w:val="59"/>
    <w:qFormat/>
    <w:uiPriority w:val="0"/>
    <w:rPr>
      <w:rFonts w:ascii="宋体" w:hAnsi="Courier New" w:eastAsia="宋体" w:cs="Courier New"/>
      <w:sz w:val="21"/>
      <w:szCs w:val="21"/>
    </w:rPr>
  </w:style>
  <w:style w:type="paragraph" w:styleId="18">
    <w:name w:val="toc 8"/>
    <w:basedOn w:val="1"/>
    <w:next w:val="1"/>
    <w:qFormat/>
    <w:uiPriority w:val="39"/>
    <w:pPr>
      <w:ind w:left="1680"/>
      <w:jc w:val="left"/>
    </w:pPr>
    <w:rPr>
      <w:rFonts w:ascii="Calibri" w:hAnsi="Calibri"/>
      <w:sz w:val="20"/>
      <w:szCs w:val="20"/>
    </w:rPr>
  </w:style>
  <w:style w:type="paragraph" w:styleId="19">
    <w:name w:val="Date"/>
    <w:basedOn w:val="1"/>
    <w:next w:val="1"/>
    <w:link w:val="145"/>
    <w:qFormat/>
    <w:uiPriority w:val="99"/>
    <w:pPr>
      <w:ind w:left="100" w:leftChars="2500"/>
    </w:pPr>
    <w:rPr>
      <w:rFonts w:ascii="宋体" w:hAnsi="宋体" w:cs="Times New Roman"/>
      <w:sz w:val="32"/>
      <w:szCs w:val="30"/>
    </w:rPr>
  </w:style>
  <w:style w:type="paragraph" w:styleId="20">
    <w:name w:val="Body Text Indent 2"/>
    <w:basedOn w:val="1"/>
    <w:link w:val="146"/>
    <w:qFormat/>
    <w:uiPriority w:val="99"/>
    <w:pPr>
      <w:ind w:firstLine="640"/>
    </w:pPr>
    <w:rPr>
      <w:rFonts w:ascii="宋体" w:hAnsi="宋体" w:cs="Times New Roman"/>
      <w:color w:val="FF0000"/>
      <w:sz w:val="32"/>
      <w:szCs w:val="22"/>
    </w:rPr>
  </w:style>
  <w:style w:type="paragraph" w:styleId="21">
    <w:name w:val="Balloon Text"/>
    <w:basedOn w:val="1"/>
    <w:link w:val="54"/>
    <w:qFormat/>
    <w:uiPriority w:val="0"/>
    <w:rPr>
      <w:rFonts w:ascii="Calibri" w:hAnsi="Calibri" w:eastAsia="宋体" w:cs="Times New Roman"/>
      <w:sz w:val="18"/>
      <w:szCs w:val="18"/>
    </w:rPr>
  </w:style>
  <w:style w:type="paragraph" w:styleId="22">
    <w:name w:val="footer"/>
    <w:basedOn w:val="1"/>
    <w:link w:val="57"/>
    <w:qFormat/>
    <w:uiPriority w:val="99"/>
    <w:pPr>
      <w:tabs>
        <w:tab w:val="center" w:pos="4153"/>
        <w:tab w:val="right" w:pos="8306"/>
      </w:tabs>
      <w:snapToGrid w:val="0"/>
      <w:jc w:val="left"/>
    </w:pPr>
    <w:rPr>
      <w:rFonts w:ascii="Calibri" w:hAnsi="Calibri" w:eastAsia="宋体" w:cs="Times New Roman"/>
      <w:sz w:val="18"/>
      <w:szCs w:val="18"/>
    </w:rPr>
  </w:style>
  <w:style w:type="paragraph" w:styleId="23">
    <w:name w:val="header"/>
    <w:basedOn w:val="1"/>
    <w:link w:val="63"/>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4">
    <w:name w:val="toc 1"/>
    <w:basedOn w:val="1"/>
    <w:next w:val="1"/>
    <w:link w:val="66"/>
    <w:qFormat/>
    <w:uiPriority w:val="39"/>
    <w:pPr>
      <w:ind w:firstLine="50" w:firstLineChars="50"/>
      <w:jc w:val="left"/>
    </w:pPr>
    <w:rPr>
      <w:rFonts w:cs="Times New Roman"/>
      <w:b/>
      <w:bCs/>
      <w:caps/>
    </w:rPr>
  </w:style>
  <w:style w:type="paragraph" w:styleId="25">
    <w:name w:val="toc 4"/>
    <w:basedOn w:val="1"/>
    <w:next w:val="1"/>
    <w:qFormat/>
    <w:uiPriority w:val="39"/>
    <w:pPr>
      <w:ind w:left="560"/>
      <w:jc w:val="left"/>
    </w:pPr>
    <w:rPr>
      <w:rFonts w:ascii="Calibri" w:hAnsi="Calibri"/>
      <w:sz w:val="20"/>
      <w:szCs w:val="20"/>
    </w:rPr>
  </w:style>
  <w:style w:type="paragraph" w:styleId="26">
    <w:name w:val="Subtitle"/>
    <w:basedOn w:val="24"/>
    <w:next w:val="1"/>
    <w:link w:val="121"/>
    <w:qFormat/>
    <w:uiPriority w:val="11"/>
    <w:pPr>
      <w:tabs>
        <w:tab w:val="right" w:leader="dot" w:pos="8296"/>
      </w:tabs>
      <w:spacing w:line="480" w:lineRule="exact"/>
      <w:ind w:firstLine="560" w:firstLineChars="200"/>
      <w:jc w:val="center"/>
    </w:pPr>
    <w:rPr>
      <w:rFonts w:ascii="Times New Roman" w:hAnsi="Times New Roman" w:eastAsia="仿宋"/>
      <w:caps w:val="0"/>
      <w:kern w:val="44"/>
      <w:sz w:val="24"/>
      <w:szCs w:val="24"/>
    </w:rPr>
  </w:style>
  <w:style w:type="paragraph" w:styleId="27">
    <w:name w:val="toc 6"/>
    <w:basedOn w:val="1"/>
    <w:next w:val="1"/>
    <w:qFormat/>
    <w:uiPriority w:val="39"/>
    <w:pPr>
      <w:ind w:left="1120"/>
      <w:jc w:val="left"/>
    </w:pPr>
    <w:rPr>
      <w:rFonts w:ascii="Calibri" w:hAnsi="Calibri"/>
      <w:sz w:val="20"/>
      <w:szCs w:val="20"/>
    </w:rPr>
  </w:style>
  <w:style w:type="paragraph" w:styleId="28">
    <w:name w:val="Body Text Indent 3"/>
    <w:basedOn w:val="1"/>
    <w:link w:val="150"/>
    <w:qFormat/>
    <w:uiPriority w:val="99"/>
    <w:pPr>
      <w:ind w:firstLine="690"/>
    </w:pPr>
    <w:rPr>
      <w:rFonts w:ascii="宋体" w:hAnsi="宋体" w:cs="Times New Roman"/>
      <w:color w:val="FF0000"/>
      <w:spacing w:val="15"/>
      <w:kern w:val="0"/>
      <w:sz w:val="32"/>
      <w:szCs w:val="21"/>
    </w:rPr>
  </w:style>
  <w:style w:type="paragraph" w:styleId="29">
    <w:name w:val="toc 2"/>
    <w:basedOn w:val="1"/>
    <w:next w:val="1"/>
    <w:link w:val="160"/>
    <w:qFormat/>
    <w:uiPriority w:val="39"/>
    <w:pPr>
      <w:ind w:firstLine="150" w:firstLineChars="150"/>
      <w:jc w:val="left"/>
    </w:pPr>
    <w:rPr>
      <w:rFonts w:cs="Times New Roman"/>
      <w:bCs/>
    </w:rPr>
  </w:style>
  <w:style w:type="paragraph" w:styleId="30">
    <w:name w:val="toc 9"/>
    <w:basedOn w:val="1"/>
    <w:next w:val="1"/>
    <w:qFormat/>
    <w:uiPriority w:val="39"/>
    <w:pPr>
      <w:ind w:left="1960"/>
      <w:jc w:val="left"/>
    </w:pPr>
    <w:rPr>
      <w:rFonts w:ascii="Calibri" w:hAnsi="Calibri"/>
      <w:sz w:val="20"/>
      <w:szCs w:val="20"/>
    </w:rPr>
  </w:style>
  <w:style w:type="paragraph" w:styleId="31">
    <w:name w:val="Body Text 2"/>
    <w:basedOn w:val="1"/>
    <w:link w:val="151"/>
    <w:qFormat/>
    <w:uiPriority w:val="99"/>
    <w:pPr>
      <w:ind w:right="-244"/>
      <w:jc w:val="center"/>
    </w:pPr>
    <w:rPr>
      <w:rFonts w:ascii="华文隶书" w:eastAsia="华文隶书" w:cs="Times New Roman"/>
      <w:b/>
      <w:sz w:val="52"/>
      <w:szCs w:val="52"/>
    </w:rPr>
  </w:style>
  <w:style w:type="paragraph" w:styleId="32">
    <w:name w:val="Normal (Web)"/>
    <w:basedOn w:val="1"/>
    <w:qFormat/>
    <w:uiPriority w:val="0"/>
    <w:pPr>
      <w:widowControl/>
      <w:spacing w:before="100" w:beforeAutospacing="1" w:after="100" w:afterAutospacing="1"/>
      <w:jc w:val="left"/>
    </w:pPr>
    <w:rPr>
      <w:rFonts w:ascii="宋体" w:hAnsi="宋体"/>
      <w:kern w:val="0"/>
      <w:sz w:val="24"/>
    </w:rPr>
  </w:style>
  <w:style w:type="paragraph" w:styleId="33">
    <w:name w:val="Title"/>
    <w:basedOn w:val="1"/>
    <w:next w:val="1"/>
    <w:link w:val="94"/>
    <w:qFormat/>
    <w:uiPriority w:val="0"/>
    <w:pPr>
      <w:spacing w:before="240" w:after="60"/>
      <w:jc w:val="center"/>
      <w:outlineLvl w:val="0"/>
    </w:pPr>
    <w:rPr>
      <w:rFonts w:ascii="Cambria" w:hAnsi="Cambria" w:eastAsia="宋体" w:cs="Times New Roman"/>
      <w:b/>
      <w:bCs/>
      <w:sz w:val="32"/>
      <w:szCs w:val="32"/>
    </w:rPr>
  </w:style>
  <w:style w:type="paragraph" w:styleId="34">
    <w:name w:val="annotation subject"/>
    <w:basedOn w:val="11"/>
    <w:next w:val="11"/>
    <w:link w:val="65"/>
    <w:qFormat/>
    <w:uiPriority w:val="99"/>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rPr>
      <w:i/>
      <w:iCs/>
    </w:rPr>
  </w:style>
  <w:style w:type="character" w:styleId="42">
    <w:name w:val="HTML Definition"/>
    <w:unhideWhenUsed/>
    <w:qFormat/>
    <w:uiPriority w:val="99"/>
    <w:rPr>
      <w:i/>
    </w:rPr>
  </w:style>
  <w:style w:type="character" w:styleId="43">
    <w:name w:val="Hyperlink"/>
    <w:qFormat/>
    <w:uiPriority w:val="99"/>
    <w:rPr>
      <w:color w:val="0000FF"/>
      <w:u w:val="single"/>
    </w:rPr>
  </w:style>
  <w:style w:type="character" w:styleId="44">
    <w:name w:val="HTML Code"/>
    <w:unhideWhenUsed/>
    <w:qFormat/>
    <w:uiPriority w:val="99"/>
    <w:rPr>
      <w:rFonts w:ascii="Monaco" w:hAnsi="Monaco" w:eastAsia="Monaco" w:cs="Monaco"/>
      <w:color w:val="C7254E"/>
      <w:sz w:val="21"/>
      <w:szCs w:val="21"/>
      <w:shd w:val="clear" w:color="auto" w:fill="F9F2F4"/>
    </w:rPr>
  </w:style>
  <w:style w:type="character" w:styleId="45">
    <w:name w:val="annotation reference"/>
    <w:qFormat/>
    <w:uiPriority w:val="0"/>
    <w:rPr>
      <w:sz w:val="21"/>
      <w:szCs w:val="21"/>
    </w:rPr>
  </w:style>
  <w:style w:type="character" w:styleId="46">
    <w:name w:val="HTML Cite"/>
    <w:unhideWhenUsed/>
    <w:qFormat/>
    <w:uiPriority w:val="99"/>
  </w:style>
  <w:style w:type="character" w:styleId="47">
    <w:name w:val="HTML Keyboard"/>
    <w:unhideWhenUsed/>
    <w:qFormat/>
    <w:uiPriority w:val="99"/>
    <w:rPr>
      <w:rFonts w:hint="default" w:ascii="monospace" w:hAnsi="monospace" w:eastAsia="monospace" w:cs="monospace"/>
      <w:sz w:val="21"/>
      <w:szCs w:val="21"/>
    </w:rPr>
  </w:style>
  <w:style w:type="character" w:styleId="48">
    <w:name w:val="HTML Sample"/>
    <w:unhideWhenUsed/>
    <w:qFormat/>
    <w:uiPriority w:val="99"/>
    <w:rPr>
      <w:rFonts w:ascii="monospace" w:hAnsi="monospace" w:eastAsia="monospace" w:cs="monospace"/>
      <w:sz w:val="21"/>
      <w:szCs w:val="21"/>
    </w:rPr>
  </w:style>
  <w:style w:type="character" w:customStyle="1" w:styleId="49">
    <w:name w:val="标题 3 字符1"/>
    <w:link w:val="4"/>
    <w:qFormat/>
    <w:uiPriority w:val="0"/>
    <w:rPr>
      <w:rFonts w:ascii="仿宋_GB2312" w:hAnsi="仿宋_GB2312" w:eastAsia="仿宋_GB2312" w:cs="仿宋_GB2312"/>
      <w:b/>
      <w:bCs/>
      <w:kern w:val="2"/>
      <w:sz w:val="28"/>
      <w:szCs w:val="28"/>
    </w:rPr>
  </w:style>
  <w:style w:type="character" w:customStyle="1" w:styleId="50">
    <w:name w:val="段 Char Char"/>
    <w:link w:val="6"/>
    <w:qFormat/>
    <w:uiPriority w:val="99"/>
    <w:rPr>
      <w:sz w:val="24"/>
    </w:rPr>
  </w:style>
  <w:style w:type="character" w:customStyle="1" w:styleId="51">
    <w:name w:val="标题 4 字符1"/>
    <w:link w:val="5"/>
    <w:qFormat/>
    <w:uiPriority w:val="0"/>
    <w:rPr>
      <w:rFonts w:ascii="仿宋_GB2312" w:hAnsi="仿宋_GB2312" w:eastAsia="仿宋_GB2312" w:cs="仿宋_GB2312"/>
      <w:b/>
      <w:bCs/>
      <w:sz w:val="28"/>
      <w:szCs w:val="28"/>
    </w:rPr>
  </w:style>
  <w:style w:type="character" w:customStyle="1" w:styleId="52">
    <w:name w:val="标题 5 字符1"/>
    <w:link w:val="7"/>
    <w:qFormat/>
    <w:uiPriority w:val="0"/>
    <w:rPr>
      <w:rFonts w:cs="宋体"/>
      <w:snapToGrid w:val="0"/>
      <w:sz w:val="21"/>
      <w:szCs w:val="21"/>
      <w:lang w:val="en-US" w:eastAsia="zh-CN" w:bidi="ar-SA"/>
    </w:rPr>
  </w:style>
  <w:style w:type="character" w:customStyle="1" w:styleId="53">
    <w:name w:val="ht1"/>
    <w:qFormat/>
    <w:uiPriority w:val="0"/>
    <w:rPr>
      <w:rFonts w:ascii="黑体" w:eastAsia="黑体"/>
      <w:b/>
      <w:bCs/>
    </w:rPr>
  </w:style>
  <w:style w:type="character" w:customStyle="1" w:styleId="54">
    <w:name w:val="批注框文本 字符1"/>
    <w:link w:val="21"/>
    <w:qFormat/>
    <w:uiPriority w:val="0"/>
    <w:rPr>
      <w:kern w:val="2"/>
      <w:sz w:val="18"/>
      <w:szCs w:val="18"/>
    </w:rPr>
  </w:style>
  <w:style w:type="character" w:customStyle="1" w:styleId="55">
    <w:name w:val="zhengwen"/>
    <w:basedOn w:val="37"/>
    <w:qFormat/>
    <w:uiPriority w:val="0"/>
  </w:style>
  <w:style w:type="character" w:customStyle="1" w:styleId="56">
    <w:name w:val="op-map-singlepoint-info-right1"/>
    <w:qFormat/>
    <w:uiPriority w:val="0"/>
    <w:rPr>
      <w:rFonts w:cs="Times New Roman"/>
    </w:rPr>
  </w:style>
  <w:style w:type="character" w:customStyle="1" w:styleId="57">
    <w:name w:val="页脚 字符1"/>
    <w:link w:val="22"/>
    <w:qFormat/>
    <w:uiPriority w:val="99"/>
    <w:rPr>
      <w:kern w:val="2"/>
      <w:sz w:val="18"/>
      <w:szCs w:val="18"/>
    </w:rPr>
  </w:style>
  <w:style w:type="character" w:customStyle="1" w:styleId="58">
    <w:name w:val="批注文字 字符1"/>
    <w:link w:val="11"/>
    <w:qFormat/>
    <w:uiPriority w:val="0"/>
    <w:rPr>
      <w:kern w:val="2"/>
      <w:sz w:val="21"/>
      <w:szCs w:val="24"/>
    </w:rPr>
  </w:style>
  <w:style w:type="character" w:customStyle="1" w:styleId="59">
    <w:name w:val="纯文本 字符1"/>
    <w:link w:val="17"/>
    <w:qFormat/>
    <w:locked/>
    <w:uiPriority w:val="0"/>
    <w:rPr>
      <w:rFonts w:ascii="宋体" w:hAnsi="Courier New" w:eastAsia="宋体" w:cs="Courier New"/>
      <w:kern w:val="2"/>
      <w:sz w:val="21"/>
      <w:szCs w:val="21"/>
      <w:lang w:val="en-US" w:eastAsia="zh-CN" w:bidi="ar-SA"/>
    </w:rPr>
  </w:style>
  <w:style w:type="character" w:customStyle="1" w:styleId="60">
    <w:name w:val="font01"/>
    <w:qFormat/>
    <w:uiPriority w:val="0"/>
    <w:rPr>
      <w:rFonts w:hint="eastAsia" w:ascii="宋体" w:hAnsi="宋体" w:eastAsia="宋体"/>
      <w:color w:val="000000"/>
      <w:sz w:val="24"/>
      <w:szCs w:val="24"/>
      <w:u w:val="none"/>
    </w:rPr>
  </w:style>
  <w:style w:type="character" w:customStyle="1" w:styleId="61">
    <w:name w:val="文档结构图 字符1"/>
    <w:link w:val="10"/>
    <w:qFormat/>
    <w:uiPriority w:val="99"/>
    <w:rPr>
      <w:rFonts w:ascii="宋体"/>
      <w:kern w:val="2"/>
      <w:sz w:val="18"/>
      <w:szCs w:val="18"/>
    </w:rPr>
  </w:style>
  <w:style w:type="character" w:customStyle="1" w:styleId="62">
    <w:name w:val="gjz1"/>
    <w:qFormat/>
    <w:uiPriority w:val="0"/>
    <w:rPr>
      <w:sz w:val="18"/>
      <w:szCs w:val="18"/>
    </w:rPr>
  </w:style>
  <w:style w:type="character" w:customStyle="1" w:styleId="63">
    <w:name w:val="页眉 字符1"/>
    <w:link w:val="23"/>
    <w:qFormat/>
    <w:uiPriority w:val="0"/>
    <w:rPr>
      <w:kern w:val="2"/>
      <w:sz w:val="18"/>
      <w:szCs w:val="18"/>
    </w:rPr>
  </w:style>
  <w:style w:type="character" w:customStyle="1" w:styleId="64">
    <w:name w:val="kt1"/>
    <w:basedOn w:val="37"/>
    <w:qFormat/>
    <w:uiPriority w:val="0"/>
  </w:style>
  <w:style w:type="character" w:customStyle="1" w:styleId="65">
    <w:name w:val="批注主题 字符1"/>
    <w:link w:val="34"/>
    <w:qFormat/>
    <w:uiPriority w:val="99"/>
    <w:rPr>
      <w:b/>
      <w:bCs/>
      <w:kern w:val="2"/>
      <w:sz w:val="21"/>
      <w:szCs w:val="24"/>
    </w:rPr>
  </w:style>
  <w:style w:type="character" w:customStyle="1" w:styleId="66">
    <w:name w:val="TOC 1 字符"/>
    <w:link w:val="24"/>
    <w:qFormat/>
    <w:uiPriority w:val="39"/>
    <w:rPr>
      <w:rFonts w:ascii="仿宋_GB2312" w:hAnsi="仿宋_GB2312" w:eastAsia="仿宋_GB2312" w:cs="仿宋_GB2312"/>
      <w:b/>
      <w:bCs/>
      <w:caps/>
      <w:kern w:val="2"/>
      <w:sz w:val="28"/>
      <w:szCs w:val="28"/>
    </w:rPr>
  </w:style>
  <w:style w:type="paragraph" w:customStyle="1" w:styleId="67">
    <w:name w:val="列出段落1"/>
    <w:basedOn w:val="1"/>
    <w:qFormat/>
    <w:uiPriority w:val="99"/>
    <w:pPr>
      <w:ind w:firstLine="420"/>
    </w:pPr>
    <w:rPr>
      <w:rFonts w:ascii="Calibri" w:hAnsi="Calibri"/>
      <w:szCs w:val="22"/>
    </w:rPr>
  </w:style>
  <w:style w:type="paragraph" w:customStyle="1" w:styleId="68">
    <w:name w:val="p0"/>
    <w:basedOn w:val="1"/>
    <w:qFormat/>
    <w:uiPriority w:val="99"/>
    <w:pPr>
      <w:widowControl/>
      <w:jc w:val="left"/>
    </w:pPr>
    <w:rPr>
      <w:kern w:val="0"/>
      <w:szCs w:val="21"/>
    </w:rPr>
  </w:style>
  <w:style w:type="paragraph" w:customStyle="1" w:styleId="69">
    <w:name w:val="p15"/>
    <w:basedOn w:val="1"/>
    <w:qFormat/>
    <w:uiPriority w:val="99"/>
    <w:pPr>
      <w:widowControl/>
    </w:pPr>
    <w:rPr>
      <w:rFonts w:ascii="宋体" w:hAnsi="宋体" w:cs="宋体"/>
      <w:kern w:val="0"/>
      <w:szCs w:val="21"/>
    </w:rPr>
  </w:style>
  <w:style w:type="paragraph" w:customStyle="1" w:styleId="70">
    <w:name w:val="op_mapdots_left"/>
    <w:basedOn w:val="1"/>
    <w:qFormat/>
    <w:uiPriority w:val="99"/>
    <w:pPr>
      <w:widowControl/>
      <w:jc w:val="left"/>
    </w:pPr>
    <w:rPr>
      <w:rFonts w:ascii="宋体" w:hAnsi="宋体" w:cs="宋体"/>
      <w:kern w:val="0"/>
      <w:sz w:val="24"/>
    </w:rPr>
  </w:style>
  <w:style w:type="paragraph" w:customStyle="1" w:styleId="71">
    <w:name w:val="标题（其他）"/>
    <w:basedOn w:val="6"/>
    <w:next w:val="6"/>
    <w:qFormat/>
    <w:uiPriority w:val="99"/>
    <w:pPr>
      <w:spacing w:beforeLines="50" w:afterLines="50"/>
      <w:ind w:firstLine="0" w:firstLineChars="0"/>
    </w:pPr>
    <w:rPr>
      <w:b/>
    </w:rPr>
  </w:style>
  <w:style w:type="paragraph" w:styleId="72">
    <w:name w:val="List Paragraph"/>
    <w:basedOn w:val="1"/>
    <w:qFormat/>
    <w:uiPriority w:val="34"/>
    <w:pPr>
      <w:ind w:firstLine="420"/>
    </w:pPr>
  </w:style>
  <w:style w:type="paragraph" w:customStyle="1" w:styleId="73">
    <w:name w:val="表格正文"/>
    <w:basedOn w:val="1"/>
    <w:link w:val="197"/>
    <w:qFormat/>
    <w:uiPriority w:val="0"/>
    <w:pPr>
      <w:spacing w:line="360" w:lineRule="exact"/>
      <w:jc w:val="center"/>
    </w:pPr>
    <w:rPr>
      <w:rFonts w:cs="Times New Roman"/>
    </w:rPr>
  </w:style>
  <w:style w:type="paragraph" w:customStyle="1" w:styleId="74">
    <w:name w:val="表格（小）"/>
    <w:basedOn w:val="1"/>
    <w:qFormat/>
    <w:uiPriority w:val="99"/>
    <w:rPr>
      <w:kern w:val="0"/>
      <w:sz w:val="18"/>
      <w:szCs w:val="18"/>
    </w:rPr>
  </w:style>
  <w:style w:type="paragraph" w:customStyle="1" w:styleId="75">
    <w:name w:val="标准"/>
    <w:basedOn w:val="6"/>
    <w:qFormat/>
    <w:uiPriority w:val="99"/>
    <w:pPr>
      <w:tabs>
        <w:tab w:val="right" w:pos="8820"/>
      </w:tabs>
    </w:pPr>
  </w:style>
  <w:style w:type="paragraph" w:customStyle="1" w:styleId="76">
    <w:name w:val="表内正文居中"/>
    <w:qFormat/>
    <w:uiPriority w:val="0"/>
    <w:pPr>
      <w:jc w:val="center"/>
    </w:pPr>
    <w:rPr>
      <w:rFonts w:ascii="Calibri" w:hAnsi="Calibri" w:eastAsia="宋体" w:cs="宋体"/>
      <w:snapToGrid w:val="0"/>
      <w:kern w:val="44"/>
      <w:sz w:val="21"/>
      <w:szCs w:val="21"/>
      <w:lang w:val="en-US" w:eastAsia="zh-CN" w:bidi="ar-SA"/>
    </w:rPr>
  </w:style>
  <w:style w:type="paragraph" w:customStyle="1" w:styleId="77">
    <w:name w:val="表格（大）"/>
    <w:basedOn w:val="1"/>
    <w:qFormat/>
    <w:uiPriority w:val="99"/>
    <w:rPr>
      <w:kern w:val="0"/>
      <w:szCs w:val="21"/>
    </w:rPr>
  </w:style>
  <w:style w:type="paragraph" w:customStyle="1" w:styleId="78">
    <w:name w:val="报告正文"/>
    <w:link w:val="79"/>
    <w:qFormat/>
    <w:uiPriority w:val="0"/>
    <w:pPr>
      <w:widowControl w:val="0"/>
      <w:adjustRightInd w:val="0"/>
      <w:snapToGrid w:val="0"/>
      <w:spacing w:line="360" w:lineRule="auto"/>
      <w:ind w:firstLine="560" w:firstLineChars="200"/>
    </w:pPr>
    <w:rPr>
      <w:rFonts w:ascii="Calibri" w:hAnsi="宋体" w:eastAsia="宋体" w:cs="Times New Roman"/>
      <w:bCs/>
      <w:snapToGrid w:val="0"/>
      <w:sz w:val="28"/>
      <w:szCs w:val="28"/>
      <w:lang w:val="en-US" w:eastAsia="zh-CN" w:bidi="ar-SA"/>
    </w:rPr>
  </w:style>
  <w:style w:type="character" w:customStyle="1" w:styleId="79">
    <w:name w:val="报告正文 Char"/>
    <w:link w:val="78"/>
    <w:qFormat/>
    <w:locked/>
    <w:uiPriority w:val="0"/>
    <w:rPr>
      <w:rFonts w:hAnsi="宋体"/>
      <w:bCs/>
      <w:snapToGrid w:val="0"/>
      <w:sz w:val="28"/>
      <w:szCs w:val="28"/>
      <w:lang w:bidi="ar-SA"/>
    </w:rPr>
  </w:style>
  <w:style w:type="paragraph" w:customStyle="1" w:styleId="80">
    <w:name w:val="Char Char Char Char Char Char Char"/>
    <w:basedOn w:val="1"/>
    <w:qFormat/>
    <w:uiPriority w:val="0"/>
    <w:rPr>
      <w:rFonts w:ascii="宋体" w:hAnsi="宋体" w:cs="宋体"/>
      <w:sz w:val="24"/>
    </w:rPr>
  </w:style>
  <w:style w:type="character" w:customStyle="1" w:styleId="81">
    <w:name w:val="正文文本 (24)_"/>
    <w:link w:val="82"/>
    <w:qFormat/>
    <w:uiPriority w:val="0"/>
    <w:rPr>
      <w:rFonts w:ascii="MingLiU" w:hAnsi="MingLiU" w:eastAsia="MingLiU" w:cs="MingLiU"/>
      <w:b/>
      <w:bCs/>
      <w:spacing w:val="10"/>
      <w:sz w:val="13"/>
      <w:szCs w:val="13"/>
      <w:shd w:val="clear" w:color="auto" w:fill="FFFFFF"/>
    </w:rPr>
  </w:style>
  <w:style w:type="paragraph" w:customStyle="1" w:styleId="82">
    <w:name w:val="正文文本 (24)"/>
    <w:basedOn w:val="1"/>
    <w:link w:val="81"/>
    <w:qFormat/>
    <w:uiPriority w:val="0"/>
    <w:pPr>
      <w:shd w:val="clear" w:color="auto" w:fill="FFFFFF"/>
      <w:spacing w:line="314" w:lineRule="exact"/>
      <w:ind w:hanging="160" w:firstLineChars="0"/>
      <w:jc w:val="distribute"/>
    </w:pPr>
    <w:rPr>
      <w:rFonts w:ascii="MingLiU" w:hAnsi="MingLiU" w:eastAsia="MingLiU" w:cs="Times New Roman"/>
      <w:b/>
      <w:bCs/>
      <w:spacing w:val="10"/>
      <w:kern w:val="0"/>
      <w:sz w:val="13"/>
      <w:szCs w:val="13"/>
    </w:rPr>
  </w:style>
  <w:style w:type="character" w:customStyle="1" w:styleId="83">
    <w:name w:val="正文文本 (3)_"/>
    <w:uiPriority w:val="0"/>
    <w:rPr>
      <w:rFonts w:ascii="MingLiU" w:hAnsi="MingLiU" w:eastAsia="MingLiU" w:cs="MingLiU"/>
      <w:spacing w:val="10"/>
      <w:sz w:val="13"/>
      <w:szCs w:val="13"/>
      <w:u w:val="none"/>
    </w:rPr>
  </w:style>
  <w:style w:type="character" w:customStyle="1" w:styleId="84">
    <w:name w:val="正文文本 (3)"/>
    <w:qFormat/>
    <w:uiPriority w:val="0"/>
    <w:rPr>
      <w:rFonts w:ascii="MingLiU" w:hAnsi="MingLiU" w:eastAsia="MingLiU" w:cs="MingLiU"/>
      <w:color w:val="000000"/>
      <w:spacing w:val="10"/>
      <w:w w:val="100"/>
      <w:position w:val="0"/>
      <w:sz w:val="13"/>
      <w:szCs w:val="13"/>
      <w:u w:val="none"/>
      <w:lang w:val="zh-TW" w:eastAsia="zh-TW" w:bidi="zh-TW"/>
    </w:rPr>
  </w:style>
  <w:style w:type="paragraph" w:customStyle="1" w:styleId="85">
    <w:name w:val="图"/>
    <w:basedOn w:val="1"/>
    <w:link w:val="86"/>
    <w:qFormat/>
    <w:uiPriority w:val="0"/>
    <w:pPr>
      <w:ind w:firstLine="0" w:firstLineChars="0"/>
      <w:jc w:val="center"/>
    </w:pPr>
    <w:rPr>
      <w:rFonts w:ascii="宋体" w:hAnsi="宋体" w:eastAsia="宋体" w:cs="Times New Roman"/>
      <w:sz w:val="24"/>
      <w:szCs w:val="24"/>
    </w:rPr>
  </w:style>
  <w:style w:type="character" w:customStyle="1" w:styleId="86">
    <w:name w:val="图 Char"/>
    <w:link w:val="85"/>
    <w:uiPriority w:val="0"/>
    <w:rPr>
      <w:rFonts w:ascii="宋体" w:hAnsi="宋体" w:cs="宋体"/>
      <w:kern w:val="2"/>
      <w:sz w:val="24"/>
      <w:szCs w:val="24"/>
    </w:rPr>
  </w:style>
  <w:style w:type="paragraph" w:customStyle="1" w:styleId="87">
    <w:name w:val="图表标题"/>
    <w:basedOn w:val="85"/>
    <w:link w:val="88"/>
    <w:qFormat/>
    <w:uiPriority w:val="0"/>
    <w:pPr>
      <w:spacing w:before="100" w:after="100" w:line="240" w:lineRule="auto"/>
    </w:pPr>
    <w:rPr>
      <w:rFonts w:ascii="仿宋_GB2312" w:hAnsi="仿宋_GB2312" w:eastAsia="仿宋_GB2312"/>
      <w:sz w:val="28"/>
      <w:szCs w:val="28"/>
    </w:rPr>
  </w:style>
  <w:style w:type="character" w:customStyle="1" w:styleId="88">
    <w:name w:val="图表标题 Char"/>
    <w:link w:val="87"/>
    <w:uiPriority w:val="0"/>
    <w:rPr>
      <w:rFonts w:ascii="仿宋_GB2312" w:hAnsi="仿宋_GB2312" w:eastAsia="仿宋_GB2312" w:cs="仿宋_GB2312"/>
      <w:kern w:val="2"/>
      <w:sz w:val="28"/>
      <w:szCs w:val="28"/>
    </w:rPr>
  </w:style>
  <w:style w:type="paragraph" w:customStyle="1" w:styleId="89">
    <w:name w:val="表格"/>
    <w:basedOn w:val="1"/>
    <w:link w:val="90"/>
    <w:qFormat/>
    <w:uiPriority w:val="0"/>
    <w:pPr>
      <w:spacing w:line="240" w:lineRule="auto"/>
      <w:ind w:firstLine="0" w:firstLineChars="0"/>
    </w:pPr>
    <w:rPr>
      <w:rFonts w:cs="Times New Roman"/>
      <w:sz w:val="24"/>
    </w:rPr>
  </w:style>
  <w:style w:type="character" w:customStyle="1" w:styleId="90">
    <w:name w:val="表格 Char"/>
    <w:link w:val="89"/>
    <w:qFormat/>
    <w:uiPriority w:val="0"/>
    <w:rPr>
      <w:rFonts w:ascii="仿宋_GB2312" w:hAnsi="仿宋_GB2312" w:eastAsia="仿宋_GB2312" w:cs="仿宋_GB2312"/>
      <w:kern w:val="2"/>
      <w:sz w:val="24"/>
      <w:szCs w:val="28"/>
    </w:rPr>
  </w:style>
  <w:style w:type="character" w:customStyle="1" w:styleId="91">
    <w:name w:val="不明显参考1"/>
    <w:uiPriority w:val="31"/>
    <w:rPr>
      <w:smallCaps/>
      <w:color w:val="C0504D"/>
      <w:u w:val="single"/>
    </w:rPr>
  </w:style>
  <w:style w:type="paragraph" w:customStyle="1" w:styleId="92">
    <w:name w:val="间隔"/>
    <w:basedOn w:val="87"/>
    <w:link w:val="93"/>
    <w:qFormat/>
    <w:uiPriority w:val="0"/>
    <w:pPr>
      <w:spacing w:line="240" w:lineRule="exact"/>
    </w:pPr>
    <w:rPr>
      <w:sz w:val="21"/>
    </w:rPr>
  </w:style>
  <w:style w:type="character" w:customStyle="1" w:styleId="93">
    <w:name w:val="间隔 Char"/>
    <w:link w:val="92"/>
    <w:uiPriority w:val="0"/>
    <w:rPr>
      <w:rFonts w:ascii="仿宋_GB2312" w:hAnsi="仿宋_GB2312" w:eastAsia="仿宋_GB2312" w:cs="仿宋_GB2312"/>
      <w:kern w:val="2"/>
      <w:sz w:val="21"/>
      <w:szCs w:val="28"/>
    </w:rPr>
  </w:style>
  <w:style w:type="character" w:customStyle="1" w:styleId="94">
    <w:name w:val="标题 字符1"/>
    <w:link w:val="33"/>
    <w:uiPriority w:val="0"/>
    <w:rPr>
      <w:rFonts w:ascii="Cambria" w:hAnsi="Cambria" w:cs="Times New Roman"/>
      <w:b/>
      <w:bCs/>
      <w:kern w:val="2"/>
      <w:sz w:val="32"/>
      <w:szCs w:val="32"/>
    </w:rPr>
  </w:style>
  <w:style w:type="character" w:customStyle="1" w:styleId="95">
    <w:name w:val="正文文本 (2) + Georgia"/>
    <w:qFormat/>
    <w:uiPriority w:val="0"/>
    <w:rPr>
      <w:rFonts w:ascii="Georgia" w:hAnsi="Georgia" w:eastAsia="Georgia" w:cs="Georgia"/>
      <w:color w:val="000000"/>
      <w:spacing w:val="0"/>
      <w:w w:val="100"/>
      <w:kern w:val="2"/>
      <w:position w:val="0"/>
      <w:sz w:val="22"/>
      <w:szCs w:val="22"/>
      <w:u w:val="none"/>
      <w:shd w:val="clear" w:color="auto" w:fill="FFFFFF"/>
      <w:lang w:val="en-US" w:eastAsia="en-US" w:bidi="en-US"/>
    </w:rPr>
  </w:style>
  <w:style w:type="character" w:customStyle="1" w:styleId="96">
    <w:name w:val="正文文本 (35) + 7 pt"/>
    <w:uiPriority w:val="0"/>
    <w:rPr>
      <w:rFonts w:ascii="宋体" w:hAnsi="宋体" w:eastAsia="宋体" w:cs="宋体"/>
      <w:b/>
      <w:bCs/>
      <w:color w:val="000000"/>
      <w:spacing w:val="0"/>
      <w:w w:val="100"/>
      <w:position w:val="0"/>
      <w:sz w:val="14"/>
      <w:szCs w:val="14"/>
      <w:shd w:val="clear" w:color="auto" w:fill="FFFFFF"/>
      <w:lang w:val="zh-TW" w:eastAsia="zh-TW" w:bidi="zh-TW"/>
    </w:rPr>
  </w:style>
  <w:style w:type="paragraph" w:customStyle="1" w:styleId="97">
    <w:name w:val="封面1"/>
    <w:basedOn w:val="1"/>
    <w:link w:val="98"/>
    <w:qFormat/>
    <w:uiPriority w:val="0"/>
    <w:pPr>
      <w:ind w:firstLine="0" w:firstLineChars="0"/>
      <w:jc w:val="center"/>
    </w:pPr>
    <w:rPr>
      <w:rFonts w:ascii="仿宋" w:hAnsi="仿宋" w:eastAsia="仿宋" w:cs="Times New Roman"/>
      <w:b/>
      <w:color w:val="000000"/>
      <w:sz w:val="52"/>
      <w:szCs w:val="52"/>
    </w:rPr>
  </w:style>
  <w:style w:type="character" w:customStyle="1" w:styleId="98">
    <w:name w:val="封面1 Char"/>
    <w:link w:val="97"/>
    <w:uiPriority w:val="0"/>
    <w:rPr>
      <w:rFonts w:ascii="仿宋" w:hAnsi="仿宋" w:eastAsia="仿宋" w:cs="仿宋"/>
      <w:b/>
      <w:color w:val="000000"/>
      <w:kern w:val="2"/>
      <w:sz w:val="52"/>
      <w:szCs w:val="52"/>
    </w:rPr>
  </w:style>
  <w:style w:type="paragraph" w:customStyle="1" w:styleId="99">
    <w:name w:val="封面2"/>
    <w:basedOn w:val="1"/>
    <w:link w:val="100"/>
    <w:qFormat/>
    <w:uiPriority w:val="0"/>
    <w:pPr>
      <w:ind w:firstLine="0" w:firstLineChars="0"/>
      <w:jc w:val="center"/>
    </w:pPr>
    <w:rPr>
      <w:rFonts w:ascii="仿宋" w:hAnsi="仿宋" w:eastAsia="仿宋" w:cs="Times New Roman"/>
      <w:b/>
      <w:sz w:val="36"/>
      <w:szCs w:val="44"/>
    </w:rPr>
  </w:style>
  <w:style w:type="character" w:customStyle="1" w:styleId="100">
    <w:name w:val="封面2 Char"/>
    <w:link w:val="99"/>
    <w:qFormat/>
    <w:uiPriority w:val="0"/>
    <w:rPr>
      <w:rFonts w:ascii="仿宋" w:hAnsi="仿宋" w:eastAsia="仿宋" w:cs="仿宋"/>
      <w:b/>
      <w:kern w:val="2"/>
      <w:sz w:val="36"/>
      <w:szCs w:val="44"/>
    </w:rPr>
  </w:style>
  <w:style w:type="paragraph" w:customStyle="1" w:styleId="101">
    <w:name w:val="封面3"/>
    <w:basedOn w:val="24"/>
    <w:link w:val="102"/>
    <w:uiPriority w:val="0"/>
    <w:pPr>
      <w:spacing w:beforeLines="50" w:afterLines="50"/>
      <w:ind w:firstLine="0" w:firstLineChars="0"/>
    </w:pPr>
    <w:rPr>
      <w:rFonts w:ascii="楷体" w:hAnsi="楷体" w:eastAsia="楷体"/>
      <w:sz w:val="36"/>
      <w:szCs w:val="36"/>
    </w:rPr>
  </w:style>
  <w:style w:type="character" w:customStyle="1" w:styleId="102">
    <w:name w:val="封面3 Char"/>
    <w:link w:val="101"/>
    <w:uiPriority w:val="0"/>
    <w:rPr>
      <w:rFonts w:ascii="楷体" w:hAnsi="楷体" w:eastAsia="楷体" w:cs="楷体"/>
      <w:b/>
      <w:bCs/>
      <w:caps/>
      <w:kern w:val="2"/>
      <w:sz w:val="36"/>
      <w:szCs w:val="36"/>
    </w:rPr>
  </w:style>
  <w:style w:type="paragraph" w:customStyle="1" w:styleId="103">
    <w:name w:val="发布1"/>
    <w:basedOn w:val="1"/>
    <w:link w:val="104"/>
    <w:uiPriority w:val="0"/>
    <w:pPr>
      <w:snapToGrid w:val="0"/>
      <w:spacing w:afterLines="50"/>
      <w:ind w:firstLine="0" w:firstLineChars="0"/>
      <w:jc w:val="center"/>
    </w:pPr>
    <w:rPr>
      <w:rFonts w:ascii="宋体" w:hAnsi="宋体" w:eastAsia="宋体" w:cs="Times New Roman"/>
      <w:b/>
      <w:bCs/>
      <w:sz w:val="36"/>
      <w:szCs w:val="44"/>
    </w:rPr>
  </w:style>
  <w:style w:type="character" w:customStyle="1" w:styleId="104">
    <w:name w:val="发布1 Char"/>
    <w:link w:val="103"/>
    <w:uiPriority w:val="0"/>
    <w:rPr>
      <w:rFonts w:ascii="宋体" w:hAnsi="宋体" w:cs="宋体"/>
      <w:b/>
      <w:bCs/>
      <w:kern w:val="2"/>
      <w:sz w:val="36"/>
      <w:szCs w:val="44"/>
    </w:rPr>
  </w:style>
  <w:style w:type="paragraph" w:customStyle="1" w:styleId="105">
    <w:name w:val="发布2"/>
    <w:basedOn w:val="1"/>
    <w:link w:val="106"/>
    <w:qFormat/>
    <w:uiPriority w:val="0"/>
    <w:pPr>
      <w:ind w:firstLine="560"/>
    </w:pPr>
    <w:rPr>
      <w:rFonts w:ascii="宋体" w:hAnsi="宋体" w:eastAsia="宋体" w:cs="Times New Roman"/>
    </w:rPr>
  </w:style>
  <w:style w:type="character" w:customStyle="1" w:styleId="106">
    <w:name w:val="发布2 Char"/>
    <w:link w:val="105"/>
    <w:uiPriority w:val="0"/>
    <w:rPr>
      <w:rFonts w:ascii="宋体" w:hAnsi="宋体" w:cs="宋体"/>
      <w:kern w:val="2"/>
      <w:sz w:val="28"/>
      <w:szCs w:val="28"/>
    </w:rPr>
  </w:style>
  <w:style w:type="paragraph" w:customStyle="1" w:styleId="107">
    <w:name w:val="正文标题"/>
    <w:basedOn w:val="1"/>
    <w:link w:val="108"/>
    <w:uiPriority w:val="0"/>
    <w:pPr>
      <w:snapToGrid w:val="0"/>
      <w:ind w:firstLine="0" w:firstLineChars="0"/>
      <w:jc w:val="center"/>
    </w:pPr>
    <w:rPr>
      <w:rFonts w:ascii="宋体" w:hAnsi="宋体" w:eastAsia="宋体" w:cs="Times New Roman"/>
      <w:b/>
      <w:bCs/>
      <w:sz w:val="36"/>
      <w:szCs w:val="18"/>
    </w:rPr>
  </w:style>
  <w:style w:type="character" w:customStyle="1" w:styleId="108">
    <w:name w:val="正文标题 Char"/>
    <w:link w:val="107"/>
    <w:uiPriority w:val="0"/>
    <w:rPr>
      <w:rFonts w:ascii="宋体" w:hAnsi="宋体" w:cs="宋体"/>
      <w:b/>
      <w:bCs/>
      <w:kern w:val="2"/>
      <w:sz w:val="36"/>
      <w:szCs w:val="18"/>
    </w:rPr>
  </w:style>
  <w:style w:type="character" w:customStyle="1" w:styleId="109">
    <w:name w:val="正文文本 (6) Exact"/>
    <w:uiPriority w:val="10"/>
    <w:rPr>
      <w:rFonts w:ascii="宋体" w:hAnsi="宋体" w:eastAsia="宋体" w:cs="宋体"/>
      <w:spacing w:val="20"/>
      <w:sz w:val="26"/>
      <w:szCs w:val="26"/>
      <w:u w:val="none"/>
    </w:rPr>
  </w:style>
  <w:style w:type="table" w:customStyle="1" w:styleId="110">
    <w:name w:val="网格型1"/>
    <w:basedOn w:val="35"/>
    <w:qFormat/>
    <w:uiPriority w:val="59"/>
    <w:rPr>
      <w:rFonts w:ascii="等线" w:hAnsi="等线" w:eastAsia="等线"/>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1">
    <w:name w:val="正文文本 (2) Exact"/>
    <w:uiPriority w:val="10"/>
    <w:rPr>
      <w:rFonts w:ascii="宋体" w:hAnsi="宋体" w:eastAsia="宋体" w:cs="宋体"/>
      <w:sz w:val="26"/>
      <w:szCs w:val="26"/>
      <w:u w:val="none"/>
      <w:lang w:val="en-US" w:eastAsia="en-US" w:bidi="en-US"/>
    </w:rPr>
  </w:style>
  <w:style w:type="table" w:customStyle="1" w:styleId="112">
    <w:name w:val="网格型2"/>
    <w:basedOn w:val="35"/>
    <w:qFormat/>
    <w:uiPriority w:val="59"/>
    <w:rPr>
      <w:rFonts w:ascii="等线" w:hAnsi="等线" w:eastAsia="等线"/>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3">
    <w:name w:val="正文文本 (2)_"/>
    <w:link w:val="114"/>
    <w:qFormat/>
    <w:uiPriority w:val="0"/>
    <w:rPr>
      <w:rFonts w:ascii="宋体" w:hAnsi="宋体" w:cs="宋体"/>
      <w:sz w:val="26"/>
      <w:szCs w:val="26"/>
      <w:shd w:val="clear" w:color="auto" w:fill="FFFFFF"/>
    </w:rPr>
  </w:style>
  <w:style w:type="paragraph" w:customStyle="1" w:styleId="114">
    <w:name w:val="正文文本 (2)"/>
    <w:basedOn w:val="1"/>
    <w:link w:val="113"/>
    <w:uiPriority w:val="0"/>
    <w:pPr>
      <w:shd w:val="clear" w:color="auto" w:fill="FFFFFF"/>
      <w:spacing w:line="612" w:lineRule="exact"/>
      <w:ind w:firstLine="0" w:firstLineChars="0"/>
      <w:jc w:val="left"/>
    </w:pPr>
    <w:rPr>
      <w:rFonts w:ascii="宋体" w:hAnsi="宋体" w:eastAsia="宋体" w:cs="Times New Roman"/>
      <w:kern w:val="0"/>
      <w:sz w:val="26"/>
      <w:szCs w:val="26"/>
    </w:rPr>
  </w:style>
  <w:style w:type="paragraph" w:customStyle="1" w:styleId="115">
    <w:name w:val="封面4"/>
    <w:basedOn w:val="1"/>
    <w:link w:val="117"/>
    <w:qFormat/>
    <w:uiPriority w:val="0"/>
    <w:pPr>
      <w:spacing w:line="480" w:lineRule="exact"/>
      <w:ind w:right="442" w:firstLine="4216" w:firstLineChars="1400"/>
    </w:pPr>
    <w:rPr>
      <w:rFonts w:hAnsi="Times New Roman" w:cs="Times New Roman"/>
      <w:b/>
      <w:sz w:val="30"/>
      <w:szCs w:val="30"/>
    </w:rPr>
  </w:style>
  <w:style w:type="paragraph" w:customStyle="1" w:styleId="116">
    <w:name w:val="发布令1"/>
    <w:basedOn w:val="1"/>
    <w:link w:val="119"/>
    <w:uiPriority w:val="0"/>
    <w:pPr>
      <w:spacing w:line="480" w:lineRule="auto"/>
      <w:ind w:firstLine="0" w:firstLineChars="0"/>
      <w:jc w:val="center"/>
    </w:pPr>
    <w:rPr>
      <w:rFonts w:ascii="宋体" w:hAnsi="宋体" w:eastAsia="仿宋" w:cs="Times New Roman"/>
      <w:b/>
      <w:bCs/>
      <w:color w:val="000000"/>
      <w:sz w:val="48"/>
      <w:szCs w:val="48"/>
    </w:rPr>
  </w:style>
  <w:style w:type="character" w:customStyle="1" w:styleId="117">
    <w:name w:val="封面4 Char"/>
    <w:link w:val="115"/>
    <w:uiPriority w:val="0"/>
    <w:rPr>
      <w:rFonts w:ascii="仿宋_GB2312" w:hAnsi="Times New Roman" w:eastAsia="仿宋_GB2312"/>
      <w:b/>
      <w:kern w:val="2"/>
      <w:sz w:val="30"/>
      <w:szCs w:val="30"/>
    </w:rPr>
  </w:style>
  <w:style w:type="paragraph" w:customStyle="1" w:styleId="118">
    <w:name w:val="发布令2"/>
    <w:basedOn w:val="1"/>
    <w:link w:val="120"/>
    <w:qFormat/>
    <w:uiPriority w:val="0"/>
    <w:pPr>
      <w:ind w:firstLine="640"/>
    </w:pPr>
    <w:rPr>
      <w:rFonts w:cs="Times New Roman"/>
      <w:sz w:val="32"/>
      <w:szCs w:val="32"/>
    </w:rPr>
  </w:style>
  <w:style w:type="character" w:customStyle="1" w:styleId="119">
    <w:name w:val="发布令1 Char"/>
    <w:link w:val="116"/>
    <w:uiPriority w:val="0"/>
    <w:rPr>
      <w:rFonts w:ascii="宋体" w:hAnsi="宋体" w:eastAsia="仿宋" w:cs="宋体"/>
      <w:b/>
      <w:bCs/>
      <w:color w:val="000000"/>
      <w:kern w:val="2"/>
      <w:sz w:val="48"/>
      <w:szCs w:val="48"/>
    </w:rPr>
  </w:style>
  <w:style w:type="character" w:customStyle="1" w:styleId="120">
    <w:name w:val="发布令2 Char"/>
    <w:link w:val="118"/>
    <w:uiPriority w:val="0"/>
    <w:rPr>
      <w:rFonts w:ascii="仿宋_GB2312" w:hAnsi="仿宋_GB2312" w:eastAsia="仿宋_GB2312" w:cs="仿宋_GB2312"/>
      <w:kern w:val="2"/>
      <w:sz w:val="32"/>
      <w:szCs w:val="32"/>
    </w:rPr>
  </w:style>
  <w:style w:type="character" w:customStyle="1" w:styleId="121">
    <w:name w:val="副标题 字符"/>
    <w:link w:val="26"/>
    <w:uiPriority w:val="11"/>
    <w:rPr>
      <w:rFonts w:ascii="Times New Roman" w:hAnsi="Times New Roman" w:eastAsia="仿宋"/>
      <w:b/>
      <w:bCs/>
      <w:kern w:val="44"/>
      <w:sz w:val="24"/>
      <w:szCs w:val="24"/>
    </w:rPr>
  </w:style>
  <w:style w:type="paragraph" w:customStyle="1" w:styleId="122">
    <w:name w:val="表格内容"/>
    <w:basedOn w:val="1"/>
    <w:link w:val="198"/>
    <w:qFormat/>
    <w:uiPriority w:val="0"/>
    <w:pPr>
      <w:spacing w:before="100" w:beforeAutospacing="1" w:after="100" w:afterAutospacing="1" w:line="240" w:lineRule="auto"/>
      <w:ind w:firstLine="0" w:firstLineChars="0"/>
      <w:jc w:val="center"/>
    </w:pPr>
    <w:rPr>
      <w:rFonts w:ascii="黑体" w:hAnsi="黑体" w:eastAsia="宋体" w:cs="Times New Roman"/>
      <w:color w:val="3D3D3D"/>
      <w:sz w:val="21"/>
    </w:rPr>
  </w:style>
  <w:style w:type="character" w:customStyle="1" w:styleId="123">
    <w:name w:val="标题 1 字符"/>
    <w:link w:val="2"/>
    <w:qFormat/>
    <w:uiPriority w:val="0"/>
    <w:rPr>
      <w:rFonts w:ascii="宋体" w:hAnsi="宋体" w:eastAsia="仿宋_GB2312" w:cs="宋体"/>
      <w:b/>
      <w:bCs/>
      <w:kern w:val="44"/>
      <w:sz w:val="32"/>
      <w:szCs w:val="32"/>
    </w:rPr>
  </w:style>
  <w:style w:type="character" w:customStyle="1" w:styleId="124">
    <w:name w:val="标题 2 字符"/>
    <w:link w:val="3"/>
    <w:qFormat/>
    <w:uiPriority w:val="0"/>
    <w:rPr>
      <w:rFonts w:ascii="宋体" w:hAnsi="宋体" w:eastAsia="仿宋_GB2312" w:cs="宋体"/>
      <w:b/>
      <w:bCs/>
      <w:kern w:val="2"/>
      <w:sz w:val="30"/>
      <w:szCs w:val="30"/>
    </w:rPr>
  </w:style>
  <w:style w:type="character" w:customStyle="1" w:styleId="125">
    <w:name w:val="标题 3 字符"/>
    <w:uiPriority w:val="0"/>
    <w:rPr>
      <w:b/>
      <w:bCs/>
      <w:sz w:val="28"/>
      <w:szCs w:val="32"/>
    </w:rPr>
  </w:style>
  <w:style w:type="paragraph" w:customStyle="1" w:styleId="126">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27">
    <w:name w:val="标题 4 字符"/>
    <w:uiPriority w:val="0"/>
    <w:rPr>
      <w:rFonts w:ascii="Cambria" w:hAnsi="Cambria" w:eastAsia="宋体" w:cs="Times New Roman"/>
      <w:b/>
      <w:bCs/>
      <w:sz w:val="28"/>
      <w:szCs w:val="28"/>
    </w:rPr>
  </w:style>
  <w:style w:type="character" w:customStyle="1" w:styleId="128">
    <w:name w:val="标题 5 字符"/>
    <w:uiPriority w:val="0"/>
    <w:rPr>
      <w:b/>
      <w:bCs/>
      <w:sz w:val="24"/>
      <w:szCs w:val="28"/>
    </w:rPr>
  </w:style>
  <w:style w:type="character" w:customStyle="1" w:styleId="129">
    <w:name w:val="标题 字符"/>
    <w:uiPriority w:val="10"/>
    <w:rPr>
      <w:rFonts w:ascii="Cambria" w:hAnsi="Cambria" w:eastAsia="宋体" w:cs="Times New Roman"/>
      <w:b/>
      <w:bCs/>
      <w:sz w:val="52"/>
      <w:szCs w:val="32"/>
    </w:rPr>
  </w:style>
  <w:style w:type="character" w:customStyle="1" w:styleId="130">
    <w:name w:val="批注框文本 字符"/>
    <w:uiPriority w:val="99"/>
    <w:rPr>
      <w:sz w:val="18"/>
      <w:szCs w:val="18"/>
    </w:rPr>
  </w:style>
  <w:style w:type="character" w:customStyle="1" w:styleId="131">
    <w:name w:val="页眉 字符"/>
    <w:uiPriority w:val="99"/>
    <w:rPr>
      <w:sz w:val="18"/>
      <w:szCs w:val="18"/>
    </w:rPr>
  </w:style>
  <w:style w:type="character" w:customStyle="1" w:styleId="132">
    <w:name w:val="页脚 字符"/>
    <w:uiPriority w:val="99"/>
    <w:rPr>
      <w:sz w:val="18"/>
      <w:szCs w:val="18"/>
    </w:rPr>
  </w:style>
  <w:style w:type="character" w:customStyle="1" w:styleId="133">
    <w:name w:val="文档结构图 字符"/>
    <w:uiPriority w:val="99"/>
    <w:rPr>
      <w:rFonts w:ascii="宋体" w:eastAsia="宋体"/>
      <w:sz w:val="18"/>
      <w:szCs w:val="18"/>
    </w:rPr>
  </w:style>
  <w:style w:type="character" w:customStyle="1" w:styleId="134">
    <w:name w:val="正文文本 字符"/>
    <w:uiPriority w:val="0"/>
    <w:rPr>
      <w:rFonts w:ascii="Times New Roman" w:hAnsi="Times New Roman" w:eastAsia="文星仿宋" w:cs="Times New Roman"/>
      <w:sz w:val="32"/>
      <w:szCs w:val="24"/>
    </w:rPr>
  </w:style>
  <w:style w:type="paragraph" w:customStyle="1" w:styleId="135">
    <w:name w:val="正文1"/>
    <w:basedOn w:val="1"/>
    <w:link w:val="136"/>
    <w:uiPriority w:val="99"/>
    <w:pPr>
      <w:ind w:firstLine="0" w:firstLineChars="0"/>
      <w:jc w:val="center"/>
    </w:pPr>
    <w:rPr>
      <w:rFonts w:ascii="Calibri" w:hAnsi="Calibri" w:eastAsia="宋体" w:cs="Times New Roman"/>
      <w:szCs w:val="22"/>
    </w:rPr>
  </w:style>
  <w:style w:type="character" w:customStyle="1" w:styleId="136">
    <w:name w:val="正文1 Char"/>
    <w:link w:val="135"/>
    <w:uiPriority w:val="99"/>
    <w:rPr>
      <w:kern w:val="2"/>
      <w:sz w:val="28"/>
      <w:szCs w:val="22"/>
    </w:rPr>
  </w:style>
  <w:style w:type="character" w:customStyle="1" w:styleId="137">
    <w:name w:val="批注文字 字符"/>
    <w:uiPriority w:val="99"/>
    <w:rPr>
      <w:sz w:val="28"/>
    </w:rPr>
  </w:style>
  <w:style w:type="character" w:customStyle="1" w:styleId="138">
    <w:name w:val="批注主题 字符"/>
    <w:uiPriority w:val="99"/>
    <w:rPr>
      <w:b/>
      <w:bCs/>
      <w:sz w:val="28"/>
      <w:szCs w:val="24"/>
    </w:rPr>
  </w:style>
  <w:style w:type="paragraph" w:customStyle="1" w:styleId="139">
    <w:name w:val="正文文本首行缩进1"/>
    <w:basedOn w:val="13"/>
    <w:link w:val="141"/>
    <w:uiPriority w:val="99"/>
    <w:pPr>
      <w:spacing w:after="120" w:line="480" w:lineRule="exact"/>
      <w:ind w:firstLine="420" w:firstLineChars="100"/>
    </w:pPr>
    <w:rPr>
      <w:rFonts w:eastAsia="仿宋"/>
      <w:szCs w:val="24"/>
    </w:rPr>
  </w:style>
  <w:style w:type="character" w:customStyle="1" w:styleId="140">
    <w:name w:val="正文文本 字符1"/>
    <w:link w:val="13"/>
    <w:uiPriority w:val="0"/>
    <w:rPr>
      <w:rFonts w:ascii="仿宋_GB2312" w:hAnsi="仿宋_GB2312" w:eastAsia="仿宋_GB2312" w:cs="仿宋_GB2312"/>
      <w:kern w:val="2"/>
      <w:sz w:val="28"/>
      <w:szCs w:val="28"/>
    </w:rPr>
  </w:style>
  <w:style w:type="character" w:customStyle="1" w:styleId="141">
    <w:name w:val="正文文本首行缩进 字符"/>
    <w:link w:val="139"/>
    <w:qFormat/>
    <w:uiPriority w:val="99"/>
    <w:rPr>
      <w:rFonts w:ascii="仿宋_GB2312" w:hAnsi="仿宋_GB2312" w:eastAsia="仿宋" w:cs="仿宋_GB2312"/>
      <w:kern w:val="2"/>
      <w:sz w:val="28"/>
      <w:szCs w:val="24"/>
    </w:rPr>
  </w:style>
  <w:style w:type="character" w:customStyle="1" w:styleId="142">
    <w:name w:val="正文文本 3 字符"/>
    <w:link w:val="12"/>
    <w:qFormat/>
    <w:uiPriority w:val="99"/>
    <w:rPr>
      <w:rFonts w:ascii="黑体" w:hAnsi="宋体" w:eastAsia="黑体" w:cs="仿宋_GB2312"/>
      <w:b/>
      <w:bCs/>
      <w:kern w:val="2"/>
      <w:sz w:val="44"/>
      <w:szCs w:val="21"/>
    </w:rPr>
  </w:style>
  <w:style w:type="character" w:customStyle="1" w:styleId="143">
    <w:name w:val="正文文本缩进 字符"/>
    <w:uiPriority w:val="99"/>
    <w:rPr>
      <w:rFonts w:ascii="Times New Roman" w:hAnsi="Times New Roman" w:eastAsia="仿宋" w:cs="Times New Roman"/>
      <w:sz w:val="28"/>
      <w:szCs w:val="24"/>
    </w:rPr>
  </w:style>
  <w:style w:type="character" w:customStyle="1" w:styleId="144">
    <w:name w:val="纯文本 字符"/>
    <w:qFormat/>
    <w:uiPriority w:val="99"/>
    <w:rPr>
      <w:rFonts w:ascii="宋体" w:hAnsi="Courier New" w:eastAsia="仿宋" w:cs="Times New Roman"/>
      <w:sz w:val="28"/>
      <w:szCs w:val="21"/>
    </w:rPr>
  </w:style>
  <w:style w:type="character" w:customStyle="1" w:styleId="145">
    <w:name w:val="日期 字符"/>
    <w:link w:val="19"/>
    <w:qFormat/>
    <w:uiPriority w:val="99"/>
    <w:rPr>
      <w:rFonts w:ascii="宋体" w:hAnsi="宋体" w:eastAsia="仿宋_GB2312" w:cs="仿宋_GB2312"/>
      <w:kern w:val="2"/>
      <w:sz w:val="32"/>
      <w:szCs w:val="30"/>
    </w:rPr>
  </w:style>
  <w:style w:type="character" w:customStyle="1" w:styleId="146">
    <w:name w:val="正文文本缩进 2 字符"/>
    <w:link w:val="20"/>
    <w:qFormat/>
    <w:uiPriority w:val="99"/>
    <w:rPr>
      <w:rFonts w:ascii="宋体" w:hAnsi="宋体" w:eastAsia="仿宋_GB2312" w:cs="仿宋_GB2312"/>
      <w:color w:val="FF0000"/>
      <w:kern w:val="2"/>
      <w:sz w:val="32"/>
      <w:szCs w:val="22"/>
    </w:rPr>
  </w:style>
  <w:style w:type="paragraph" w:customStyle="1" w:styleId="147">
    <w:name w:val="正文文本首行缩进 21"/>
    <w:basedOn w:val="14"/>
    <w:link w:val="149"/>
    <w:uiPriority w:val="99"/>
    <w:pPr>
      <w:spacing w:after="120" w:line="480" w:lineRule="exact"/>
      <w:ind w:left="420" w:leftChars="200"/>
    </w:pPr>
    <w:rPr>
      <w:rFonts w:ascii="Times New Roman" w:hAnsi="Times New Roman" w:eastAsia="仿宋"/>
      <w:szCs w:val="24"/>
    </w:rPr>
  </w:style>
  <w:style w:type="character" w:customStyle="1" w:styleId="148">
    <w:name w:val="正文文本缩进 字符1"/>
    <w:link w:val="14"/>
    <w:uiPriority w:val="99"/>
    <w:rPr>
      <w:rFonts w:ascii="宋体" w:hAnsi="宋体" w:eastAsia="仿宋_GB2312" w:cs="仿宋_GB2312"/>
      <w:kern w:val="2"/>
      <w:sz w:val="28"/>
      <w:szCs w:val="28"/>
    </w:rPr>
  </w:style>
  <w:style w:type="character" w:customStyle="1" w:styleId="149">
    <w:name w:val="正文文本首行缩进 2 字符"/>
    <w:link w:val="147"/>
    <w:qFormat/>
    <w:uiPriority w:val="99"/>
    <w:rPr>
      <w:rFonts w:ascii="Times New Roman" w:hAnsi="Times New Roman" w:eastAsia="仿宋" w:cs="仿宋_GB2312"/>
      <w:kern w:val="2"/>
      <w:sz w:val="28"/>
      <w:szCs w:val="24"/>
    </w:rPr>
  </w:style>
  <w:style w:type="character" w:customStyle="1" w:styleId="150">
    <w:name w:val="正文文本缩进 3 字符"/>
    <w:link w:val="28"/>
    <w:qFormat/>
    <w:uiPriority w:val="99"/>
    <w:rPr>
      <w:rFonts w:ascii="宋体" w:hAnsi="宋体" w:eastAsia="仿宋_GB2312" w:cs="仿宋_GB2312"/>
      <w:color w:val="FF0000"/>
      <w:spacing w:val="15"/>
      <w:sz w:val="32"/>
      <w:szCs w:val="21"/>
    </w:rPr>
  </w:style>
  <w:style w:type="character" w:customStyle="1" w:styleId="151">
    <w:name w:val="正文文本 2 字符"/>
    <w:link w:val="31"/>
    <w:qFormat/>
    <w:uiPriority w:val="99"/>
    <w:rPr>
      <w:rFonts w:ascii="华文隶书" w:hAnsi="仿宋_GB2312" w:eastAsia="华文隶书" w:cs="仿宋_GB2312"/>
      <w:b/>
      <w:kern w:val="2"/>
      <w:sz w:val="52"/>
      <w:szCs w:val="52"/>
    </w:rPr>
  </w:style>
  <w:style w:type="character" w:customStyle="1" w:styleId="152">
    <w:name w:val="样式 四号"/>
    <w:uiPriority w:val="0"/>
    <w:rPr>
      <w:rFonts w:eastAsia="Times New Roman"/>
      <w:sz w:val="28"/>
    </w:rPr>
  </w:style>
  <w:style w:type="character" w:customStyle="1" w:styleId="153">
    <w:name w:val="样式 王标题1- 2 + 仿宋_GB2312 四号 Char"/>
    <w:link w:val="154"/>
    <w:qFormat/>
    <w:uiPriority w:val="0"/>
    <w:rPr>
      <w:rFonts w:ascii="仿宋_GB2312" w:hAnsi="仿宋_GB2312" w:eastAsia="仿宋_GB2312"/>
      <w:b/>
      <w:bCs/>
      <w:sz w:val="28"/>
      <w:szCs w:val="32"/>
    </w:rPr>
  </w:style>
  <w:style w:type="paragraph" w:customStyle="1" w:styleId="154">
    <w:name w:val="样式 王标题1- 2 + 仿宋_GB2312 四号"/>
    <w:basedOn w:val="3"/>
    <w:link w:val="153"/>
    <w:uiPriority w:val="0"/>
    <w:pPr>
      <w:spacing w:before="0" w:after="0" w:line="480" w:lineRule="exact"/>
      <w:ind w:firstLine="200" w:firstLineChars="200"/>
    </w:pPr>
    <w:rPr>
      <w:rFonts w:ascii="仿宋_GB2312" w:hAnsi="仿宋_GB2312"/>
      <w:kern w:val="0"/>
      <w:sz w:val="28"/>
      <w:szCs w:val="32"/>
    </w:rPr>
  </w:style>
  <w:style w:type="character" w:customStyle="1" w:styleId="155">
    <w:name w:val="样式4 Char"/>
    <w:link w:val="156"/>
    <w:qFormat/>
    <w:uiPriority w:val="0"/>
  </w:style>
  <w:style w:type="paragraph" w:customStyle="1" w:styleId="156">
    <w:name w:val="样式4"/>
    <w:basedOn w:val="154"/>
    <w:link w:val="155"/>
    <w:uiPriority w:val="0"/>
    <w:rPr>
      <w:rFonts w:ascii="Calibri" w:hAnsi="Calibri" w:eastAsia="宋体"/>
      <w:b w:val="0"/>
      <w:bCs w:val="0"/>
      <w:sz w:val="20"/>
      <w:szCs w:val="20"/>
    </w:rPr>
  </w:style>
  <w:style w:type="character" w:customStyle="1" w:styleId="157">
    <w:name w:val="样式6 Char"/>
    <w:link w:val="158"/>
    <w:qFormat/>
    <w:uiPriority w:val="0"/>
    <w:rPr>
      <w:rFonts w:ascii="仿宋_GB2312" w:hAnsi="仿宋_GB2312" w:eastAsia="仿宋_GB2312"/>
      <w:b/>
      <w:bCs/>
      <w:sz w:val="28"/>
      <w:szCs w:val="32"/>
    </w:rPr>
  </w:style>
  <w:style w:type="paragraph" w:customStyle="1" w:styleId="158">
    <w:name w:val="样式6"/>
    <w:basedOn w:val="156"/>
    <w:link w:val="157"/>
    <w:uiPriority w:val="0"/>
    <w:rPr>
      <w:rFonts w:ascii="仿宋_GB2312" w:hAnsi="仿宋_GB2312" w:eastAsia="仿宋_GB2312"/>
      <w:b/>
      <w:bCs/>
      <w:sz w:val="28"/>
      <w:szCs w:val="32"/>
    </w:rPr>
  </w:style>
  <w:style w:type="character" w:customStyle="1" w:styleId="159">
    <w:name w:val="Char Char"/>
    <w:uiPriority w:val="0"/>
    <w:rPr>
      <w:rFonts w:eastAsia="宋体"/>
      <w:kern w:val="2"/>
      <w:sz w:val="21"/>
      <w:szCs w:val="24"/>
      <w:lang w:val="en-US" w:eastAsia="zh-CN" w:bidi="ar-SA"/>
    </w:rPr>
  </w:style>
  <w:style w:type="character" w:customStyle="1" w:styleId="160">
    <w:name w:val="TOC 2 字符"/>
    <w:link w:val="29"/>
    <w:qFormat/>
    <w:uiPriority w:val="39"/>
    <w:rPr>
      <w:rFonts w:ascii="仿宋_GB2312" w:hAnsi="仿宋_GB2312" w:eastAsia="仿宋_GB2312" w:cs="仿宋_GB2312"/>
      <w:bCs/>
      <w:kern w:val="2"/>
      <w:sz w:val="28"/>
      <w:szCs w:val="28"/>
    </w:rPr>
  </w:style>
  <w:style w:type="character" w:customStyle="1" w:styleId="161">
    <w:name w:val="正文文本 Char1"/>
    <w:semiHidden/>
    <w:qFormat/>
    <w:uiPriority w:val="99"/>
    <w:rPr>
      <w:rFonts w:ascii="Times New Roman" w:hAnsi="Times New Roman" w:eastAsia="宋体" w:cs="Times New Roman"/>
      <w:szCs w:val="24"/>
    </w:rPr>
  </w:style>
  <w:style w:type="character" w:customStyle="1" w:styleId="162">
    <w:name w:val="apple-converted-space"/>
    <w:uiPriority w:val="0"/>
  </w:style>
  <w:style w:type="character" w:customStyle="1" w:styleId="163">
    <w:name w:val="样式 样式6 + Char"/>
    <w:link w:val="164"/>
    <w:qFormat/>
    <w:uiPriority w:val="0"/>
  </w:style>
  <w:style w:type="paragraph" w:customStyle="1" w:styleId="164">
    <w:name w:val="样式 样式6 +"/>
    <w:basedOn w:val="158"/>
    <w:link w:val="163"/>
    <w:uiPriority w:val="0"/>
    <w:pPr>
      <w:spacing w:line="240" w:lineRule="auto"/>
    </w:pPr>
    <w:rPr>
      <w:rFonts w:ascii="Calibri" w:hAnsi="Calibri" w:eastAsia="宋体"/>
      <w:b w:val="0"/>
      <w:bCs w:val="0"/>
      <w:sz w:val="20"/>
      <w:szCs w:val="20"/>
    </w:rPr>
  </w:style>
  <w:style w:type="paragraph" w:customStyle="1" w:styleId="165">
    <w:name w:val="样式1"/>
    <w:basedOn w:val="154"/>
    <w:uiPriority w:val="99"/>
    <w:pPr>
      <w:spacing w:before="140" w:after="140"/>
    </w:pPr>
  </w:style>
  <w:style w:type="paragraph" w:customStyle="1" w:styleId="166">
    <w:name w:val="目录1"/>
    <w:basedOn w:val="1"/>
    <w:next w:val="1"/>
    <w:uiPriority w:val="99"/>
    <w:pPr>
      <w:widowControl/>
      <w:tabs>
        <w:tab w:val="left" w:leader="dot" w:pos="8503"/>
      </w:tabs>
      <w:spacing w:after="102" w:line="215" w:lineRule="atLeast"/>
      <w:ind w:firstLine="419"/>
      <w:jc w:val="left"/>
      <w:textAlignment w:val="baseline"/>
    </w:pPr>
    <w:rPr>
      <w:rFonts w:ascii="Times New Roman" w:hAnsi="Times New Roman" w:eastAsia="仿宋" w:cs="Times New Roman"/>
      <w:color w:val="000000"/>
      <w:kern w:val="0"/>
      <w:szCs w:val="20"/>
      <w:u w:color="000000"/>
    </w:rPr>
  </w:style>
  <w:style w:type="paragraph" w:customStyle="1" w:styleId="167">
    <w:name w:val="一级条标题"/>
    <w:basedOn w:val="168"/>
    <w:next w:val="1"/>
    <w:uiPriority w:val="99"/>
    <w:pPr>
      <w:numPr>
        <w:ilvl w:val="2"/>
      </w:numPr>
      <w:tabs>
        <w:tab w:val="left" w:pos="1380"/>
      </w:tabs>
      <w:spacing w:beforeLines="0" w:afterLines="0"/>
      <w:outlineLvl w:val="2"/>
    </w:pPr>
  </w:style>
  <w:style w:type="paragraph" w:customStyle="1" w:styleId="168">
    <w:name w:val="章标题"/>
    <w:next w:val="1"/>
    <w:uiPriority w:val="99"/>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69">
    <w:name w:val="Char"/>
    <w:basedOn w:val="1"/>
    <w:uiPriority w:val="0"/>
    <w:pPr>
      <w:spacing w:line="480" w:lineRule="exact"/>
    </w:pPr>
    <w:rPr>
      <w:rFonts w:ascii="Times New Roman" w:hAnsi="Times New Roman" w:eastAsia="仿宋" w:cs="Times New Roman"/>
      <w:szCs w:val="24"/>
    </w:rPr>
  </w:style>
  <w:style w:type="paragraph" w:customStyle="1" w:styleId="170">
    <w:name w:val="样式3"/>
    <w:basedOn w:val="154"/>
    <w:uiPriority w:val="99"/>
    <w:pPr>
      <w:spacing w:before="20" w:after="20"/>
    </w:pPr>
  </w:style>
  <w:style w:type="paragraph" w:customStyle="1" w:styleId="171">
    <w:name w:val="Char1"/>
    <w:basedOn w:val="1"/>
    <w:uiPriority w:val="0"/>
    <w:pPr>
      <w:spacing w:line="480" w:lineRule="exact"/>
    </w:pPr>
    <w:rPr>
      <w:rFonts w:ascii="Times New Roman" w:hAnsi="Times New Roman" w:eastAsia="仿宋" w:cs="Times New Roman"/>
      <w:szCs w:val="24"/>
    </w:rPr>
  </w:style>
  <w:style w:type="paragraph" w:customStyle="1" w:styleId="172">
    <w:name w:val="WPS Plain"/>
    <w:uiPriority w:val="99"/>
    <w:pPr>
      <w:spacing w:line="425" w:lineRule="atLeast"/>
      <w:jc w:val="both"/>
      <w:textAlignment w:val="baseline"/>
    </w:pPr>
    <w:rPr>
      <w:rFonts w:ascii="Times New Roman" w:hAnsi="Times New Roman" w:eastAsia="宋体" w:cs="Times New Roman"/>
      <w:color w:val="000000"/>
      <w:sz w:val="21"/>
      <w:u w:color="000000"/>
      <w:lang w:val="en-US" w:eastAsia="zh-CN" w:bidi="ar-SA"/>
    </w:rPr>
  </w:style>
  <w:style w:type="paragraph" w:customStyle="1" w:styleId="173">
    <w:name w:val="样式2"/>
    <w:basedOn w:val="154"/>
    <w:uiPriority w:val="99"/>
    <w:pPr>
      <w:spacing w:before="20" w:after="20"/>
    </w:pPr>
  </w:style>
  <w:style w:type="paragraph" w:customStyle="1" w:styleId="174">
    <w:name w:val="reader-word-layer reader-word-s1-10"/>
    <w:basedOn w:val="1"/>
    <w:uiPriority w:val="99"/>
    <w:pPr>
      <w:widowControl/>
      <w:spacing w:before="100" w:beforeAutospacing="1" w:after="100" w:afterAutospacing="1" w:line="480" w:lineRule="exact"/>
      <w:jc w:val="left"/>
    </w:pPr>
    <w:rPr>
      <w:rFonts w:ascii="宋体" w:hAnsi="宋体" w:eastAsia="仿宋" w:cs="宋体"/>
      <w:kern w:val="0"/>
      <w:sz w:val="24"/>
      <w:szCs w:val="24"/>
    </w:rPr>
  </w:style>
  <w:style w:type="paragraph" w:customStyle="1" w:styleId="175">
    <w:name w:val="Char2"/>
    <w:basedOn w:val="10"/>
    <w:uiPriority w:val="0"/>
    <w:pPr>
      <w:shd w:val="clear" w:color="auto" w:fill="000080"/>
      <w:ind w:firstLine="480"/>
    </w:pPr>
    <w:rPr>
      <w:rFonts w:ascii="Tahoma" w:hAnsi="Tahoma" w:eastAsia="仿宋"/>
      <w:sz w:val="24"/>
      <w:szCs w:val="21"/>
    </w:rPr>
  </w:style>
  <w:style w:type="paragraph" w:customStyle="1" w:styleId="176">
    <w:name w:val="样式5"/>
    <w:basedOn w:val="156"/>
    <w:uiPriority w:val="99"/>
    <w:pPr>
      <w:spacing w:before="20" w:after="20"/>
    </w:pPr>
  </w:style>
  <w:style w:type="paragraph" w:customStyle="1" w:styleId="177">
    <w:name w:val="Char11"/>
    <w:basedOn w:val="1"/>
    <w:uiPriority w:val="0"/>
    <w:pPr>
      <w:spacing w:line="480" w:lineRule="exact"/>
    </w:pPr>
    <w:rPr>
      <w:rFonts w:ascii="Times New Roman" w:hAnsi="Times New Roman" w:eastAsia="仿宋" w:cs="Times New Roman"/>
      <w:szCs w:val="24"/>
    </w:rPr>
  </w:style>
  <w:style w:type="paragraph" w:customStyle="1" w:styleId="178">
    <w:name w:val="样式7"/>
    <w:basedOn w:val="158"/>
    <w:uiPriority w:val="99"/>
    <w:pPr>
      <w:spacing w:before="140" w:after="140" w:line="240" w:lineRule="auto"/>
    </w:pPr>
  </w:style>
  <w:style w:type="paragraph" w:customStyle="1" w:styleId="179">
    <w:name w:val="普通文字"/>
    <w:basedOn w:val="1"/>
    <w:uiPriority w:val="99"/>
    <w:pPr>
      <w:widowControl/>
      <w:spacing w:line="351" w:lineRule="atLeast"/>
      <w:ind w:firstLine="419"/>
      <w:textAlignment w:val="baseline"/>
    </w:pPr>
    <w:rPr>
      <w:rFonts w:ascii="宋体" w:hAnsi="Times New Roman" w:eastAsia="仿宋" w:cs="Times New Roman"/>
      <w:color w:val="000000"/>
      <w:kern w:val="0"/>
      <w:szCs w:val="20"/>
      <w:u w:color="000000"/>
    </w:rPr>
  </w:style>
  <w:style w:type="paragraph" w:customStyle="1" w:styleId="180">
    <w:name w:val="小节标题"/>
    <w:basedOn w:val="1"/>
    <w:next w:val="1"/>
    <w:uiPriority w:val="99"/>
    <w:pPr>
      <w:widowControl/>
      <w:spacing w:before="175" w:after="102" w:line="351" w:lineRule="atLeast"/>
      <w:textAlignment w:val="baseline"/>
    </w:pPr>
    <w:rPr>
      <w:rFonts w:ascii="Times New Roman" w:hAnsi="Times New Roman" w:eastAsia="黑体" w:cs="Times New Roman"/>
      <w:color w:val="000000"/>
      <w:kern w:val="0"/>
      <w:szCs w:val="20"/>
      <w:u w:color="000000"/>
    </w:rPr>
  </w:style>
  <w:style w:type="paragraph" w:customStyle="1" w:styleId="181">
    <w:name w:val="二级条标题"/>
    <w:basedOn w:val="167"/>
    <w:next w:val="1"/>
    <w:uiPriority w:val="99"/>
    <w:pPr>
      <w:numPr>
        <w:ilvl w:val="3"/>
      </w:numPr>
      <w:outlineLvl w:val="3"/>
    </w:pPr>
  </w:style>
  <w:style w:type="paragraph" w:customStyle="1" w:styleId="182">
    <w:name w:val="reader-word-layer"/>
    <w:basedOn w:val="1"/>
    <w:uiPriority w:val="99"/>
    <w:pPr>
      <w:widowControl/>
      <w:spacing w:before="100" w:beforeAutospacing="1" w:after="100" w:afterAutospacing="1" w:line="480" w:lineRule="exact"/>
      <w:jc w:val="left"/>
    </w:pPr>
    <w:rPr>
      <w:rFonts w:ascii="宋体" w:hAnsi="宋体" w:eastAsia="仿宋" w:cs="宋体"/>
      <w:kern w:val="0"/>
      <w:sz w:val="24"/>
      <w:szCs w:val="24"/>
    </w:rPr>
  </w:style>
  <w:style w:type="character" w:customStyle="1" w:styleId="183">
    <w:name w:val="样式 宋体 小四"/>
    <w:uiPriority w:val="99"/>
    <w:rPr>
      <w:rFonts w:ascii="宋体" w:hAnsi="宋体" w:eastAsia="宋体" w:cs="宋体"/>
      <w:sz w:val="24"/>
      <w:szCs w:val="24"/>
    </w:rPr>
  </w:style>
  <w:style w:type="paragraph" w:customStyle="1" w:styleId="184">
    <w:name w:val="0"/>
    <w:basedOn w:val="1"/>
    <w:uiPriority w:val="99"/>
    <w:pPr>
      <w:widowControl/>
      <w:snapToGrid w:val="0"/>
      <w:spacing w:line="480" w:lineRule="exact"/>
    </w:pPr>
    <w:rPr>
      <w:rFonts w:ascii="Times New Roman" w:hAnsi="Times New Roman" w:eastAsia="仿宋" w:cs="Times New Roman"/>
      <w:kern w:val="0"/>
      <w:szCs w:val="21"/>
    </w:rPr>
  </w:style>
  <w:style w:type="paragraph" w:customStyle="1" w:styleId="185">
    <w:name w:val="列出段落111"/>
    <w:basedOn w:val="1"/>
    <w:uiPriority w:val="99"/>
    <w:pPr>
      <w:spacing w:line="480" w:lineRule="exact"/>
      <w:ind w:firstLine="420"/>
    </w:pPr>
    <w:rPr>
      <w:rFonts w:ascii="Times New Roman" w:hAnsi="Times New Roman" w:eastAsia="仿宋" w:cs="Times New Roman"/>
      <w:szCs w:val="24"/>
    </w:rPr>
  </w:style>
  <w:style w:type="paragraph" w:customStyle="1" w:styleId="186">
    <w:name w:val="列出段落11"/>
    <w:basedOn w:val="1"/>
    <w:uiPriority w:val="99"/>
    <w:pPr>
      <w:spacing w:line="480" w:lineRule="exact"/>
      <w:ind w:firstLine="420"/>
    </w:pPr>
    <w:rPr>
      <w:rFonts w:ascii="Times New Roman" w:hAnsi="Times New Roman" w:eastAsia="仿宋" w:cs="Times New Roman"/>
      <w:szCs w:val="24"/>
    </w:rPr>
  </w:style>
  <w:style w:type="character" w:customStyle="1" w:styleId="187">
    <w:name w:val="ask-title2"/>
    <w:uiPriority w:val="0"/>
  </w:style>
  <w:style w:type="character" w:customStyle="1" w:styleId="188">
    <w:name w:val="批注主题 Char1"/>
    <w:uiPriority w:val="99"/>
    <w:rPr>
      <w:rFonts w:ascii="Times New Roman" w:hAnsi="Times New Roman" w:eastAsia="宋体" w:cs="Times New Roman"/>
      <w:b/>
      <w:bCs/>
      <w:sz w:val="28"/>
      <w:szCs w:val="24"/>
    </w:rPr>
  </w:style>
  <w:style w:type="character" w:customStyle="1" w:styleId="189">
    <w:name w:val="Char Char1"/>
    <w:uiPriority w:val="0"/>
    <w:rPr>
      <w:rFonts w:hint="eastAsia" w:ascii="宋体" w:hAnsi="宋体" w:eastAsia="宋体"/>
      <w:kern w:val="2"/>
      <w:sz w:val="21"/>
      <w:szCs w:val="24"/>
      <w:lang w:val="en-US" w:eastAsia="zh-CN" w:bidi="ar-SA"/>
    </w:rPr>
  </w:style>
  <w:style w:type="paragraph" w:customStyle="1" w:styleId="190">
    <w:name w:val="custom_unionstyle"/>
    <w:basedOn w:val="1"/>
    <w:uiPriority w:val="0"/>
    <w:pPr>
      <w:widowControl/>
      <w:spacing w:before="100" w:beforeAutospacing="1" w:after="100" w:afterAutospacing="1" w:line="480" w:lineRule="exact"/>
      <w:jc w:val="left"/>
    </w:pPr>
    <w:rPr>
      <w:rFonts w:ascii="宋体" w:hAnsi="宋体" w:eastAsia="仿宋" w:cs="宋体"/>
      <w:kern w:val="0"/>
      <w:sz w:val="24"/>
      <w:szCs w:val="24"/>
    </w:rPr>
  </w:style>
  <w:style w:type="paragraph" w:customStyle="1" w:styleId="19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2">
    <w:name w:val="hover5"/>
    <w:uiPriority w:val="0"/>
    <w:rPr>
      <w:color w:val="FF9700"/>
    </w:rPr>
  </w:style>
  <w:style w:type="character" w:customStyle="1" w:styleId="193">
    <w:name w:val="hover4"/>
    <w:uiPriority w:val="0"/>
    <w:rPr>
      <w:color w:val="FF9700"/>
    </w:rPr>
  </w:style>
  <w:style w:type="character" w:customStyle="1" w:styleId="194">
    <w:name w:val="hover"/>
    <w:uiPriority w:val="0"/>
    <w:rPr>
      <w:color w:val="FF9700"/>
    </w:rPr>
  </w:style>
  <w:style w:type="paragraph" w:customStyle="1" w:styleId="195">
    <w:name w:val="TOC 标题1"/>
    <w:basedOn w:val="2"/>
    <w:next w:val="1"/>
    <w:semiHidden/>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196">
    <w:name w:val="_Style 2"/>
    <w:basedOn w:val="1"/>
    <w:uiPriority w:val="0"/>
    <w:pPr>
      <w:spacing w:line="240" w:lineRule="auto"/>
      <w:ind w:firstLine="0" w:firstLineChars="0"/>
    </w:pPr>
    <w:rPr>
      <w:rFonts w:ascii="Times New Roman" w:hAnsi="Times New Roman" w:eastAsia="宋体" w:cs="Times New Roman"/>
      <w:sz w:val="21"/>
      <w:szCs w:val="24"/>
    </w:rPr>
  </w:style>
  <w:style w:type="character" w:customStyle="1" w:styleId="197">
    <w:name w:val="表格正文 Char"/>
    <w:link w:val="73"/>
    <w:qFormat/>
    <w:uiPriority w:val="0"/>
    <w:rPr>
      <w:rFonts w:ascii="仿宋_GB2312" w:hAnsi="仿宋_GB2312" w:eastAsia="仿宋_GB2312" w:cs="仿宋_GB2312"/>
      <w:kern w:val="2"/>
      <w:sz w:val="28"/>
      <w:szCs w:val="28"/>
    </w:rPr>
  </w:style>
  <w:style w:type="character" w:customStyle="1" w:styleId="198">
    <w:name w:val="表格内容 Char"/>
    <w:link w:val="122"/>
    <w:qFormat/>
    <w:uiPriority w:val="0"/>
    <w:rPr>
      <w:rFonts w:ascii="黑体" w:hAnsi="黑体" w:cs="宋体"/>
      <w:color w:val="3D3D3D"/>
      <w:kern w:val="2"/>
      <w:sz w:val="21"/>
      <w:szCs w:val="28"/>
    </w:rPr>
  </w:style>
  <w:style w:type="paragraph" w:customStyle="1" w:styleId="199">
    <w:name w:val="标题2"/>
    <w:basedOn w:val="3"/>
    <w:next w:val="1"/>
    <w:link w:val="200"/>
    <w:qFormat/>
    <w:uiPriority w:val="0"/>
    <w:pPr>
      <w:spacing w:before="0" w:after="0" w:line="240" w:lineRule="auto"/>
      <w:ind w:firstLine="200" w:firstLineChars="200"/>
    </w:pPr>
    <w:rPr>
      <w:rFonts w:ascii="楷体_GB2312" w:hAnsi="等线 Light" w:eastAsia="楷体_GB2312"/>
      <w:sz w:val="32"/>
      <w:szCs w:val="32"/>
    </w:rPr>
  </w:style>
  <w:style w:type="character" w:customStyle="1" w:styleId="200">
    <w:name w:val="标题2 字符"/>
    <w:link w:val="199"/>
    <w:uiPriority w:val="0"/>
    <w:rPr>
      <w:rFonts w:ascii="楷体_GB2312" w:hAnsi="等线 Light" w:eastAsia="楷体_GB2312"/>
      <w:b/>
      <w:bCs/>
      <w:kern w:val="2"/>
      <w:sz w:val="32"/>
      <w:szCs w:val="32"/>
    </w:rPr>
  </w:style>
  <w:style w:type="table" w:customStyle="1" w:styleId="201">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02">
    <w:name w:val="Table Paragraph"/>
    <w:basedOn w:val="1"/>
    <w:uiPriority w:val="1"/>
    <w:pPr>
      <w:spacing w:line="240" w:lineRule="auto"/>
      <w:ind w:firstLine="0" w:firstLineChars="0"/>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27E2D8-58AB-499E-AA26-C0CDD7EC894F}">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Pages>
  <Words>5690</Words>
  <Characters>32435</Characters>
  <Lines>270</Lines>
  <Paragraphs>76</Paragraphs>
  <TotalTime>0</TotalTime>
  <ScaleCrop>false</ScaleCrop>
  <LinksUpToDate>false</LinksUpToDate>
  <CharactersWithSpaces>38049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保税区预案</cp:category>
  <dcterms:created xsi:type="dcterms:W3CDTF">2020-06-10T09:12:00Z</dcterms:created>
  <dc:creator>JINHUI</dc:creator>
  <cp:keywords>天津港保税区 天津空港物流加工区重大生产安全事故应急救援预案</cp:keywords>
  <cp:lastModifiedBy>张过过～</cp:lastModifiedBy>
  <cp:lastPrinted>2020-07-17T02:28:00Z</cp:lastPrinted>
  <dcterms:modified xsi:type="dcterms:W3CDTF">2021-01-07T08:10:04Z</dcterms:modified>
  <dc:subject>天津港保税区 天津空港物流加工区重大生产安全事故应急救援预案</dc:subject>
  <dc:title>天津港保税区 天津空港物流加工区重大生产安全事故应急救援预案</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