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textAlignment w:val="baseline"/>
        <w:rPr>
          <w:rFonts w:ascii="黑体" w:hAnsi="Times New Roman" w:eastAsia="黑体" w:cs="Times New Roman"/>
          <w:w w:val="95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w w:val="95"/>
          <w:kern w:val="0"/>
          <w:sz w:val="32"/>
          <w:szCs w:val="32"/>
        </w:rPr>
        <w:t>附件1</w:t>
      </w:r>
    </w:p>
    <w:p>
      <w:pPr>
        <w:adjustRightInd w:val="0"/>
        <w:spacing w:line="600" w:lineRule="exact"/>
        <w:textAlignment w:val="baseline"/>
        <w:rPr>
          <w:rFonts w:ascii="黑体" w:hAnsi="Times New Roman" w:eastAsia="黑体" w:cs="Times New Roman"/>
          <w:w w:val="95"/>
          <w:kern w:val="0"/>
          <w:sz w:val="44"/>
          <w:szCs w:val="44"/>
        </w:rPr>
      </w:pPr>
    </w:p>
    <w:p>
      <w:pPr>
        <w:adjustRightInd w:val="0"/>
        <w:spacing w:line="600" w:lineRule="exact"/>
        <w:textAlignment w:val="baseline"/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天津市滨海物流加工区管理委员会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  <w:t>20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  <w:t>年</w:t>
      </w:r>
    </w:p>
    <w:p>
      <w:pPr>
        <w:adjustRightInd w:val="0"/>
        <w:spacing w:line="600" w:lineRule="exact"/>
        <w:ind w:firstLine="2508" w:firstLineChars="600"/>
        <w:textAlignment w:val="baseline"/>
        <w:rPr>
          <w:rFonts w:ascii="黑体" w:hAnsi="Times New Roman" w:eastAsia="黑体" w:cs="Times New Roman"/>
          <w:w w:val="95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  <w:t>部门预算编制说明</w:t>
      </w:r>
    </w:p>
    <w:p>
      <w:pPr>
        <w:adjustRightInd w:val="0"/>
        <w:spacing w:line="600" w:lineRule="exact"/>
        <w:jc w:val="left"/>
        <w:textAlignment w:val="baseline"/>
        <w:rPr>
          <w:rFonts w:ascii="黑体" w:hAnsi="Times New Roman" w:eastAsia="黑体" w:cs="Times New Roman"/>
          <w:kern w:val="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（一）制订、实施园区有关管理规定；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（二）研究制订并组织实施园区总体发展规划和年度计划；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（三）管理园区各项基础和公共设施；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（四）负责园区项目的引进、认定和审核；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（五）协助区有关部门审核园区内建设单位规划、设计方案、作好园区土地管理工作；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（六）监督、管理园区企事业单位并提供各项服务。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天津市滨海物流加工区管理委员会</w:t>
      </w:r>
      <w:r>
        <w:rPr>
          <w:rFonts w:eastAsia="仿宋_GB2312"/>
          <w:sz w:val="30"/>
          <w:szCs w:val="30"/>
        </w:rPr>
        <w:t>内设</w:t>
      </w:r>
      <w:r>
        <w:rPr>
          <w:rFonts w:hint="eastAsia" w:eastAsia="仿宋_GB2312"/>
          <w:sz w:val="30"/>
          <w:szCs w:val="30"/>
          <w:lang w:val="en-US" w:eastAsia="zh-CN"/>
        </w:rPr>
        <w:t>6</w:t>
      </w:r>
      <w:r>
        <w:rPr>
          <w:rFonts w:eastAsia="仿宋_GB2312"/>
          <w:sz w:val="30"/>
          <w:szCs w:val="30"/>
        </w:rPr>
        <w:t>个职能处室；下辖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  <w:lang w:val="en-US" w:eastAsia="zh-CN"/>
        </w:rPr>
        <w:t>.年末实有人员8人，其中：在职人员7人，离休0人，退休1人。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hint="eastAsia" w:eastAsia="仿宋_GB2312"/>
          <w:sz w:val="30"/>
          <w:szCs w:val="30"/>
          <w:lang w:val="en-US" w:eastAsia="zh-CN"/>
        </w:rPr>
        <w:t>367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hint="eastAsia" w:eastAsia="仿宋_GB2312"/>
          <w:sz w:val="30"/>
          <w:szCs w:val="30"/>
          <w:lang w:val="en-US" w:eastAsia="zh-CN"/>
        </w:rPr>
        <w:t>133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hint="eastAsia" w:eastAsia="仿宋_GB2312"/>
          <w:sz w:val="30"/>
          <w:szCs w:val="30"/>
          <w:lang w:val="en-US" w:eastAsia="zh-CN"/>
        </w:rPr>
        <w:t>367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eastAsia="仿宋_GB2312"/>
          <w:sz w:val="30"/>
          <w:szCs w:val="30"/>
        </w:rPr>
        <w:t>年预算</w:t>
      </w:r>
      <w:r>
        <w:rPr>
          <w:rFonts w:hint="eastAsia" w:eastAsia="仿宋_GB2312"/>
          <w:sz w:val="30"/>
          <w:szCs w:val="30"/>
          <w:lang w:eastAsia="zh-CN"/>
        </w:rPr>
        <w:t>相比增加</w:t>
      </w:r>
      <w:r>
        <w:rPr>
          <w:rFonts w:hint="eastAsia" w:eastAsia="仿宋_GB2312"/>
          <w:sz w:val="30"/>
          <w:szCs w:val="30"/>
          <w:lang w:val="en-US" w:eastAsia="zh-CN"/>
        </w:rPr>
        <w:t>133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hint="eastAsia" w:eastAsia="仿宋_GB2312"/>
          <w:sz w:val="30"/>
          <w:szCs w:val="30"/>
          <w:lang w:val="en-US" w:eastAsia="zh-CN"/>
        </w:rPr>
        <w:t>367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eastAsia="仿宋_GB2312"/>
          <w:sz w:val="30"/>
          <w:szCs w:val="30"/>
        </w:rPr>
        <w:t>年预算相</w:t>
      </w:r>
      <w:r>
        <w:rPr>
          <w:rFonts w:hint="eastAsia" w:eastAsia="仿宋_GB2312"/>
          <w:sz w:val="30"/>
          <w:szCs w:val="30"/>
          <w:lang w:eastAsia="zh-CN"/>
        </w:rPr>
        <w:t>比增加</w:t>
      </w:r>
      <w:r>
        <w:rPr>
          <w:rFonts w:hint="eastAsia" w:eastAsia="仿宋_GB2312"/>
          <w:sz w:val="30"/>
          <w:szCs w:val="30"/>
          <w:lang w:val="en-US" w:eastAsia="zh-CN"/>
        </w:rPr>
        <w:t>133</w:t>
      </w:r>
      <w:r>
        <w:rPr>
          <w:rFonts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工资福利</w:t>
      </w:r>
      <w:r>
        <w:rPr>
          <w:rFonts w:eastAsia="仿宋_GB2312"/>
          <w:sz w:val="30"/>
          <w:szCs w:val="30"/>
        </w:rPr>
        <w:t>支出</w:t>
      </w:r>
      <w:r>
        <w:rPr>
          <w:rFonts w:hint="eastAsia" w:eastAsia="仿宋_GB2312"/>
          <w:sz w:val="30"/>
          <w:szCs w:val="30"/>
          <w:lang w:val="en-US" w:eastAsia="zh-CN"/>
        </w:rPr>
        <w:t>249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lang w:eastAsia="zh-CN"/>
        </w:rPr>
        <w:t>在职人员基本工资、津贴补贴、住房公积金、养老保险、医疗保险、职业年金等社会保障性支出。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商品服务</w:t>
      </w:r>
      <w:r>
        <w:rPr>
          <w:rFonts w:eastAsia="仿宋_GB2312"/>
          <w:sz w:val="30"/>
          <w:szCs w:val="30"/>
        </w:rPr>
        <w:t>支出</w:t>
      </w:r>
      <w:r>
        <w:rPr>
          <w:rFonts w:hint="eastAsia" w:eastAsia="仿宋_GB2312"/>
          <w:sz w:val="30"/>
          <w:szCs w:val="30"/>
          <w:lang w:val="en-US" w:eastAsia="zh-CN"/>
        </w:rPr>
        <w:t>118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lang w:eastAsia="zh-CN"/>
        </w:rPr>
        <w:t>办公费、电费、水费、邮电费差旅费、委托业务费等支出。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hint="eastAsia" w:eastAsia="仿宋_GB2312"/>
          <w:sz w:val="30"/>
          <w:szCs w:val="30"/>
          <w:lang w:val="en-US" w:eastAsia="zh-CN"/>
        </w:rPr>
        <w:t>118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hint="eastAsia" w:eastAsia="仿宋_GB2312"/>
          <w:sz w:val="30"/>
          <w:szCs w:val="30"/>
          <w:lang w:val="en-US" w:eastAsia="zh-CN"/>
        </w:rPr>
        <w:t>1万元、邮电费3万元、电费3万元、水费1万元、印刷费1万元、差旅费2万元、福利费2万元、委托业务费支出105万元。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  <w:bookmarkStart w:id="0" w:name="_GoBack"/>
      <w:bookmarkEnd w:id="0"/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eastAsia="zh-CN"/>
        </w:rPr>
        <w:t>未</w:t>
      </w:r>
      <w:r>
        <w:rPr>
          <w:rFonts w:eastAsia="仿宋_GB2312"/>
          <w:sz w:val="30"/>
          <w:szCs w:val="30"/>
        </w:rPr>
        <w:t>安排政府采购预算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截至201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9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12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hint="eastAsia" w:eastAsia="仿宋_GB2312"/>
          <w:color w:val="000000"/>
          <w:sz w:val="30"/>
          <w:szCs w:val="30"/>
        </w:rPr>
        <w:t>30</w:t>
      </w:r>
      <w:r>
        <w:rPr>
          <w:rFonts w:eastAsia="仿宋_GB2312"/>
          <w:color w:val="000000"/>
          <w:sz w:val="30"/>
          <w:szCs w:val="30"/>
        </w:rPr>
        <w:t>日，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</w:rPr>
        <w:t>辆，其中：一般公务用车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辆、一般执法执勤用车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辆、特种专业技术用车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辆、</w:t>
      </w:r>
      <w:r>
        <w:rPr>
          <w:rFonts w:eastAsia="仿宋_GB2312"/>
          <w:color w:val="000000"/>
          <w:sz w:val="30"/>
          <w:szCs w:val="30"/>
        </w:rPr>
        <w:t>其他用车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eastAsia="仿宋_GB2312"/>
          <w:sz w:val="30"/>
          <w:szCs w:val="30"/>
        </w:rPr>
        <w:t>其他用车主要包括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。单价50万元以上的通用设备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台（套），单价100万元以上的专用设备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20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1.“本部门20</w:t>
      </w:r>
      <w:r>
        <w:rPr>
          <w:rFonts w:hint="eastAsia" w:eastAsia="楷体_GB2312"/>
          <w:sz w:val="30"/>
          <w:szCs w:val="30"/>
          <w:lang w:val="en-US" w:eastAsia="zh-CN"/>
        </w:rPr>
        <w:t>20</w:t>
      </w:r>
      <w:r>
        <w:rPr>
          <w:rFonts w:hint="eastAsia" w:eastAsia="楷体_GB2312"/>
          <w:sz w:val="30"/>
          <w:szCs w:val="30"/>
        </w:rPr>
        <w:t>年财政拨款政府性基金预算支出预算表为空表”。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2.“本部门20</w:t>
      </w:r>
      <w:r>
        <w:rPr>
          <w:rFonts w:hint="eastAsia" w:eastAsia="楷体_GB2312"/>
          <w:sz w:val="30"/>
          <w:szCs w:val="30"/>
          <w:lang w:val="en-US" w:eastAsia="zh-CN"/>
        </w:rPr>
        <w:t>20</w:t>
      </w:r>
      <w:r>
        <w:rPr>
          <w:rFonts w:hint="eastAsia" w:eastAsia="楷体_GB2312"/>
          <w:sz w:val="30"/>
          <w:szCs w:val="30"/>
        </w:rPr>
        <w:t>年财政拨款项目支出预算表为空表”。</w:t>
      </w:r>
    </w:p>
    <w:p>
      <w:pPr>
        <w:spacing w:line="60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3.“本部门20</w:t>
      </w:r>
      <w:r>
        <w:rPr>
          <w:rFonts w:hint="eastAsia" w:eastAsia="楷体_GB2312"/>
          <w:sz w:val="30"/>
          <w:szCs w:val="30"/>
          <w:lang w:val="en-US" w:eastAsia="zh-CN"/>
        </w:rPr>
        <w:t>20</w:t>
      </w:r>
      <w:r>
        <w:rPr>
          <w:rFonts w:hint="eastAsia" w:eastAsia="楷体_GB2312"/>
          <w:sz w:val="30"/>
          <w:szCs w:val="30"/>
        </w:rPr>
        <w:t>年财政拨款“三公”经费支出预算表为空表”。</w:t>
      </w:r>
    </w:p>
    <w:p>
      <w:pPr>
        <w:spacing w:line="600" w:lineRule="exact"/>
        <w:ind w:firstLine="600" w:firstLineChars="200"/>
        <w:rPr>
          <w:rFonts w:hint="eastAsia" w:eastAsia="楷体_GB2312"/>
          <w:sz w:val="30"/>
          <w:szCs w:val="30"/>
          <w:lang w:val="en-US" w:eastAsia="zh-CN"/>
        </w:rPr>
      </w:pPr>
      <w:r>
        <w:rPr>
          <w:rFonts w:hint="eastAsia" w:eastAsia="楷体_GB2312"/>
          <w:sz w:val="30"/>
          <w:szCs w:val="30"/>
          <w:lang w:val="en-US" w:eastAsia="zh-CN"/>
        </w:rPr>
        <w:t>4.</w:t>
      </w:r>
      <w:r>
        <w:rPr>
          <w:rFonts w:hint="eastAsia" w:eastAsia="楷体_GB2312"/>
          <w:sz w:val="30"/>
          <w:szCs w:val="30"/>
        </w:rPr>
        <w:t>“本部门20</w:t>
      </w:r>
      <w:r>
        <w:rPr>
          <w:rFonts w:hint="eastAsia" w:eastAsia="楷体_GB2312"/>
          <w:sz w:val="30"/>
          <w:szCs w:val="30"/>
          <w:lang w:val="en-US" w:eastAsia="zh-CN"/>
        </w:rPr>
        <w:t>20</w:t>
      </w:r>
      <w:r>
        <w:rPr>
          <w:rFonts w:hint="eastAsia" w:eastAsia="楷体_GB2312"/>
          <w:sz w:val="30"/>
          <w:szCs w:val="30"/>
        </w:rPr>
        <w:t>年财政拨款</w:t>
      </w:r>
      <w:r>
        <w:rPr>
          <w:rFonts w:hint="eastAsia" w:eastAsia="楷体_GB2312"/>
          <w:sz w:val="30"/>
          <w:szCs w:val="30"/>
          <w:lang w:eastAsia="zh-CN"/>
        </w:rPr>
        <w:t>政府采购</w:t>
      </w:r>
      <w:r>
        <w:rPr>
          <w:rFonts w:hint="eastAsia" w:eastAsia="楷体_GB2312"/>
          <w:sz w:val="30"/>
          <w:szCs w:val="30"/>
        </w:rPr>
        <w:t>预算表为空表”。</w:t>
      </w:r>
    </w:p>
    <w:sectPr>
      <w:headerReference r:id="rId3" w:type="default"/>
      <w:footerReference r:id="rId4" w:type="default"/>
      <w:footerReference r:id="rId5" w:type="even"/>
      <w:pgSz w:w="11907" w:h="16840"/>
      <w:pgMar w:top="1985" w:right="1588" w:bottom="1701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4"/>
    <w:rsid w:val="000124B4"/>
    <w:rsid w:val="0012226B"/>
    <w:rsid w:val="00146288"/>
    <w:rsid w:val="0016768A"/>
    <w:rsid w:val="00177894"/>
    <w:rsid w:val="001C6249"/>
    <w:rsid w:val="001E4658"/>
    <w:rsid w:val="00280F94"/>
    <w:rsid w:val="002F2F18"/>
    <w:rsid w:val="00383807"/>
    <w:rsid w:val="00572D96"/>
    <w:rsid w:val="005C395E"/>
    <w:rsid w:val="006D47A9"/>
    <w:rsid w:val="00715238"/>
    <w:rsid w:val="007222EE"/>
    <w:rsid w:val="00782119"/>
    <w:rsid w:val="0083495A"/>
    <w:rsid w:val="00865F07"/>
    <w:rsid w:val="00BD7440"/>
    <w:rsid w:val="00D313D3"/>
    <w:rsid w:val="00D85076"/>
    <w:rsid w:val="00DE7CED"/>
    <w:rsid w:val="00EC498D"/>
    <w:rsid w:val="00F564F9"/>
    <w:rsid w:val="0F4563F5"/>
    <w:rsid w:val="175E0262"/>
    <w:rsid w:val="1A8B3A46"/>
    <w:rsid w:val="1C204CB4"/>
    <w:rsid w:val="1EC13993"/>
    <w:rsid w:val="25867CD5"/>
    <w:rsid w:val="2A05064B"/>
    <w:rsid w:val="2D012873"/>
    <w:rsid w:val="30324A4B"/>
    <w:rsid w:val="307974A2"/>
    <w:rsid w:val="33B76B7C"/>
    <w:rsid w:val="3A837EAB"/>
    <w:rsid w:val="437549C7"/>
    <w:rsid w:val="47F1290C"/>
    <w:rsid w:val="4F0807BF"/>
    <w:rsid w:val="4F216EC2"/>
    <w:rsid w:val="4F9C786F"/>
    <w:rsid w:val="55E12AEF"/>
    <w:rsid w:val="687C4C7F"/>
    <w:rsid w:val="7452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212</Words>
  <Characters>1215</Characters>
  <Lines>10</Lines>
  <Paragraphs>2</Paragraphs>
  <TotalTime>43</TotalTime>
  <ScaleCrop>false</ScaleCrop>
  <LinksUpToDate>false</LinksUpToDate>
  <CharactersWithSpaces>1425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2019-01-24T08:17:00Z</dcterms:created>
  <dc:creator>张萌</dc:creator>
  <cp:lastModifiedBy>Administrator</cp:lastModifiedBy>
  <dcterms:modified xsi:type="dcterms:W3CDTF">2020-08-14T07:29:21Z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