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20EF" w14:textId="121F0752" w:rsidR="00CF4CB4" w:rsidRDefault="00000000">
      <w:pPr>
        <w:widowControl w:val="0"/>
        <w:snapToGrid w:val="0"/>
        <w:spacing w:line="600" w:lineRule="exact"/>
        <w:jc w:val="center"/>
        <w:textAlignment w:val="auto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天津滨海高新区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促进商贸流通领域高质量发展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的实施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办法</w:t>
      </w:r>
    </w:p>
    <w:p w14:paraId="349EA053" w14:textId="77777777" w:rsidR="00CF4CB4" w:rsidRDefault="00CF4CB4">
      <w:pPr>
        <w:widowControl w:val="0"/>
        <w:snapToGrid w:val="0"/>
        <w:spacing w:line="600" w:lineRule="exact"/>
        <w:ind w:firstLineChars="200" w:firstLine="64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18EBBCC" w14:textId="0763E059" w:rsidR="00CF4CB4" w:rsidRDefault="00000000">
      <w:pPr>
        <w:widowControl w:val="0"/>
        <w:snapToGrid w:val="0"/>
        <w:spacing w:line="600" w:lineRule="exact"/>
        <w:ind w:firstLineChars="200" w:firstLine="64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为深入贯彻习近平总书记关于加快贸易强国建设及构建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双循环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新发展格局的重要指示精神，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落实党的二十届三中全会精神，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推动商贸流通领域高质量发展、优化产业结构、提升综合竞争力，深入推进高水平对外开放，落实《天津市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扩大内需战略实施方案》《天津市加快建设国际消费中心城市行动方案（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2023-2027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年）》《天津市促进港产城高质量融合发展的政策措施》《天津市进一步加快内外贸一体化发展的若干措施》等文件要求，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结合高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新区实际，对《天津滨海高新区促进商贸流通领域高质量发展办法（暂行）》（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津高新管规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号）进行修订，制定本办法。</w:t>
      </w:r>
    </w:p>
    <w:p w14:paraId="6B247B3C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支持批发企业做大做强</w:t>
      </w:r>
    </w:p>
    <w:p w14:paraId="5F243A0F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对年营业收入首次达到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亿元及以上的商贸批发类企业，分档次最高奖励不超过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4182BDE3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对年营业收入连续两年达到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亿元及以上且实现至少同比增长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存量</w:t>
      </w:r>
      <w:r>
        <w:rPr>
          <w:rFonts w:ascii="Times New Roman" w:eastAsia="仿宋_GB2312" w:hAnsi="Times New Roman" w:cs="Times New Roman"/>
          <w:sz w:val="32"/>
          <w:szCs w:val="32"/>
        </w:rPr>
        <w:t>商贸批发类企业，分档次最高奖励不超过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1FFEB44D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培育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零售住餐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企业</w:t>
      </w:r>
    </w:p>
    <w:p w14:paraId="7BCDD6D7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对年营业收入首次达到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万元及以上的零售、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住餐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，分档次最高奖励不超过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4CF9A219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对年营业收入连续两年达到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万元及以上且实现至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少同比增长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存量</w:t>
      </w:r>
      <w:r>
        <w:rPr>
          <w:rFonts w:ascii="Times New Roman" w:eastAsia="仿宋_GB2312" w:hAnsi="Times New Roman" w:cs="Times New Roman"/>
          <w:sz w:val="32"/>
          <w:szCs w:val="32"/>
        </w:rPr>
        <w:t>零售、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住餐企业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，分档次最高奖励不超过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307355B9" w14:textId="77777777" w:rsidR="00CF4CB4" w:rsidRDefault="00000000">
      <w:pPr>
        <w:adjustRightInd w:val="0"/>
        <w:snapToGrid w:val="0"/>
        <w:spacing w:line="600" w:lineRule="exact"/>
        <w:ind w:firstLineChars="200" w:firstLine="643"/>
        <w:textAlignment w:val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壮大企业连锁经营</w:t>
      </w:r>
    </w:p>
    <w:p w14:paraId="1CA3BEF5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对新引进连锁品牌总部或区域总部在天津市范围内开设线下门店的，每个门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店给予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一次性资金奖励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万元，同一品牌最高资金奖励每年不超过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7B05EACC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支持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品牌首店入驻</w:t>
      </w:r>
      <w:proofErr w:type="gramEnd"/>
    </w:p>
    <w:p w14:paraId="3951571F" w14:textId="77777777" w:rsidR="00CF4CB4" w:rsidRDefault="00000000">
      <w:pPr>
        <w:widowControl w:val="0"/>
        <w:snapToGrid w:val="0"/>
        <w:spacing w:line="60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对开设亚洲、国内、天津首店的国内外知名商业品牌或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开设曾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入选指定榜单的餐厅门店，按照实际投资额的最高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给予一次性资金奖励，最高不超过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2501863C" w14:textId="77777777" w:rsidR="00CF4CB4" w:rsidRDefault="00000000">
      <w:pPr>
        <w:widowControl w:val="0"/>
        <w:snapToGrid w:val="0"/>
        <w:spacing w:line="600" w:lineRule="exact"/>
        <w:ind w:firstLineChars="200" w:firstLine="643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支持商业配套项目建设</w:t>
      </w:r>
    </w:p>
    <w:p w14:paraId="59D36621" w14:textId="77777777" w:rsidR="00CF4CB4" w:rsidRDefault="00000000">
      <w:pPr>
        <w:snapToGrid w:val="0"/>
        <w:spacing w:line="60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城市一刻钟便民生活圈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服务半径内的新建或改造商业配套项目，分区域按照实际投资额的最高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给予一次性资金奖励，最高不超过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0C8E005C" w14:textId="77777777" w:rsidR="00CF4CB4" w:rsidRDefault="00000000">
      <w:pPr>
        <w:snapToGrid w:val="0"/>
        <w:spacing w:line="600" w:lineRule="exact"/>
        <w:ind w:firstLineChars="200" w:firstLine="643"/>
        <w:jc w:val="left"/>
        <w:textAlignment w:val="auto"/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第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六</w:t>
      </w: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条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支持</w:t>
      </w: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外贸转型升级基地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发展</w:t>
      </w:r>
    </w:p>
    <w:p w14:paraId="39C1F3F5" w14:textId="77777777" w:rsidR="00CF4CB4" w:rsidRDefault="00000000">
      <w:pPr>
        <w:snapToGrid w:val="0"/>
        <w:spacing w:line="600" w:lineRule="exact"/>
        <w:ind w:firstLineChars="200" w:firstLine="620"/>
        <w:jc w:val="left"/>
        <w:textAlignment w:val="auto"/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  <w:t>对国家外贸转型升级基地在政策期内通过商务部定期考核的，给予基地运营主体奖励资金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  <w:t>万元。</w:t>
      </w:r>
    </w:p>
    <w:p w14:paraId="58E02D14" w14:textId="77777777" w:rsidR="00CF4CB4" w:rsidRDefault="00000000">
      <w:pPr>
        <w:snapToGrid w:val="0"/>
        <w:spacing w:line="600" w:lineRule="exact"/>
        <w:ind w:firstLineChars="200" w:firstLine="643"/>
        <w:textAlignment w:val="auto"/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第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七</w:t>
      </w: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条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支持企业参加境外展会开拓国际市场</w:t>
      </w: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奖励</w:t>
      </w:r>
    </w:p>
    <w:p w14:paraId="1DADEC98" w14:textId="77777777" w:rsidR="00CF4CB4" w:rsidRDefault="00000000">
      <w:pPr>
        <w:snapToGrid w:val="0"/>
        <w:spacing w:line="600" w:lineRule="exact"/>
        <w:ind w:firstLineChars="200" w:firstLine="640"/>
        <w:jc w:val="left"/>
        <w:textAlignment w:val="auto"/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支持企业“走出去”参加国际展会，</w:t>
      </w:r>
      <w:r>
        <w:rPr>
          <w:rStyle w:val="a3"/>
          <w:rFonts w:ascii="Times New Roman" w:eastAsia="仿宋_GB2312" w:hAnsi="Times New Roman" w:cs="Times New Roman" w:hint="eastAsia"/>
          <w:b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年度进出口额达到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万美元（含）的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申报主体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参加</w:t>
      </w:r>
      <w:r>
        <w:rPr>
          <w:rFonts w:ascii="Times New Roman" w:eastAsia="仿宋_GB2312" w:hAnsi="Times New Roman" w:cs="Times New Roman"/>
          <w:sz w:val="32"/>
          <w:szCs w:val="32"/>
        </w:rPr>
        <w:t>展位面积达到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9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㎡（含）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境外展会的展位</w:t>
      </w:r>
      <w:proofErr w:type="gramStart"/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费给予</w:t>
      </w:r>
      <w:proofErr w:type="gramEnd"/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30%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的资金支持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sz w:val="32"/>
          <w:szCs w:val="32"/>
          <w:shd w:val="clear" w:color="auto" w:fill="FFFFFF"/>
        </w:rPr>
        <w:t>，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每年度最高支持金额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5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万元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sz w:val="32"/>
          <w:szCs w:val="32"/>
          <w:shd w:val="clear" w:color="auto" w:fill="FFFFFF"/>
        </w:rPr>
        <w:t>。其中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每个展会项目最多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sz w:val="32"/>
          <w:szCs w:val="32"/>
          <w:shd w:val="clear" w:color="auto" w:fill="FFFFFF"/>
        </w:rPr>
        <w:t>支持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18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㎡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sz w:val="32"/>
          <w:szCs w:val="32"/>
          <w:shd w:val="clear" w:color="auto" w:fill="FFFFFF"/>
        </w:rPr>
        <w:t>，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每个标准展位最高支持限额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1.5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万元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。</w:t>
      </w:r>
    </w:p>
    <w:p w14:paraId="633BDA1C" w14:textId="77777777" w:rsidR="00CF4CB4" w:rsidRDefault="00000000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lastRenderedPageBreak/>
        <w:t>第八条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支持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跨境电商示范园区发展</w:t>
      </w:r>
    </w:p>
    <w:p w14:paraId="6E255C52" w14:textId="77777777" w:rsidR="00CF4CB4" w:rsidRDefault="00000000">
      <w:pPr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高新区内经市级认定的跨境电子商务示范园区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，在政策期内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通过高新区年度考核的，对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租赁高新区办公用房给予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70%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的房租补贴，补贴面积不超过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1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万平米（含），每年房租补贴总额最高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100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万元，并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根据考核指标完成情况，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按照得分比例</w:t>
      </w:r>
      <w:r>
        <w:rPr>
          <w:rFonts w:ascii="Times New Roman" w:eastAsia="仿宋_GB2312" w:hAnsi="Times New Roman" w:cs="Times New Roman"/>
          <w:kern w:val="0"/>
          <w:sz w:val="31"/>
          <w:szCs w:val="31"/>
          <w:lang w:bidi="ar"/>
        </w:rPr>
        <w:t>给予园区运营主体年度运营奖励资金</w:t>
      </w:r>
      <w:r>
        <w:rPr>
          <w:rFonts w:ascii="Times New Roman" w:eastAsia="仿宋_GB2312" w:hAnsi="Times New Roman" w:cs="Times New Roman" w:hint="eastAsia"/>
          <w:kern w:val="0"/>
          <w:sz w:val="31"/>
          <w:szCs w:val="31"/>
          <w:lang w:bidi="ar"/>
        </w:rPr>
        <w:t>最高</w:t>
      </w:r>
      <w:r>
        <w:rPr>
          <w:rFonts w:ascii="Times New Roman" w:eastAsia="仿宋_GB2312" w:hAnsi="Times New Roman" w:cs="Times New Roman" w:hint="eastAsia"/>
          <w:kern w:val="0"/>
          <w:sz w:val="31"/>
          <w:szCs w:val="31"/>
          <w:lang w:bidi="ar"/>
        </w:rPr>
        <w:t>100</w:t>
      </w:r>
      <w:r>
        <w:rPr>
          <w:rFonts w:ascii="Times New Roman" w:eastAsia="仿宋_GB2312" w:hAnsi="Times New Roman" w:cs="Times New Roman"/>
          <w:kern w:val="0"/>
          <w:sz w:val="31"/>
          <w:szCs w:val="31"/>
          <w:lang w:bidi="ar"/>
        </w:rPr>
        <w:t>万元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kern w:val="0"/>
          <w:sz w:val="32"/>
          <w:szCs w:val="32"/>
          <w:shd w:val="clear" w:color="auto" w:fill="FFFFFF"/>
        </w:rPr>
        <w:t>。</w:t>
      </w:r>
    </w:p>
    <w:p w14:paraId="0B9D624D" w14:textId="77777777" w:rsidR="00CF4CB4" w:rsidRDefault="00000000">
      <w:pPr>
        <w:snapToGrid w:val="0"/>
        <w:spacing w:line="600" w:lineRule="exact"/>
        <w:ind w:firstLineChars="200" w:firstLine="643"/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第九条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支持企业应用跨境电子商务转型</w:t>
      </w:r>
    </w:p>
    <w:p w14:paraId="31AA8A96" w14:textId="77777777" w:rsidR="00CF4CB4" w:rsidRDefault="00000000">
      <w:pPr>
        <w:snapToGrid w:val="0"/>
        <w:spacing w:line="60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kern w:val="0"/>
          <w:sz w:val="28"/>
          <w:szCs w:val="28"/>
          <w:lang w:bidi="ar"/>
        </w:rPr>
      </w:pP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鼓励高新区企业通过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天津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市跨境电子商务综合服务平台开展跨境电子商务进出口申报业务，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对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年度内实现各种跨境电子商务业务模式交易总额达到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5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00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万元（含）以上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的企业，</w:t>
      </w:r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按照企业实际发生的平台入网费、独立站建设费、网络营销推广费（包括网站竞价排名、搜索引擎优化、新媒体营销）、海外</w:t>
      </w:r>
      <w:proofErr w:type="gramStart"/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仓</w:t>
      </w:r>
      <w:proofErr w:type="gramEnd"/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仓储服务费（包括仓储费、订单处理费、平台操作费，</w:t>
      </w:r>
      <w:proofErr w:type="gramStart"/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不含头程和</w:t>
      </w:r>
      <w:proofErr w:type="gramEnd"/>
      <w:r>
        <w:rPr>
          <w:rStyle w:val="a3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  <w:t>派送费用）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sz w:val="32"/>
          <w:szCs w:val="32"/>
          <w:shd w:val="clear" w:color="auto" w:fill="FFFFFF"/>
        </w:rPr>
        <w:t>费用合计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给予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30%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，最高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30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万元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的</w:t>
      </w:r>
      <w:r>
        <w:rPr>
          <w:rStyle w:val="a3"/>
          <w:rFonts w:ascii="Times New Roman" w:eastAsia="仿宋_GB2312" w:hAnsi="Times New Roman" w:cs="Times New Roman" w:hint="eastAsia"/>
          <w:b w:val="0"/>
          <w:bCs/>
          <w:color w:val="000000"/>
          <w:sz w:val="32"/>
          <w:szCs w:val="32"/>
          <w:shd w:val="clear" w:color="auto" w:fill="FFFFFF"/>
        </w:rPr>
        <w:t>资金</w:t>
      </w:r>
      <w:r>
        <w:rPr>
          <w:rStyle w:val="a3"/>
          <w:rFonts w:ascii="Times New Roman" w:eastAsia="仿宋_GB2312" w:hAnsi="Times New Roman" w:cs="Times New Roman"/>
          <w:b w:val="0"/>
          <w:bCs/>
          <w:color w:val="000000"/>
          <w:sz w:val="32"/>
          <w:szCs w:val="32"/>
          <w:shd w:val="clear" w:color="auto" w:fill="FFFFFF"/>
        </w:rPr>
        <w:t>支持。</w:t>
      </w:r>
    </w:p>
    <w:p w14:paraId="320EE416" w14:textId="77777777" w:rsidR="00CF4CB4" w:rsidRDefault="00000000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Style w:val="a3"/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第十条</w:t>
      </w:r>
      <w:r>
        <w:rPr>
          <w:rStyle w:val="a3"/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支持服务贸易创新发展</w:t>
      </w:r>
    </w:p>
    <w:p w14:paraId="1E85C673" w14:textId="77777777" w:rsidR="00CF4CB4" w:rsidRDefault="00000000">
      <w:pPr>
        <w:snapToGrid w:val="0"/>
        <w:spacing w:line="600" w:lineRule="exact"/>
        <w:ind w:firstLineChars="200" w:firstLine="640"/>
        <w:jc w:val="left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对获得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国家高新技术企业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”或“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技术先进型企业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认定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年度离岸服务外包执行额不低于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万美元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（含）且同比增长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的服务贸易企业，用于开展技术研发、设计时所需的设备购置或租赁、软件购置及使用许可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、咨询服务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产生的费用，按照实际费用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15%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的比例给予最高不超过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万元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（含）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资金支持。</w:t>
      </w:r>
    </w:p>
    <w:p w14:paraId="4AB35439" w14:textId="77777777" w:rsidR="00CF4CB4" w:rsidRDefault="00000000">
      <w:pPr>
        <w:widowControl w:val="0"/>
        <w:snapToGrid w:val="0"/>
        <w:spacing w:line="600" w:lineRule="exact"/>
        <w:ind w:firstLineChars="200" w:firstLine="643"/>
        <w:textAlignment w:val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lastRenderedPageBreak/>
        <w:t>附则</w:t>
      </w:r>
    </w:p>
    <w:p w14:paraId="688BC038" w14:textId="77777777" w:rsidR="00CF4CB4" w:rsidRDefault="00000000">
      <w:pPr>
        <w:widowControl w:val="0"/>
        <w:snapToGrid w:val="0"/>
        <w:spacing w:line="600" w:lineRule="exact"/>
        <w:ind w:firstLineChars="200" w:firstLine="64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本办法由滨海高新区管委会负责解释，同一项目、同一事项同时符合本办法及滨海高新区其他扶持办法规定（含上级部门要求滨海高新区配套或负担资金的政策规定）的，按照从高不重复原则予以支持。本办法自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日起实施，有效期截止至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日，申报期可延后一年。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日印发的《天津滨海高新区促进商贸流通领域高质量发展办法（暂行）》及实施细则同步废止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年未申报政策兑现的按原办法及实施细则执行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1C071983" w14:textId="77777777" w:rsidR="00CF4CB4" w:rsidRDefault="00CF4CB4">
      <w:pPr>
        <w:widowControl w:val="0"/>
        <w:snapToGrid w:val="0"/>
        <w:spacing w:line="600" w:lineRule="exact"/>
        <w:ind w:firstLineChars="200" w:firstLine="64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5971E96" w14:textId="77777777" w:rsidR="00CF4CB4" w:rsidRDefault="00CF4CB4"/>
    <w:sectPr w:rsidR="00CF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CB4"/>
    <w:rsid w:val="001D70F5"/>
    <w:rsid w:val="00492B1E"/>
    <w:rsid w:val="00797ABF"/>
    <w:rsid w:val="009836E6"/>
    <w:rsid w:val="00CF4CB4"/>
    <w:rsid w:val="3C2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44A23B-1015-4740-BEAF-39C5FD2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煜 李</cp:lastModifiedBy>
  <cp:revision>3</cp:revision>
  <dcterms:created xsi:type="dcterms:W3CDTF">2025-02-19T11:37:00Z</dcterms:created>
  <dcterms:modified xsi:type="dcterms:W3CDTF">2025-02-20T07:28:00Z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eyJoZGlkIjoiYTRkN2U0YjYxOTJjZmQ3OTRiMmRhMzllOWY3MDA5NmUiLCJ1c2VySWQiOiI4Njg3NTQ4OTIifQ==</vt:lpwstr>
  </property>
  <property fmtid="{D5CDD505-2E9C-101B-9397-08002B2CF9AE}" pid="4" name="ICV">
    <vt:lpwstr>E3EA6F7A83684FBCBCCEECC443FDE363_12</vt:lpwstr>
  </property>
</Properties>
</file>