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高新区管委会关于印发《天津国家自主创新</w:t>
      </w:r>
    </w:p>
    <w:p>
      <w:pPr>
        <w:adjustRightInd w:val="0"/>
        <w:snapToGrid w:val="0"/>
        <w:spacing w:line="60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示范区创新创业通票管理办法—企业</w:t>
      </w:r>
    </w:p>
    <w:p>
      <w:pPr>
        <w:adjustRightInd w:val="0"/>
        <w:snapToGrid w:val="0"/>
        <w:spacing w:line="600" w:lineRule="exact"/>
        <w:jc w:val="center"/>
        <w:rPr>
          <w:rStyle w:val="11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安全云服务包实施细则》的通知</w:t>
      </w:r>
    </w:p>
    <w:p>
      <w:pPr>
        <w:adjustRightInd w:val="0"/>
        <w:snapToGrid w:val="0"/>
        <w:spacing w:line="600" w:lineRule="exact"/>
        <w:jc w:val="left"/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600" w:lineRule="exact"/>
        <w:jc w:val="left"/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高新区各有关单位：</w:t>
      </w:r>
    </w:p>
    <w:p>
      <w:pPr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《天津国家自主创新示范区创新创业通票管理办法—企业安全云服务包实施细则》已经高新区管委会202</w:t>
      </w:r>
      <w:r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年第</w:t>
      </w:r>
      <w:r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11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次主任办公会</w:t>
      </w:r>
      <w:r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审议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通过，现予印发，请遵照执行。</w:t>
      </w:r>
    </w:p>
    <w:p>
      <w:pPr>
        <w:ind w:firstLine="4160" w:firstLineChars="1300"/>
        <w:rPr>
          <w:rFonts w:ascii="仿宋_GB2312" w:hAnsi="仿宋" w:eastAsia="仿宋_GB2312" w:cs="仿宋"/>
          <w:sz w:val="32"/>
          <w:szCs w:val="32"/>
        </w:rPr>
      </w:pPr>
    </w:p>
    <w:p>
      <w:pPr>
        <w:ind w:left="2730" w:leftChars="1300" w:firstLine="320" w:firstLineChars="1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left="2730" w:leftChars="1300" w:firstLine="320" w:firstLineChars="1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天津滨海高新技术产业开发区管理委员会</w:t>
      </w:r>
    </w:p>
    <w:p>
      <w:pPr>
        <w:ind w:firstLine="5440" w:firstLineChars="1700"/>
      </w:pPr>
      <w:r>
        <w:rPr>
          <w:rFonts w:hint="eastAsia" w:ascii="仿宋_GB2312" w:hAnsi="仿宋" w:eastAsia="仿宋_GB2312" w:cs="仿宋"/>
          <w:sz w:val="32"/>
          <w:szCs w:val="32"/>
        </w:rPr>
        <w:t>2024年5月7日</w:t>
      </w:r>
    </w:p>
    <w:p>
      <w:pPr>
        <w:spacing w:line="340" w:lineRule="exact"/>
        <w:ind w:firstLine="640" w:firstLineChars="200"/>
        <w:jc w:val="left"/>
        <w:rPr>
          <w:rStyle w:val="11"/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（此件主动公开）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黑体" w:eastAsia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黑体" w:eastAsia="方正小标宋简体"/>
          <w:sz w:val="44"/>
          <w:szCs w:val="44"/>
        </w:rPr>
        <w:fldChar w:fldCharType="end"/>
      </w:r>
      <w:r>
        <w:rPr>
          <w:rFonts w:hint="eastAsia" w:ascii="方正小标宋简体" w:hAnsi="黑体" w:eastAsia="方正小标宋简体"/>
          <w:sz w:val="44"/>
          <w:szCs w:val="44"/>
        </w:rPr>
        <w:t>天津国家自主创新示范区创新创业通票管理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办法—企业安全云服务包实施细则</w:t>
      </w:r>
    </w:p>
    <w:p>
      <w:pPr>
        <w:spacing w:line="600" w:lineRule="exact"/>
        <w:ind w:firstLine="667"/>
        <w:jc w:val="left"/>
        <w:rPr>
          <w:rFonts w:hAnsi="仿宋"/>
          <w:b/>
          <w:spacing w:val="6"/>
          <w:sz w:val="32"/>
          <w:szCs w:val="32"/>
        </w:rPr>
      </w:pPr>
    </w:p>
    <w:p>
      <w:pPr>
        <w:spacing w:line="600" w:lineRule="exact"/>
        <w:ind w:firstLine="664"/>
        <w:jc w:val="left"/>
        <w:rPr>
          <w:rFonts w:ascii="黑体" w:hAnsi="仿宋_GB2312" w:eastAsia="黑体"/>
          <w:spacing w:val="6"/>
          <w:sz w:val="32"/>
          <w:szCs w:val="32"/>
        </w:rPr>
      </w:pPr>
      <w:r>
        <w:rPr>
          <w:rFonts w:hint="eastAsia" w:ascii="黑体" w:hAnsi="仿宋_GB2312" w:eastAsia="黑体"/>
          <w:spacing w:val="6"/>
          <w:sz w:val="32"/>
          <w:szCs w:val="32"/>
        </w:rPr>
        <w:t>一、总则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（一）为鼓励和支持天津国家自主创新示范区科技型企业数字化转型，保障企业信息安全，提高企业数据防范能力，根据《天津国家自主创新示范区创新创业通票管理办法》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（津高新管发〔2023〕1号）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制定本实施细则。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企业安全云服务包通过创通票平台申请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流转，企业每年度可申请一次，每次只能与一家服务机构签约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包含一年期企业安全云服务。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（三）为更好发挥自创区引领带动作用，更好发挥数字平台服务规模效应，将服务对象范围扩大至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天津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滨海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高新区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市级政策辐射区。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ascii="黑体" w:hAnsi="仿宋_GB2312" w:eastAsia="黑体" w:cs="仿宋_GB2312"/>
          <w:spacing w:val="6"/>
          <w:sz w:val="32"/>
          <w:szCs w:val="32"/>
        </w:rPr>
        <w:t>二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、</w:t>
      </w:r>
      <w:r>
        <w:rPr>
          <w:rFonts w:ascii="黑体" w:hAnsi="仿宋_GB2312" w:eastAsia="黑体" w:cs="仿宋_GB2312"/>
          <w:spacing w:val="6"/>
          <w:sz w:val="32"/>
          <w:szCs w:val="32"/>
        </w:rPr>
        <w:t>安全云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服务包内容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终</w:t>
      </w:r>
      <w:r>
        <w:rPr>
          <w:rFonts w:hint="eastAsia" w:ascii="仿宋_GB2312" w:hAnsi="仿宋_GB2312" w:eastAsia="仿宋_GB2312" w:cs="仿宋_GB2312"/>
          <w:sz w:val="32"/>
          <w:szCs w:val="32"/>
        </w:rPr>
        <w:t>端管理服务</w:t>
      </w:r>
      <w:r>
        <w:rPr>
          <w:rFonts w:ascii="仿宋_GB2312" w:hAnsi="仿宋_GB2312" w:eastAsia="仿宋_GB2312" w:cs="仿宋_GB2312"/>
          <w:sz w:val="32"/>
          <w:szCs w:val="32"/>
        </w:rPr>
        <w:t>：安装终端管理模块，利用各类终端防护手段，如办公终端体检、漏洞修复、终端运维等进行7*24小时实时管理。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（二）终端安全服务:安装终端安全管理模块，对终端设备、USB等外部设备进行木马查杀、安全防护，帮助企业保护办公终端数据资产。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（三）资产管理及预警服务：安装资产管理模块，实现对企业软硬件资产可视化全局盘点，同时进行预警处理，避免资产、硬件流失。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（四）软件管理服务：安装软件管理模块，实现对企业内部电脑软件使用情况实时监测，批量安装、卸载、升级等。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五）浏览器基础管理服务：安装浏览器基础管理模块，可切换并锁定电脑的默认浏览器，保护浏览器不被第三方软件恶意篡改，同时可将常用网址、工具置于主页，并统计已部署计算机使用浏览器情况，直观展现使用高峰时段分布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帮助企业</w:t>
      </w:r>
      <w:r>
        <w:rPr>
          <w:rFonts w:ascii="仿宋_GB2312" w:hAnsi="仿宋_GB2312" w:eastAsia="仿宋_GB2312" w:cs="仿宋_GB2312"/>
          <w:sz w:val="32"/>
          <w:szCs w:val="32"/>
        </w:rPr>
        <w:t>提高整体办公管理效率。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（六）以上由第三方服务机构免费提供。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hint="eastAsia" w:ascii="黑体" w:hAnsi="仿宋_GB2312" w:eastAsia="黑体" w:cs="仿宋_GB2312"/>
          <w:spacing w:val="6"/>
          <w:sz w:val="32"/>
          <w:szCs w:val="32"/>
        </w:rPr>
        <w:t>三、申请企业要求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企业应为在天津滨海高新区“一区多园”范围内注册的具有独立法人资格的企业。“一区多园”为国务院以及天津市政府批复的天津高新区及其市级政策辐射区，包括华苑科技园、塘沽海洋高新技术产业园区、北辰科技园、武清开发区、渤龙湖科技园、塘沽海洋科技园、滨海-中关村科技园、中新生态城、南开科技园、武清京滨工业园、河东金贸产业园区、天津港保税区生物制造产业园、宝坻京津中关村科技城、东丽华明高新区等园区全部或部分区域，申请企业需在上述“一区多园”批复范围内注册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企业法人需在“国家企业信用信息公示系统”和“信用中国”网站公示信息中无经营异常或失信状态，事业单位法人需在“信用中国”网站公示信息中无失信状态，未因违反有关法律法规受到刑事或行政处罚。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（三）除满足以上条件外，还应符合以下任一条件：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1.具备国家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高新技术企业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，国家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科技型中小企业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天津市雏鹰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瞪羚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科技领军（培育）企业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等任一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有效期内的认定或入库资质；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2.具备天津市海河实验室、天津市技术创新中心、天津市重点实验室、天津市产业技术研究院等任一有效研发机构资质；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3.企业创新积分评分60分及以上企业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ascii="黑体" w:hAnsi="仿宋_GB2312" w:eastAsia="黑体" w:cs="仿宋_GB2312"/>
          <w:spacing w:val="6"/>
          <w:sz w:val="32"/>
          <w:szCs w:val="32"/>
        </w:rPr>
        <w:t>四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、服务机构要求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（一）申请成为企业安全云服务包的供应商需同时满足以下条件：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1.在中国大陆工商注册，具有独立法人资格，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服务机构持续正常经营、纳税；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非天津市工商注册的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机构须在天津市设有分支机构或全资子公司,在天津滨海高新区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拥有固定的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办公地点和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一定规模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服务团队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能够提供全方位的本地化服务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企业法人需在“国家企业信用信息公示系统”和“信用中国”网站公示信息中无经营异常或失信状态，事业单位法人需在“信用中国”网站公示信息中无失信状态，未因违反有关法律法规受到刑事或行政处罚；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.为保证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服务机构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服务能力和交付质量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，服务机构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应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履行服务所必需的专业技术能力。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机构备案：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填写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服务机构信息表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，上传相关证明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，阅读并同意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机构承诺书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，系统根据机构所填信息进行审核，符合条件的可以成为企业安全云服务包供应商。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需上传的相关证明材料：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1.财务状况报告：经第三方会计师事务所审计的近一年度财务报告；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2.提交申请前连续3个月的公司依法缴税和社会保险的证明；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3.提交能够证明具备履行服务所必需的专业技术能力材料，包括但不限于具有软件服务商交付能力一级证书、CCRC信息系统安全运维一级资质、CCRC信息安全应急处理一级资质、CCRC信息安全风险评估一级资质和ISO27001信息安全管理体系认证证书等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4.机构与创通票业务主管部门签署协议，机构承诺免费为企业提供安全云服务，且保证达到协议约定服务的质量。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机构服务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须遵守的要求：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1.对服务企业提供的材料、信息和其他商业机密有保密义务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，能够满足企业数据信息保护的要求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2.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向企业公示明确的服务标准和程序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3.接受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统一管理并按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开展业务活动；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4.及时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反馈报告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业务开展中遇到的问题</w:t>
      </w: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w:t>和服务开展情况；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（四）对违反承诺的机构，将按照创通票管理办法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相关规定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进行处理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，情节严重的取消服务资格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ascii="黑体" w:hAnsi="仿宋_GB2312" w:eastAsia="黑体" w:cs="仿宋_GB2312"/>
          <w:spacing w:val="6"/>
          <w:sz w:val="32"/>
          <w:szCs w:val="32"/>
        </w:rPr>
        <w:t>五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、办理流程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（一）用户注册：企业或服务机构，登录创通票平台，阅读并同意“用户协议”，填写基本信息，经系统审核无误后，完成注册。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）创通票服务</w:t>
      </w:r>
      <w:r>
        <w:rPr>
          <w:rFonts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发布：服务机构</w:t>
      </w:r>
      <w:r>
        <w:rPr>
          <w:rFonts w:ascii="仿宋_GB2312" w:hAnsi="仿宋_GB2312" w:eastAsia="仿宋_GB2312" w:cs="仿宋_GB2312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填写《服务机构信息表》，</w:t>
      </w:r>
      <w:r>
        <w:rPr>
          <w:rFonts w:ascii="仿宋_GB2312" w:hAnsi="仿宋_GB2312" w:eastAsia="仿宋_GB2312" w:cs="仿宋_GB2312"/>
          <w:sz w:val="32"/>
          <w:szCs w:val="32"/>
        </w:rPr>
        <w:t>上传相关证明材料，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阅读并同意《机构承诺书》，经系统审核无误后，即可发布创通票企业安全云服务包。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）创通票申请：企业申领企业安全云服务包所需的创通票，阅读并同意《企业承诺书》后</w:t>
      </w:r>
      <w:r>
        <w:rPr>
          <w:rFonts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创通票编码。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（四）创通票流转：取得创通票的企业在系统内选择一家机构为其提供服务，双方在系统内互相确认后，系统自动生成在线服务协议，双方在线签订</w:t>
      </w:r>
      <w:r>
        <w:rPr>
          <w:rFonts w:ascii="仿宋_GB2312" w:hAnsi="仿宋_GB2312" w:eastAsia="仿宋_GB2312" w:cs="仿宋_GB2312"/>
          <w:sz w:val="32"/>
          <w:szCs w:val="32"/>
        </w:rPr>
        <w:t>服务协议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后，企业的创通票编码流转至机构账户，机构为企业发送《企业安全云部署实操手册》，对于自行部署实操有困难的企业，可向机构提出需求后，由机构在5个工作日内派工程师上门提供安装部署服务。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（五）完成服务：机构</w:t>
      </w:r>
      <w:r>
        <w:rPr>
          <w:rFonts w:ascii="仿宋_GB2312" w:hAnsi="仿宋_GB2312" w:eastAsia="仿宋_GB2312" w:cs="仿宋_GB2312"/>
          <w:sz w:val="32"/>
          <w:szCs w:val="32"/>
        </w:rPr>
        <w:t>出具完成服务报告，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点击完成服务，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确认服务结果，</w:t>
      </w:r>
      <w:r>
        <w:rPr>
          <w:rFonts w:ascii="仿宋_GB2312" w:hAnsi="仿宋_GB2312" w:eastAsia="仿宋_GB2312" w:cs="仿宋_GB2312"/>
          <w:sz w:val="32"/>
          <w:szCs w:val="32"/>
        </w:rPr>
        <w:t>对机构服务进行满意度评价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（六）其它说明：企业申请企业安全云服务创通票后需在本</w:t>
      </w:r>
      <w:r>
        <w:rPr>
          <w:rFonts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内完成与服务机构的签约，</w:t>
      </w:r>
      <w:r>
        <w:rPr>
          <w:rFonts w:ascii="仿宋_GB2312" w:hAnsi="仿宋_GB2312" w:eastAsia="仿宋_GB2312" w:cs="仿宋_GB2312"/>
          <w:sz w:val="32"/>
          <w:szCs w:val="32"/>
        </w:rPr>
        <w:t>并享受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企业安全云服务</w:t>
      </w:r>
      <w:r>
        <w:rPr>
          <w:rFonts w:ascii="仿宋_GB2312" w:hAnsi="仿宋_GB2312" w:eastAsia="仿宋_GB2312" w:cs="仿宋_GB2312"/>
          <w:sz w:val="32"/>
          <w:szCs w:val="32"/>
        </w:rPr>
        <w:t>，过期未使用的创通票编码自动失效，需重新申请并签约。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ascii="黑体" w:hAnsi="仿宋_GB2312" w:eastAsia="黑体" w:cs="仿宋_GB2312"/>
          <w:spacing w:val="6"/>
          <w:sz w:val="32"/>
          <w:szCs w:val="32"/>
        </w:rPr>
        <w:t>六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、兑现标准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不涉及兑现。</w:t>
      </w:r>
    </w:p>
    <w:p>
      <w:pPr>
        <w:spacing w:line="600" w:lineRule="exact"/>
        <w:ind w:firstLine="664"/>
        <w:jc w:val="left"/>
        <w:rPr>
          <w:rFonts w:ascii="黑体" w:hAnsi="仿宋_GB2312" w:eastAsia="黑体" w:cs="仿宋_GB2312"/>
          <w:spacing w:val="6"/>
          <w:sz w:val="32"/>
          <w:szCs w:val="32"/>
        </w:rPr>
      </w:pPr>
      <w:r>
        <w:rPr>
          <w:rFonts w:ascii="黑体" w:hAnsi="仿宋_GB2312" w:eastAsia="黑体" w:cs="仿宋_GB2312"/>
          <w:spacing w:val="6"/>
          <w:sz w:val="32"/>
          <w:szCs w:val="32"/>
        </w:rPr>
        <w:t>七</w:t>
      </w:r>
      <w:r>
        <w:rPr>
          <w:rFonts w:hint="eastAsia" w:ascii="黑体" w:hAnsi="仿宋_GB2312" w:eastAsia="黑体" w:cs="仿宋_GB2312"/>
          <w:spacing w:val="6"/>
          <w:sz w:val="32"/>
          <w:szCs w:val="32"/>
        </w:rPr>
        <w:t>、附则</w:t>
      </w:r>
    </w:p>
    <w:p>
      <w:pPr>
        <w:spacing w:line="600" w:lineRule="exact"/>
        <w:ind w:firstLine="664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（一）本实施细则由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天津滨海高新区管委会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负责解释。</w:t>
      </w:r>
    </w:p>
    <w:p>
      <w:pPr>
        <w:spacing w:line="600" w:lineRule="exact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（二）本实施细则自发布之日起施行，有效期到202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年12月31日。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40502020204"/>
    <w:charset w:val="00"/>
    <w:family w:val="swiss"/>
    <w:pitch w:val="default"/>
    <w:sig w:usb0="00000000" w:usb1="00000000" w:usb2="00000008" w:usb3="00000000" w:csb0="000100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305370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zc0YTJmYjU2OGY2OTUxMGVjYmUwMzhmNzc5OThiYWIifQ=="/>
  </w:docVars>
  <w:rsids>
    <w:rsidRoot w:val="00F63F67"/>
    <w:rsid w:val="00012AC8"/>
    <w:rsid w:val="000D4515"/>
    <w:rsid w:val="002461F5"/>
    <w:rsid w:val="005C3FB7"/>
    <w:rsid w:val="0095194D"/>
    <w:rsid w:val="00C44496"/>
    <w:rsid w:val="00F63F67"/>
    <w:rsid w:val="650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uiPriority w:val="0"/>
    <w:rPr>
      <w:b/>
      <w:bCs/>
    </w:rPr>
  </w:style>
  <w:style w:type="character" w:customStyle="1" w:styleId="12">
    <w:name w:val="页眉 Char"/>
    <w:basedOn w:val="10"/>
    <w:link w:val="7"/>
    <w:autoRedefine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EAF89A7-50D6-44E3-9D8D-CC3F19901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412</Words>
  <Characters>2350</Characters>
  <Lines>19</Lines>
  <Paragraphs>5</Paragraphs>
  <TotalTime>18</TotalTime>
  <ScaleCrop>false</ScaleCrop>
  <LinksUpToDate>false</LinksUpToDate>
  <CharactersWithSpaces>2757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2022-10-23T07:08:00Z</dcterms:created>
  <dc:creator>aaaa</dc:creator>
  <cp:lastModifiedBy>乌龙茶茶茶茶茶</cp:lastModifiedBy>
  <cp:lastPrinted>2024-05-07T06:46:00Z</cp:lastPrinted>
  <dcterms:modified xsi:type="dcterms:W3CDTF">2024-05-09T07:59:16Z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C3C7D44E8E9147BF990DCA13EC220B32_12</vt:lpwstr>
  </property>
</Properties>
</file>