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《天津滨海高新</w:t>
      </w:r>
      <w:r>
        <w:rPr>
          <w:rFonts w:hint="eastAsia" w:ascii="方正小标宋简体" w:hAnsi="方正小标宋简体" w:eastAsia="方正小标宋简体" w:cs="方正小标宋简体"/>
          <w:sz w:val="44"/>
          <w:szCs w:val="44"/>
          <w:lang w:eastAsia="zh-CN"/>
        </w:rPr>
        <w:t>技术产业开发</w:t>
      </w:r>
      <w:r>
        <w:rPr>
          <w:rFonts w:hint="eastAsia" w:ascii="方正小标宋简体" w:hAnsi="方正小标宋简体" w:eastAsia="方正小标宋简体" w:cs="方正小标宋简体"/>
          <w:sz w:val="44"/>
          <w:szCs w:val="44"/>
        </w:rPr>
        <w:t>区政策兑现管理办法》</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各有关部门及单位：</w:t>
      </w: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高新区政策兑现工作的科学化、标准化、便利化水平，营造公平公正、便捷高效的区域营商环境，结合《天津滨海高新技术产业开发区政策兑现管理暂行办法》实施情况，现修订形成《天津滨海高新技术产业开发区政策兑现管理办法》，经高新区党委常委会二〇二三年第五十五次扩大会议审议通过，现予以印发，请遵照贯彻执行。</w:t>
      </w: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2023年12月28日</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keepNext w:val="0"/>
        <w:keepLines w:val="0"/>
        <w:pageBreakBefore w:val="0"/>
        <w:widowControl w:val="0"/>
        <w:kinsoku/>
        <w:wordWrap/>
        <w:overflowPunct/>
        <w:topLinePunct/>
        <w:bidi w:val="0"/>
        <w:rPr>
          <w:rFonts w:hint="eastAsia" w:ascii="文星标宋" w:hAnsi="文星标宋" w:eastAsia="文星标宋" w:cs="文星标宋"/>
          <w:snapToGrid w:val="0"/>
          <w:color w:val="auto"/>
          <w:spacing w:val="18"/>
          <w:kern w:val="0"/>
          <w:sz w:val="43"/>
          <w:szCs w:val="43"/>
          <w:highlight w:val="none"/>
          <w:lang w:eastAsia="zh-CN"/>
        </w:rPr>
      </w:pPr>
      <w:r>
        <w:rPr>
          <w:rFonts w:hint="eastAsia" w:ascii="文星标宋" w:hAnsi="文星标宋" w:eastAsia="文星标宋" w:cs="文星标宋"/>
          <w:snapToGrid w:val="0"/>
          <w:color w:val="auto"/>
          <w:spacing w:val="18"/>
          <w:kern w:val="0"/>
          <w:sz w:val="43"/>
          <w:szCs w:val="43"/>
          <w:highlight w:val="none"/>
          <w:lang w:eastAsia="zh-CN"/>
        </w:rPr>
        <w:br w:type="page"/>
      </w:r>
    </w:p>
    <w:p>
      <w:pPr>
        <w:keepNext w:val="0"/>
        <w:keepLines w:val="0"/>
        <w:pageBreakBefore w:val="0"/>
        <w:widowControl w:val="0"/>
        <w:kinsoku/>
        <w:wordWrap/>
        <w:overflowPunct/>
        <w:topLinePunct/>
        <w:autoSpaceDE w:val="0"/>
        <w:autoSpaceDN w:val="0"/>
        <w:bidi w:val="0"/>
        <w:adjustRightInd w:val="0"/>
        <w:snapToGrid w:val="0"/>
        <w:spacing w:line="600" w:lineRule="exact"/>
        <w:ind w:left="2857" w:right="429" w:hanging="2425"/>
        <w:jc w:val="center"/>
        <w:textAlignment w:val="baseline"/>
        <w:rPr>
          <w:rFonts w:hint="eastAsia" w:ascii="文星标宋" w:hAnsi="文星标宋" w:eastAsia="文星标宋" w:cs="文星标宋"/>
          <w:snapToGrid w:val="0"/>
          <w:color w:val="auto"/>
          <w:spacing w:val="0"/>
          <w:kern w:val="0"/>
          <w:sz w:val="43"/>
          <w:szCs w:val="43"/>
          <w:highlight w:val="none"/>
          <w:lang w:eastAsia="zh-CN"/>
        </w:rPr>
      </w:pPr>
      <w:r>
        <w:rPr>
          <w:rFonts w:hint="eastAsia" w:ascii="文星标宋" w:hAnsi="文星标宋" w:eastAsia="文星标宋" w:cs="文星标宋"/>
          <w:snapToGrid w:val="0"/>
          <w:color w:val="auto"/>
          <w:spacing w:val="0"/>
          <w:kern w:val="0"/>
          <w:sz w:val="43"/>
          <w:szCs w:val="43"/>
          <w:highlight w:val="none"/>
          <w:lang w:eastAsia="zh-CN"/>
        </w:rPr>
        <w:t>天津滨海高新技术产业开发区政策</w:t>
      </w:r>
    </w:p>
    <w:p>
      <w:pPr>
        <w:keepNext w:val="0"/>
        <w:keepLines w:val="0"/>
        <w:pageBreakBefore w:val="0"/>
        <w:widowControl w:val="0"/>
        <w:kinsoku/>
        <w:wordWrap/>
        <w:overflowPunct/>
        <w:topLinePunct/>
        <w:autoSpaceDE w:val="0"/>
        <w:autoSpaceDN w:val="0"/>
        <w:bidi w:val="0"/>
        <w:adjustRightInd w:val="0"/>
        <w:snapToGrid w:val="0"/>
        <w:spacing w:line="600" w:lineRule="exact"/>
        <w:ind w:left="2857" w:right="429" w:hanging="2425"/>
        <w:jc w:val="center"/>
        <w:textAlignment w:val="baseline"/>
        <w:rPr>
          <w:rFonts w:hint="eastAsia" w:ascii="文星标宋" w:hAnsi="文星标宋" w:eastAsia="文星标宋" w:cs="文星标宋"/>
          <w:snapToGrid w:val="0"/>
          <w:color w:val="auto"/>
          <w:spacing w:val="0"/>
          <w:kern w:val="0"/>
          <w:sz w:val="43"/>
          <w:szCs w:val="43"/>
          <w:highlight w:val="none"/>
          <w:lang w:eastAsia="zh-CN"/>
        </w:rPr>
      </w:pPr>
      <w:r>
        <w:rPr>
          <w:rFonts w:hint="eastAsia" w:ascii="文星标宋" w:hAnsi="文星标宋" w:eastAsia="文星标宋" w:cs="文星标宋"/>
          <w:snapToGrid w:val="0"/>
          <w:color w:val="auto"/>
          <w:spacing w:val="0"/>
          <w:kern w:val="0"/>
          <w:sz w:val="43"/>
          <w:szCs w:val="43"/>
          <w:highlight w:val="none"/>
          <w:lang w:eastAsia="zh-CN"/>
        </w:rPr>
        <w:t>兑现管理办法</w:t>
      </w:r>
    </w:p>
    <w:p>
      <w:pPr>
        <w:keepNext w:val="0"/>
        <w:keepLines w:val="0"/>
        <w:pageBreakBefore w:val="0"/>
        <w:widowControl w:val="0"/>
        <w:kinsoku/>
        <w:wordWrap/>
        <w:overflowPunct/>
        <w:topLinePunct/>
        <w:autoSpaceDE w:val="0"/>
        <w:autoSpaceDN w:val="0"/>
        <w:bidi w:val="0"/>
        <w:adjustRightInd w:val="0"/>
        <w:snapToGrid w:val="0"/>
        <w:spacing w:line="600" w:lineRule="exact"/>
        <w:jc w:val="left"/>
        <w:textAlignment w:val="baseline"/>
        <w:rPr>
          <w:rFonts w:hint="eastAsia" w:ascii="仿宋_GB2312" w:hAnsi="仿宋_GB2312" w:eastAsia="仿宋_GB2312" w:cs="仿宋_GB2312"/>
          <w:snapToGrid w:val="0"/>
          <w:color w:val="auto"/>
          <w:spacing w:val="0"/>
          <w:kern w:val="0"/>
          <w:sz w:val="32"/>
          <w:szCs w:val="32"/>
          <w:highlight w:val="none"/>
          <w:lang w:val="en-US" w:eastAsia="zh-CN"/>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r>
        <w:rPr>
          <w:rFonts w:hint="eastAsia" w:ascii="黑体" w:hAnsi="黑体" w:eastAsia="黑体" w:cs="黑体"/>
          <w:snapToGrid w:val="0"/>
          <w:color w:val="auto"/>
          <w:spacing w:val="0"/>
          <w:kern w:val="0"/>
          <w:sz w:val="32"/>
          <w:szCs w:val="32"/>
          <w:highlight w:val="none"/>
          <w:u w:val="none"/>
          <w:lang w:val="en-US" w:eastAsia="zh-CN"/>
        </w:rPr>
        <w:t>第一章 总则</w:t>
      </w:r>
    </w:p>
    <w:p>
      <w:pPr>
        <w:keepNext w:val="0"/>
        <w:keepLines w:val="0"/>
        <w:pageBreakBefore w:val="0"/>
        <w:widowControl w:val="0"/>
        <w:kinsoku/>
        <w:wordWrap/>
        <w:overflowPunct/>
        <w:topLinePunct/>
        <w:autoSpaceDE w:val="0"/>
        <w:autoSpaceDN w:val="0"/>
        <w:bidi w:val="0"/>
        <w:adjustRightInd w:val="0"/>
        <w:snapToGrid w:val="0"/>
        <w:spacing w:line="600" w:lineRule="exact"/>
        <w:ind w:left="34" w:firstLine="646"/>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第一条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为进一步提升天津滨海高新技术产业开发区（以下简称“高新区”）政策兑现工作的科学化、标准化、便利化水平，营造公平公正、便捷高效的区域营商环境，支持高新区企业实现高质量发展，根据有关法律、法规，结合高新区实际，制定本办法。</w:t>
      </w:r>
    </w:p>
    <w:p>
      <w:pPr>
        <w:keepNext w:val="0"/>
        <w:keepLines w:val="0"/>
        <w:pageBreakBefore w:val="0"/>
        <w:widowControl w:val="0"/>
        <w:kinsoku/>
        <w:wordWrap/>
        <w:overflowPunct/>
        <w:topLinePunct/>
        <w:autoSpaceDE w:val="0"/>
        <w:autoSpaceDN w:val="0"/>
        <w:bidi w:val="0"/>
        <w:adjustRightInd w:val="0"/>
        <w:snapToGrid w:val="0"/>
        <w:spacing w:line="600" w:lineRule="exact"/>
        <w:ind w:left="34" w:firstLine="646"/>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高新区行政区域内的政策兑现管理工作，适用本办法。</w:t>
      </w:r>
    </w:p>
    <w:p>
      <w:pPr>
        <w:keepNext w:val="0"/>
        <w:keepLines w:val="0"/>
        <w:pageBreakBefore w:val="0"/>
        <w:widowControl w:val="0"/>
        <w:kinsoku/>
        <w:wordWrap/>
        <w:overflowPunct/>
        <w:topLinePunct/>
        <w:autoSpaceDE w:val="0"/>
        <w:autoSpaceDN w:val="0"/>
        <w:bidi w:val="0"/>
        <w:adjustRightInd w:val="0"/>
        <w:snapToGrid w:val="0"/>
        <w:spacing w:line="600" w:lineRule="exact"/>
        <w:ind w:left="34" w:firstLine="646"/>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本办法所称政策兑现，是指高新区普惠政策、协议政策或其他形式文件规（约）定的政策支持的受理、审核及兑付。</w:t>
      </w:r>
    </w:p>
    <w:p>
      <w:pPr>
        <w:keepNext w:val="0"/>
        <w:keepLines w:val="0"/>
        <w:pageBreakBefore w:val="0"/>
        <w:widowControl w:val="0"/>
        <w:kinsoku/>
        <w:wordWrap/>
        <w:overflowPunct/>
        <w:topLinePunct/>
        <w:autoSpaceDE w:val="0"/>
        <w:autoSpaceDN w:val="0"/>
        <w:bidi w:val="0"/>
        <w:adjustRightInd w:val="0"/>
        <w:snapToGrid w:val="0"/>
        <w:spacing w:line="600" w:lineRule="exact"/>
        <w:ind w:left="34" w:firstLine="646"/>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第三条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高新区政务服务办公室（以下简称“政务办”）是高新区政策兑现事项的统一受理部门，负责政策兑现工作的统筹协调。在高新区政务服务中心设立政策兑现服务窗口，一站式受理高新区企事业单位（以下简称“申请人”）的政策兑现事项。</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第四条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政策兑现资金实行年度预算管理。存在政策兑现需求的部门，应按年度提前申报预算资金需求。政策兑现资金预算经批准下发后，非经规定程序不得调整。因特殊情况确需调整的，应按照高新区预算管理相关规定履行相应手续。</w:t>
      </w:r>
    </w:p>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r>
        <w:rPr>
          <w:rFonts w:hint="eastAsia" w:ascii="黑体" w:hAnsi="黑体" w:eastAsia="黑体" w:cs="黑体"/>
          <w:snapToGrid w:val="0"/>
          <w:color w:val="auto"/>
          <w:spacing w:val="0"/>
          <w:kern w:val="0"/>
          <w:sz w:val="32"/>
          <w:szCs w:val="32"/>
          <w:highlight w:val="none"/>
          <w:u w:val="none"/>
          <w:lang w:val="en-US" w:eastAsia="zh-CN"/>
        </w:rPr>
        <w:t>第二章 职责分工</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第五条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高新区各有关部门，按照职责分工，负责政策兑现相关工作。各部门职责包括但不限于以下内容：</w:t>
      </w:r>
    </w:p>
    <w:p>
      <w:pPr>
        <w:keepNext w:val="0"/>
        <w:keepLines w:val="0"/>
        <w:pageBreakBefore w:val="0"/>
        <w:widowControl w:val="0"/>
        <w:kinsoku/>
        <w:wordWrap/>
        <w:overflowPunct/>
        <w:topLinePunct/>
        <w:autoSpaceDE w:val="0"/>
        <w:autoSpaceDN w:val="0"/>
        <w:bidi w:val="0"/>
        <w:adjustRightInd w:val="0"/>
        <w:snapToGrid w:val="0"/>
        <w:spacing w:line="600" w:lineRule="exact"/>
        <w:ind w:left="34" w:firstLine="646"/>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（一）政务办职责：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1.政策兑现工作的统筹组织、协调推进，兑现办理机制、流程的持续优化；</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2.政策兑现申请事项的统一受理和形式审核；</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3.政策兑现文件的统一流转、报送及办理流程的跟踪督促；</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4.政策兑现资金的预算编制和统一拨付；</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5.政策兑现档案资料的整理汇总及归档管理；</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6.政策兑现智能化建设的牵头推进及网上办理系统的日常管理维护。</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（二）财政金融局职责：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1.政策兑现资金的预算审核、筹措平衡和财务管理；</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2.依法依规对协议政策兑现事项开展金融监督管理；</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yellow"/>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3.普惠政策和协议政策兑现事项的资金审核；</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4.政策兑现事项的财务档案管理；</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5.配合各普惠政策牵头部门和协议政策责任部门开展政策实施效果评估评价。</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（三）法制工作办公室（审计局）（以下简称“法制办”）职责：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1.高新区各类普惠政策、招商协议政策文书文件的合法性、合规性审核，并就潜在法律风险提供法律服务支持保障；</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2.当政策兑现事项出现重大歧义时，为各普惠政策牵头部门和协议政策责任部门提供法律服务支持保障；</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3.政策兑现资金预算执行情况的审计监督。</w:t>
      </w: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商务和投资促进局（以下简称“商促局”）职责：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1.各协议政策责任部门所属协议文本的汇总、归档及向政务办、财政金融局、法制办的定期推送；</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2.牵头组织各相关部门开展对重点产业、重点企业运行情况、协议执行情况、支持政策实施效果的跟踪核实和评估评价；</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3.统筹协调、督促协议政策责任部门组织实施对所属协议政策支持企业、项目存在问题的跟踪处置。</w:t>
      </w:r>
    </w:p>
    <w:p>
      <w:pPr>
        <w:keepNext w:val="0"/>
        <w:keepLines w:val="0"/>
        <w:pageBreakBefore w:val="0"/>
        <w:widowControl w:val="0"/>
        <w:numPr>
          <w:ilvl w:val="0"/>
          <w:numId w:val="1"/>
        </w:numPr>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政策牵头责任部门职责：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1.所属普惠或协议政策的前期分析研判，政策、协议制订，报批及备案；</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2.及时与职能部门沟通，做好政策支持企业、项目生产经营情况、履约情况、风险情况的跟踪核实和及时通报；</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3.对所属普惠或协议政策申请人达标或履约情况出具审核意见；</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4.在申请人对兑现审核结果存在异议或存在特殊情况时，负责牵头梳理有关情况，组织部门会商，拟订处理意见，按照规定程序报请党委会或主任办公会审批；</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5.组织实施对所属普惠或协议政策支持企业、项目存在问题的跟踪处置，包括但不限于对已享受普惠或协议政策支持的申请人依政策或协议约定应退回政策兑现资金或涉及套、骗取政策兑现资金的追缴。</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（六）专业审核部门职责：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1.根据部门职责，对普惠及协议政策兑现事项是否符合本领域相关法律法规、政策规定等进行审核；</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2.根据部门职责，对普惠政策兑现申请事项是否满足政策支持条件进行审核并出具审核意见（各专业部门具体审核职责见附件3）；</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3.根据部门职责，对协议政策兑现申请事项指标完成情况进行审核并出具审核意见（各专业部门具体审核职责见附件3）；</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4.根据部门职责，对政策兑现申请事项的“一票否决”情况进行审核并出具审核意见（各专业部门具体审核职责见第五章第十九条）。</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（七）高新区纪委监察专员办公室职责：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1.对政策兑现相关部门及工作人员工作作风、工作效率、遵章守纪等情况进行监督检查；</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ind w:left="13" w:leftChars="6" w:firstLine="630" w:firstLineChars="197"/>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2.对政策兑现相关部门及工作人员在履行职责中违反党规党纪、法律法规及失职失责、作风不实等问题，进行执纪问责。</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r>
        <w:rPr>
          <w:rFonts w:hint="eastAsia" w:ascii="黑体" w:hAnsi="黑体" w:eastAsia="黑体" w:cs="黑体"/>
          <w:snapToGrid w:val="0"/>
          <w:color w:val="auto"/>
          <w:spacing w:val="0"/>
          <w:kern w:val="0"/>
          <w:sz w:val="32"/>
          <w:szCs w:val="32"/>
          <w:highlight w:val="none"/>
          <w:u w:val="none"/>
          <w:lang w:val="en-US" w:eastAsia="zh-CN"/>
        </w:rPr>
        <w:t>第三章 普惠政策兑现</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第六条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普惠政策是指无特定对象，凡符合条件的高新区企事业单位（原则上注册、税收、统计均应在高新区，相关政策有明确规定的除外）（以下统称“普惠政策申请人”）均可申报享受的支持政策。</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第七条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普惠政策兑现流程：</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普惠政策申请人向政务办提交政策兑现申请，由政务办进行形式审核。</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形式审核通过的，由业务部门进行专业审核，提出审核意见。普惠政策牵头部门提出支持金额建议。（会签单见附件1）</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专业审核通过的，由财政金融局进行资金审核，提出审核意见。</w:t>
      </w:r>
    </w:p>
    <w:p>
      <w:pPr>
        <w:keepNext w:val="0"/>
        <w:keepLines w:val="0"/>
        <w:pageBreakBefore w:val="0"/>
        <w:widowControl w:val="0"/>
        <w:numPr>
          <w:ilvl w:val="0"/>
          <w:numId w:val="2"/>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审核一致通过的，由政务办纳入待拨付项目库，按照预算资金安排，由普惠政策牵头部门报党委会或主任办公会审议批准后，由政务办根据政策兑现资金拨付程序办理拨付手续；审核未通过的，由政务办告知企业不予兑现决定及原因。</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第八条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普惠政策支持应与普惠政策申请人对高新区的综合贡献相匹配。高新区对申请人的年度普惠政策支持总额原则上不超过该申请人申请年度前二个年度对高新区的实际综合贡献，涉及科技创新、人才奖励等支持政策且相关政策文件有明确规定的除外。涉及特殊情况确需突破贡献额度的，由相应政策牵头部门报党委会或主任办公会审议决定。</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第九条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普惠政策兑现审核时限。兑现审核时限自普惠政策申请截止且申请人提交全部合规材料之日起开始计算。申请人补正材料时间不计入审核时限。普惠政策兑现事项的审核原则上应于30个工作日内完成（其中：政务办受理、形式审核及流转时限为10个工作日，相关业务部门专业审核时限为10个工作日，财政金融局资金审核时限为10个工作日），大批量集中申报事项及需要专家评审等特殊程序兑现事项除外。</w:t>
      </w:r>
    </w:p>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p>
    <w:p>
      <w:pPr>
        <w:keepNext w:val="0"/>
        <w:keepLines w:val="0"/>
        <w:pageBreakBefore w:val="0"/>
        <w:widowControl w:val="0"/>
        <w:kinsoku/>
        <w:wordWrap/>
        <w:overflowPunct/>
        <w:topLinePunct/>
        <w:autoSpaceDE w:val="0"/>
        <w:autoSpaceDN w:val="0"/>
        <w:bidi w:val="0"/>
        <w:adjustRightInd w:val="0"/>
        <w:snapToGrid w:val="0"/>
        <w:spacing w:line="600" w:lineRule="exact"/>
        <w:jc w:val="center"/>
        <w:textAlignment w:val="baseline"/>
        <w:rPr>
          <w:rFonts w:hint="eastAsia" w:ascii="黑体" w:hAnsi="黑体" w:eastAsia="黑体" w:cs="黑体"/>
          <w:snapToGrid w:val="0"/>
          <w:color w:val="auto"/>
          <w:spacing w:val="0"/>
          <w:kern w:val="0"/>
          <w:sz w:val="32"/>
          <w:szCs w:val="32"/>
          <w:highlight w:val="none"/>
          <w:u w:val="none"/>
          <w:lang w:val="en-US" w:eastAsia="zh-CN"/>
        </w:rPr>
      </w:pPr>
      <w:r>
        <w:rPr>
          <w:rFonts w:hint="eastAsia" w:ascii="黑体" w:hAnsi="黑体" w:eastAsia="黑体" w:cs="黑体"/>
          <w:snapToGrid w:val="0"/>
          <w:color w:val="auto"/>
          <w:spacing w:val="0"/>
          <w:kern w:val="0"/>
          <w:sz w:val="32"/>
          <w:szCs w:val="32"/>
          <w:highlight w:val="none"/>
          <w:u w:val="none"/>
          <w:lang w:val="en-US" w:eastAsia="zh-CN"/>
        </w:rPr>
        <w:t>第四章 协议政策兑现</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协议政策是指由高新区管委会与特定企事业单位（以下统称“协议政策申请人”）通过签订协议或其他文书形式，共同约定的定向专属支持政策或高新区管委会针对特定企事业单位出台的支持政策文件。</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第十一条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协议政策兑现流程：</w:t>
      </w:r>
    </w:p>
    <w:p>
      <w:pPr>
        <w:keepNext w:val="0"/>
        <w:keepLines w:val="0"/>
        <w:pageBreakBefore w:val="0"/>
        <w:widowControl w:val="0"/>
        <w:numPr>
          <w:ilvl w:val="0"/>
          <w:numId w:val="3"/>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协议政策申请人向政务办提交政策兑现申请，由政务办进行形式审核。</w:t>
      </w:r>
    </w:p>
    <w:p>
      <w:pPr>
        <w:keepNext w:val="0"/>
        <w:keepLines w:val="0"/>
        <w:pageBreakBefore w:val="0"/>
        <w:widowControl w:val="0"/>
        <w:numPr>
          <w:ilvl w:val="0"/>
          <w:numId w:val="3"/>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形式审核通过的，根据部门职责转由业务部门进行专业审核，提出审核意见。</w:t>
      </w:r>
    </w:p>
    <w:p>
      <w:pPr>
        <w:keepNext w:val="0"/>
        <w:keepLines w:val="0"/>
        <w:pageBreakBefore w:val="0"/>
        <w:widowControl w:val="0"/>
        <w:numPr>
          <w:ilvl w:val="0"/>
          <w:numId w:val="3"/>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专业审核通过的，由财政金融局进行资金审核，提出资金审核意见。（会签单见附件1）</w:t>
      </w:r>
    </w:p>
    <w:p>
      <w:pPr>
        <w:keepNext w:val="0"/>
        <w:keepLines w:val="0"/>
        <w:pageBreakBefore w:val="0"/>
        <w:widowControl w:val="0"/>
        <w:numPr>
          <w:ilvl w:val="0"/>
          <w:numId w:val="3"/>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审核一致通过的，由政务办汇总报分管财政工作副主任、管委会主任审批。审批通过的，由政务办纳入待拨付项目库，按照预算资金安排及规定程序办理拨付手续；审批未通过的，由政务办告知企业不予兑现决定及原因。</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第十二条</w:t>
      </w:r>
      <w:r>
        <w:rPr>
          <w:rFonts w:hint="eastAsia" w:ascii="仿宋_GB2312" w:hAnsi="仿宋_GB2312" w:eastAsia="仿宋_GB2312" w:cs="仿宋_GB2312"/>
          <w:snapToGrid w:val="0"/>
          <w:color w:val="auto"/>
          <w:spacing w:val="0"/>
          <w:kern w:val="0"/>
          <w:sz w:val="32"/>
          <w:szCs w:val="32"/>
          <w:highlight w:val="none"/>
          <w:u w:val="none"/>
          <w:lang w:val="en-US" w:eastAsia="zh-CN"/>
        </w:rPr>
        <w:t xml:space="preserve"> 严格执行协议备案程序。招商协议正式签订后，协议政策责任部门应于10个工作日内将正式协议及管委会批准文件复印件报送商促局，由商促局汇总后按月分别送政务办、财政金融局和法制办备案。协议签署前未进行法律审核和财政评估审核以及协议签署后未按照要求备案的，政策兑现申请不予受理。</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3" w:firstLineChars="20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 xml:space="preserve">第十三条 </w:t>
      </w:r>
      <w:r>
        <w:rPr>
          <w:rFonts w:hint="eastAsia" w:ascii="仿宋_GB2312" w:hAnsi="仿宋_GB2312" w:eastAsia="仿宋_GB2312" w:cs="仿宋_GB2312"/>
          <w:snapToGrid w:val="0"/>
          <w:color w:val="auto"/>
          <w:spacing w:val="0"/>
          <w:kern w:val="0"/>
          <w:sz w:val="32"/>
          <w:szCs w:val="32"/>
          <w:highlight w:val="none"/>
          <w:u w:val="none"/>
          <w:lang w:val="en-US" w:eastAsia="zh-CN"/>
        </w:rPr>
        <w:t>严格履行协议兑现约定。高新区严格落实与协议政策申请人签订的各类协议。在协议政策申请人根据协议按时、足额完成协议约定指标的情况下，及时、足额兑现政策支持。协议政策申请人未按时、足额完成协议约定指标的，根据相应情况采取以下方式办理兑现手续：</w:t>
      </w:r>
    </w:p>
    <w:p>
      <w:pPr>
        <w:keepNext w:val="0"/>
        <w:keepLines w:val="0"/>
        <w:pageBreakBefore w:val="0"/>
        <w:widowControl w:val="0"/>
        <w:numPr>
          <w:ilvl w:val="0"/>
          <w:numId w:val="4"/>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协议约定政策支持仅与经济指标挂钩的，如申请人未完成当年约定指标，但指标完成率（其中税收指标权重为70%，其他经济指标平均权重合计为30%）达到约定指标80%以上（含）的，按照协议约定政策支持的80%予以兑现；</w:t>
      </w:r>
    </w:p>
    <w:p>
      <w:pPr>
        <w:keepNext w:val="0"/>
        <w:keepLines w:val="0"/>
        <w:pageBreakBefore w:val="0"/>
        <w:widowControl w:val="0"/>
        <w:numPr>
          <w:ilvl w:val="-1"/>
          <w:numId w:val="0"/>
        </w:numPr>
        <w:kinsoku/>
        <w:wordWrap/>
        <w:overflowPunct/>
        <w:topLinePunct/>
        <w:autoSpaceDE w:val="0"/>
        <w:autoSpaceDN w:val="0"/>
        <w:bidi w:val="0"/>
        <w:adjustRightInd w:val="0"/>
        <w:snapToGrid w:val="0"/>
        <w:spacing w:line="600" w:lineRule="exact"/>
        <w:ind w:left="0" w:leftChars="0" w:firstLine="643" w:firstLineChars="201"/>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经济指标完成率未达到约定指标80%的，当年不予兑现。可根据申请人下一年度的指标完成情况，对连续两个年度的相应指标完成率进行平均计算，完成率100%以上（含）的，按照100%予以兑现；完成率80%以上（含）的，按照80%予以兑现；未达到80%的，前一年度政策支持不再予以兑现。已通过上述机制享受政策兑现支持的年度，不得再与下一年度合并计算指标完成情况。</w:t>
      </w:r>
    </w:p>
    <w:p>
      <w:pPr>
        <w:keepNext w:val="0"/>
        <w:keepLines w:val="0"/>
        <w:pageBreakBefore w:val="0"/>
        <w:widowControl w:val="0"/>
        <w:numPr>
          <w:ilvl w:val="0"/>
          <w:numId w:val="4"/>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协议约定政策支持与多项指标挂钩的，按照双方协议约定的具体政策支持考核机制办理。</w:t>
      </w:r>
    </w:p>
    <w:p>
      <w:pPr>
        <w:keepNext w:val="0"/>
        <w:keepLines w:val="0"/>
        <w:pageBreakBefore w:val="0"/>
        <w:widowControl w:val="0"/>
        <w:numPr>
          <w:ilvl w:val="0"/>
          <w:numId w:val="4"/>
        </w:numPr>
        <w:kinsoku/>
        <w:wordWrap/>
        <w:overflowPunct/>
        <w:topLinePunct/>
        <w:autoSpaceDE w:val="0"/>
        <w:autoSpaceDN w:val="0"/>
        <w:bidi w:val="0"/>
        <w:adjustRightInd w:val="0"/>
        <w:snapToGrid w:val="0"/>
        <w:spacing w:line="600" w:lineRule="exact"/>
        <w:ind w:left="0" w:leftChars="0" w:firstLine="640" w:firstLineChars="0"/>
        <w:jc w:val="both"/>
        <w:textAlignment w:val="baseline"/>
        <w:rPr>
          <w:rFonts w:hint="eastAsia" w:ascii="仿宋_GB2312" w:hAnsi="仿宋_GB2312" w:eastAsia="仿宋_GB2312" w:cs="仿宋_GB2312"/>
          <w:snapToGrid w:val="0"/>
          <w:color w:val="auto"/>
          <w:spacing w:val="0"/>
          <w:kern w:val="0"/>
          <w:sz w:val="32"/>
          <w:szCs w:val="32"/>
          <w:highlight w:val="none"/>
          <w:u w:val="none"/>
          <w:lang w:val="en-US" w:eastAsia="zh-CN"/>
        </w:rPr>
      </w:pPr>
      <w:r>
        <w:rPr>
          <w:rFonts w:hint="eastAsia" w:ascii="仿宋_GB2312" w:hAnsi="仿宋_GB2312" w:eastAsia="仿宋_GB2312" w:cs="仿宋_GB2312"/>
          <w:snapToGrid w:val="0"/>
          <w:color w:val="auto"/>
          <w:spacing w:val="0"/>
          <w:kern w:val="0"/>
          <w:sz w:val="32"/>
          <w:szCs w:val="32"/>
          <w:highlight w:val="none"/>
          <w:u w:val="none"/>
          <w:lang w:val="en-US" w:eastAsia="zh-CN"/>
        </w:rPr>
        <w:t>因自然灾害等不可抗力因素或国家法律、法规、政策重大调整等特殊原因，导致协议政策申请人未完成协议约定指标的，可由申请人提出申请，由协议政策责任部门与政策兑现相关各部门进行会商研判，另行拟订兑现处理意见，报经协议政策责任部门分管副主任同意后，报主任办公会进行审议。审议批准的，按批准情况继续办理政策兑现手续；未获批准的，由政务办告知企业不予兑现决定及原因。部门会商及处理意见报批时间原则上不超过30个工作日，且不计入政策兑现审批时限。</w:t>
      </w:r>
    </w:p>
    <w:p>
      <w:pPr>
        <w:keepNext w:val="0"/>
        <w:keepLines w:val="0"/>
        <w:pageBreakBefore w:val="0"/>
        <w:widowControl w:val="0"/>
        <w:kinsoku/>
        <w:wordWrap/>
        <w:overflowPunct/>
        <w:topLinePunct/>
        <w:bidi w:val="0"/>
        <w:spacing w:line="600" w:lineRule="exact"/>
        <w:ind w:left="35" w:right="103" w:firstLine="654"/>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第十四条</w:t>
      </w:r>
      <w:r>
        <w:rPr>
          <w:rFonts w:hint="eastAsia" w:ascii="仿宋_GB2312" w:hAnsi="仿宋_GB2312" w:eastAsia="仿宋_GB2312" w:cs="仿宋_GB2312"/>
          <w:color w:val="auto"/>
          <w:spacing w:val="0"/>
          <w:sz w:val="32"/>
          <w:szCs w:val="32"/>
          <w:highlight w:val="none"/>
          <w:u w:val="none"/>
        </w:rPr>
        <w:t xml:space="preserve"> 协议政策支持与协议政策申请人对高新区的</w:t>
      </w:r>
      <w:r>
        <w:rPr>
          <w:rFonts w:hint="eastAsia" w:ascii="仿宋_GB2312" w:hAnsi="仿宋_GB2312" w:eastAsia="仿宋_GB2312" w:cs="仿宋_GB2312"/>
          <w:color w:val="auto"/>
          <w:spacing w:val="0"/>
          <w:sz w:val="32"/>
          <w:szCs w:val="32"/>
          <w:highlight w:val="none"/>
          <w:u w:val="none"/>
          <w:lang w:val="en-US" w:eastAsia="zh-CN"/>
        </w:rPr>
        <w:t>综合贡献</w:t>
      </w:r>
      <w:r>
        <w:rPr>
          <w:rFonts w:hint="eastAsia" w:ascii="仿宋_GB2312" w:hAnsi="仿宋_GB2312" w:eastAsia="仿宋_GB2312" w:cs="仿宋_GB2312"/>
          <w:color w:val="auto"/>
          <w:spacing w:val="0"/>
          <w:sz w:val="32"/>
          <w:szCs w:val="32"/>
          <w:highlight w:val="none"/>
          <w:u w:val="none"/>
        </w:rPr>
        <w:t>相匹配。政策期内对申请人的政策支持总额原则上不超过该申请人政策期内</w:t>
      </w:r>
      <w:r>
        <w:rPr>
          <w:rFonts w:hint="eastAsia" w:ascii="仿宋_GB2312" w:hAnsi="仿宋_GB2312" w:eastAsia="仿宋_GB2312" w:cs="仿宋_GB2312"/>
          <w:color w:val="auto"/>
          <w:spacing w:val="0"/>
          <w:sz w:val="32"/>
          <w:szCs w:val="32"/>
          <w:highlight w:val="none"/>
          <w:u w:val="none"/>
          <w:lang w:eastAsia="zh-CN"/>
        </w:rPr>
        <w:t>对</w:t>
      </w:r>
      <w:r>
        <w:rPr>
          <w:rFonts w:hint="eastAsia" w:ascii="仿宋_GB2312" w:hAnsi="仿宋_GB2312" w:eastAsia="仿宋_GB2312" w:cs="仿宋_GB2312"/>
          <w:color w:val="auto"/>
          <w:spacing w:val="0"/>
          <w:sz w:val="32"/>
          <w:szCs w:val="32"/>
          <w:highlight w:val="none"/>
          <w:u w:val="none"/>
        </w:rPr>
        <w:t>高新区</w:t>
      </w:r>
      <w:r>
        <w:rPr>
          <w:rFonts w:hint="eastAsia" w:ascii="仿宋_GB2312" w:hAnsi="仿宋_GB2312" w:eastAsia="仿宋_GB2312" w:cs="仿宋_GB2312"/>
          <w:color w:val="auto"/>
          <w:spacing w:val="0"/>
          <w:sz w:val="32"/>
          <w:szCs w:val="32"/>
          <w:highlight w:val="none"/>
          <w:u w:val="none"/>
          <w:lang w:eastAsia="zh-CN"/>
        </w:rPr>
        <w:t>的</w:t>
      </w:r>
      <w:r>
        <w:rPr>
          <w:rFonts w:hint="eastAsia" w:ascii="仿宋_GB2312" w:hAnsi="仿宋_GB2312" w:eastAsia="仿宋_GB2312" w:cs="仿宋_GB2312"/>
          <w:color w:val="auto"/>
          <w:spacing w:val="0"/>
          <w:sz w:val="32"/>
          <w:szCs w:val="32"/>
          <w:highlight w:val="none"/>
          <w:u w:val="none"/>
          <w:lang w:val="en-US" w:eastAsia="zh-CN"/>
        </w:rPr>
        <w:t>实际综合贡献</w:t>
      </w:r>
      <w:r>
        <w:rPr>
          <w:rFonts w:hint="eastAsia" w:ascii="仿宋_GB2312" w:hAnsi="仿宋_GB2312" w:eastAsia="仿宋_GB2312" w:cs="仿宋_GB2312"/>
          <w:snapToGrid w:val="0"/>
          <w:color w:val="auto"/>
          <w:spacing w:val="0"/>
          <w:kern w:val="0"/>
          <w:sz w:val="32"/>
          <w:szCs w:val="32"/>
          <w:highlight w:val="none"/>
          <w:u w:val="none"/>
          <w:lang w:val="en-US" w:eastAsia="zh-CN"/>
        </w:rPr>
        <w:t>（具体协议文件有明确约定的除外）</w:t>
      </w:r>
      <w:r>
        <w:rPr>
          <w:rFonts w:hint="eastAsia" w:ascii="仿宋_GB2312" w:hAnsi="仿宋_GB2312" w:eastAsia="仿宋_GB2312" w:cs="仿宋_GB2312"/>
          <w:color w:val="auto"/>
          <w:spacing w:val="0"/>
          <w:sz w:val="32"/>
          <w:szCs w:val="32"/>
          <w:highlight w:val="none"/>
          <w:u w:val="none"/>
        </w:rPr>
        <w:t>。</w:t>
      </w:r>
    </w:p>
    <w:p>
      <w:pPr>
        <w:keepNext w:val="0"/>
        <w:keepLines w:val="0"/>
        <w:pageBreakBefore w:val="0"/>
        <w:widowControl w:val="0"/>
        <w:kinsoku/>
        <w:wordWrap/>
        <w:overflowPunct/>
        <w:topLinePunct/>
        <w:bidi w:val="0"/>
        <w:spacing w:line="600" w:lineRule="exact"/>
        <w:ind w:left="34" w:right="14" w:firstLine="655"/>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第十五条</w:t>
      </w:r>
      <w:r>
        <w:rPr>
          <w:rFonts w:hint="eastAsia" w:ascii="仿宋_GB2312" w:hAnsi="仿宋_GB2312" w:eastAsia="仿宋_GB2312" w:cs="仿宋_GB2312"/>
          <w:color w:val="auto"/>
          <w:spacing w:val="0"/>
          <w:sz w:val="32"/>
          <w:szCs w:val="32"/>
          <w:highlight w:val="none"/>
          <w:u w:val="none"/>
        </w:rPr>
        <w:t xml:space="preserve"> 协议政策兑现审核时限。兑现审核时限以协议政策申请人提交全部合规材料开始计算。申请人补正材料时间不计入审核时限。协议政策兑现事项原则上应于</w:t>
      </w:r>
      <w:r>
        <w:rPr>
          <w:rFonts w:hint="eastAsia" w:ascii="仿宋_GB2312" w:hAnsi="仿宋_GB2312" w:eastAsia="仿宋_GB2312" w:cs="仿宋_GB2312"/>
          <w:color w:val="auto"/>
          <w:spacing w:val="0"/>
          <w:sz w:val="32"/>
          <w:szCs w:val="32"/>
          <w:highlight w:val="none"/>
          <w:u w:val="none"/>
          <w:lang w:val="en-US" w:eastAsia="zh-CN"/>
        </w:rPr>
        <w:t>30</w:t>
      </w:r>
      <w:r>
        <w:rPr>
          <w:rFonts w:hint="eastAsia" w:ascii="仿宋_GB2312" w:hAnsi="仿宋_GB2312" w:eastAsia="仿宋_GB2312" w:cs="仿宋_GB2312"/>
          <w:color w:val="auto"/>
          <w:spacing w:val="0"/>
          <w:sz w:val="32"/>
          <w:szCs w:val="32"/>
          <w:highlight w:val="none"/>
          <w:u w:val="none"/>
        </w:rPr>
        <w:t>个工作日内完成兑现审核 (其中：政务办受理、</w:t>
      </w:r>
      <w:r>
        <w:rPr>
          <w:rFonts w:hint="eastAsia" w:ascii="仿宋_GB2312" w:hAnsi="仿宋_GB2312" w:eastAsia="仿宋_GB2312" w:cs="仿宋_GB2312"/>
          <w:snapToGrid w:val="0"/>
          <w:color w:val="auto"/>
          <w:spacing w:val="0"/>
          <w:kern w:val="0"/>
          <w:sz w:val="32"/>
          <w:szCs w:val="32"/>
          <w:highlight w:val="none"/>
          <w:u w:val="none"/>
          <w:lang w:val="en-US" w:eastAsia="zh-CN"/>
        </w:rPr>
        <w:t>形式审核</w:t>
      </w:r>
      <w:r>
        <w:rPr>
          <w:rFonts w:hint="eastAsia" w:ascii="仿宋_GB2312" w:hAnsi="仿宋_GB2312" w:eastAsia="仿宋_GB2312" w:cs="仿宋_GB2312"/>
          <w:color w:val="auto"/>
          <w:spacing w:val="0"/>
          <w:sz w:val="32"/>
          <w:szCs w:val="32"/>
          <w:highlight w:val="none"/>
          <w:u w:val="none"/>
        </w:rPr>
        <w:t>及流转时限为</w:t>
      </w:r>
      <w:r>
        <w:rPr>
          <w:rFonts w:hint="eastAsia" w:ascii="仿宋_GB2312" w:hAnsi="仿宋_GB2312" w:eastAsia="仿宋_GB2312" w:cs="仿宋_GB2312"/>
          <w:color w:val="auto"/>
          <w:spacing w:val="0"/>
          <w:sz w:val="32"/>
          <w:szCs w:val="32"/>
          <w:highlight w:val="none"/>
          <w:u w:val="none"/>
          <w:lang w:val="en-US" w:eastAsia="zh-CN"/>
        </w:rPr>
        <w:t>10</w:t>
      </w:r>
      <w:r>
        <w:rPr>
          <w:rFonts w:hint="eastAsia" w:ascii="仿宋_GB2312" w:hAnsi="仿宋_GB2312" w:eastAsia="仿宋_GB2312" w:cs="仿宋_GB2312"/>
          <w:color w:val="auto"/>
          <w:spacing w:val="0"/>
          <w:sz w:val="32"/>
          <w:szCs w:val="32"/>
          <w:highlight w:val="none"/>
          <w:u w:val="none"/>
        </w:rPr>
        <w:t>个工作日，业务部门专业审核时限为</w:t>
      </w:r>
      <w:r>
        <w:rPr>
          <w:rFonts w:hint="eastAsia" w:ascii="仿宋_GB2312" w:hAnsi="仿宋_GB2312" w:eastAsia="仿宋_GB2312" w:cs="仿宋_GB2312"/>
          <w:color w:val="auto"/>
          <w:spacing w:val="0"/>
          <w:sz w:val="32"/>
          <w:szCs w:val="32"/>
          <w:highlight w:val="none"/>
          <w:u w:val="none"/>
          <w:lang w:val="en-US" w:eastAsia="zh-CN"/>
        </w:rPr>
        <w:t>10</w:t>
      </w:r>
      <w:r>
        <w:rPr>
          <w:rFonts w:hint="eastAsia" w:ascii="仿宋_GB2312" w:hAnsi="仿宋_GB2312" w:eastAsia="仿宋_GB2312" w:cs="仿宋_GB2312"/>
          <w:color w:val="auto"/>
          <w:spacing w:val="0"/>
          <w:sz w:val="32"/>
          <w:szCs w:val="32"/>
          <w:highlight w:val="none"/>
          <w:u w:val="none"/>
        </w:rPr>
        <w:t>个工作日，</w:t>
      </w:r>
      <w:r>
        <w:rPr>
          <w:rFonts w:hint="eastAsia" w:ascii="仿宋_GB2312" w:hAnsi="仿宋_GB2312" w:eastAsia="仿宋_GB2312" w:cs="仿宋_GB2312"/>
          <w:color w:val="auto"/>
          <w:spacing w:val="0"/>
          <w:sz w:val="32"/>
          <w:szCs w:val="32"/>
          <w:highlight w:val="none"/>
          <w:u w:val="none"/>
          <w:lang w:eastAsia="zh-CN"/>
        </w:rPr>
        <w:t>财政金融局</w:t>
      </w:r>
      <w:r>
        <w:rPr>
          <w:rFonts w:hint="eastAsia" w:ascii="仿宋_GB2312" w:hAnsi="仿宋_GB2312" w:eastAsia="仿宋_GB2312" w:cs="仿宋_GB2312"/>
          <w:color w:val="auto"/>
          <w:spacing w:val="0"/>
          <w:sz w:val="32"/>
          <w:szCs w:val="32"/>
          <w:highlight w:val="none"/>
          <w:u w:val="none"/>
        </w:rPr>
        <w:t>资金审核时限为</w:t>
      </w:r>
      <w:r>
        <w:rPr>
          <w:rFonts w:hint="eastAsia" w:ascii="仿宋_GB2312" w:hAnsi="仿宋_GB2312" w:eastAsia="仿宋_GB2312" w:cs="仿宋_GB2312"/>
          <w:color w:val="auto"/>
          <w:spacing w:val="0"/>
          <w:sz w:val="32"/>
          <w:szCs w:val="32"/>
          <w:highlight w:val="none"/>
          <w:u w:val="none"/>
          <w:lang w:val="en-US" w:eastAsia="zh-CN"/>
        </w:rPr>
        <w:t>10</w:t>
      </w:r>
      <w:r>
        <w:rPr>
          <w:rFonts w:hint="eastAsia" w:ascii="仿宋_GB2312" w:hAnsi="仿宋_GB2312" w:eastAsia="仿宋_GB2312" w:cs="仿宋_GB2312"/>
          <w:color w:val="auto"/>
          <w:spacing w:val="0"/>
          <w:sz w:val="32"/>
          <w:szCs w:val="32"/>
          <w:highlight w:val="none"/>
          <w:u w:val="none"/>
        </w:rPr>
        <w:t>个工作日) 。</w:t>
      </w:r>
    </w:p>
    <w:p>
      <w:pPr>
        <w:keepNext w:val="0"/>
        <w:keepLines w:val="0"/>
        <w:pageBreakBefore w:val="0"/>
        <w:widowControl w:val="0"/>
        <w:kinsoku/>
        <w:wordWrap/>
        <w:overflowPunct/>
        <w:topLinePunct/>
        <w:bidi w:val="0"/>
        <w:spacing w:line="600" w:lineRule="exact"/>
        <w:ind w:right="14"/>
        <w:jc w:val="center"/>
        <w:rPr>
          <w:rFonts w:hint="eastAsia" w:ascii="黑体" w:hAnsi="黑体" w:eastAsia="黑体" w:cs="黑体"/>
          <w:color w:val="auto"/>
          <w:spacing w:val="0"/>
          <w:sz w:val="32"/>
          <w:szCs w:val="32"/>
          <w:highlight w:val="none"/>
          <w:u w:val="none"/>
          <w:lang w:eastAsia="zh-CN"/>
        </w:rPr>
      </w:pPr>
    </w:p>
    <w:p>
      <w:pPr>
        <w:keepNext w:val="0"/>
        <w:keepLines w:val="0"/>
        <w:pageBreakBefore w:val="0"/>
        <w:widowControl w:val="0"/>
        <w:kinsoku/>
        <w:wordWrap/>
        <w:overflowPunct/>
        <w:topLinePunct/>
        <w:bidi w:val="0"/>
        <w:spacing w:line="600" w:lineRule="exact"/>
        <w:ind w:right="14"/>
        <w:jc w:val="center"/>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lang w:eastAsia="zh-CN"/>
        </w:rPr>
        <w:t>第五章</w:t>
      </w:r>
      <w:r>
        <w:rPr>
          <w:rFonts w:hint="eastAsia" w:ascii="黑体" w:hAnsi="黑体" w:eastAsia="黑体" w:cs="黑体"/>
          <w:color w:val="auto"/>
          <w:spacing w:val="0"/>
          <w:sz w:val="32"/>
          <w:szCs w:val="32"/>
          <w:highlight w:val="none"/>
          <w:u w:val="none"/>
          <w:lang w:val="en-US" w:eastAsia="zh-CN"/>
        </w:rPr>
        <w:t xml:space="preserve"> </w:t>
      </w:r>
      <w:r>
        <w:rPr>
          <w:rFonts w:hint="eastAsia" w:ascii="黑体" w:hAnsi="黑体" w:eastAsia="黑体" w:cs="黑体"/>
          <w:color w:val="auto"/>
          <w:spacing w:val="0"/>
          <w:sz w:val="32"/>
          <w:szCs w:val="32"/>
          <w:highlight w:val="none"/>
          <w:u w:val="none"/>
        </w:rPr>
        <w:t>其他兑现原则</w:t>
      </w:r>
    </w:p>
    <w:p>
      <w:pPr>
        <w:keepNext w:val="0"/>
        <w:keepLines w:val="0"/>
        <w:pageBreakBefore w:val="0"/>
        <w:widowControl w:val="0"/>
        <w:kinsoku/>
        <w:wordWrap/>
        <w:overflowPunct/>
        <w:topLinePunct/>
        <w:bidi w:val="0"/>
        <w:spacing w:line="600" w:lineRule="exact"/>
        <w:ind w:left="53" w:right="105" w:firstLine="630"/>
        <w:jc w:val="both"/>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第十六条</w:t>
      </w:r>
      <w:r>
        <w:rPr>
          <w:rFonts w:hint="eastAsia" w:ascii="仿宋_GB2312" w:hAnsi="仿宋_GB2312" w:eastAsia="仿宋_GB2312" w:cs="仿宋_GB2312"/>
          <w:color w:val="auto"/>
          <w:spacing w:val="0"/>
          <w:sz w:val="32"/>
          <w:szCs w:val="32"/>
          <w:highlight w:val="none"/>
          <w:u w:val="none"/>
        </w:rPr>
        <w:t xml:space="preserve"> 属于高新区“三重一大”制度规定范围内的政策兑现事项须按照相关规定要求，履行相应审批手续。审批通过的，由</w:t>
      </w:r>
      <w:r>
        <w:rPr>
          <w:rFonts w:hint="eastAsia" w:ascii="仿宋_GB2312" w:hAnsi="仿宋_GB2312" w:eastAsia="仿宋_GB2312" w:cs="仿宋_GB2312"/>
          <w:color w:val="auto"/>
          <w:spacing w:val="0"/>
          <w:sz w:val="32"/>
          <w:szCs w:val="32"/>
          <w:highlight w:val="none"/>
          <w:u w:val="none"/>
          <w:lang w:val="en-US" w:eastAsia="zh-CN"/>
        </w:rPr>
        <w:t>政务办</w:t>
      </w:r>
      <w:r>
        <w:rPr>
          <w:rFonts w:hint="eastAsia" w:ascii="仿宋_GB2312" w:hAnsi="仿宋_GB2312" w:eastAsia="仿宋_GB2312" w:cs="仿宋_GB2312"/>
          <w:color w:val="auto"/>
          <w:spacing w:val="0"/>
          <w:sz w:val="32"/>
          <w:szCs w:val="32"/>
          <w:highlight w:val="none"/>
          <w:u w:val="none"/>
        </w:rPr>
        <w:t>办理</w:t>
      </w:r>
      <w:r>
        <w:rPr>
          <w:rFonts w:hint="eastAsia" w:ascii="仿宋_GB2312" w:hAnsi="仿宋_GB2312" w:eastAsia="仿宋_GB2312" w:cs="仿宋_GB2312"/>
          <w:color w:val="auto"/>
          <w:spacing w:val="0"/>
          <w:sz w:val="32"/>
          <w:szCs w:val="32"/>
          <w:highlight w:val="none"/>
          <w:u w:val="none"/>
          <w:lang w:eastAsia="zh-CN"/>
        </w:rPr>
        <w:t>兑现</w:t>
      </w:r>
      <w:r>
        <w:rPr>
          <w:rFonts w:hint="eastAsia" w:ascii="仿宋_GB2312" w:hAnsi="仿宋_GB2312" w:eastAsia="仿宋_GB2312" w:cs="仿宋_GB2312"/>
          <w:color w:val="auto"/>
          <w:spacing w:val="0"/>
          <w:sz w:val="32"/>
          <w:szCs w:val="32"/>
          <w:highlight w:val="none"/>
          <w:u w:val="none"/>
        </w:rPr>
        <w:t>资金拨付手续。</w:t>
      </w:r>
    </w:p>
    <w:p>
      <w:pPr>
        <w:keepNext w:val="0"/>
        <w:keepLines w:val="0"/>
        <w:pageBreakBefore w:val="0"/>
        <w:widowControl w:val="0"/>
        <w:kinsoku/>
        <w:wordWrap/>
        <w:overflowPunct/>
        <w:topLinePunct/>
        <w:autoSpaceDE/>
        <w:autoSpaceDN/>
        <w:bidi w:val="0"/>
        <w:adjustRightInd/>
        <w:snapToGrid/>
        <w:spacing w:line="600" w:lineRule="exact"/>
        <w:ind w:left="35" w:right="102" w:firstLine="654"/>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第十七条</w:t>
      </w:r>
      <w:r>
        <w:rPr>
          <w:rFonts w:hint="eastAsia" w:ascii="仿宋_GB2312" w:hAnsi="仿宋_GB2312" w:eastAsia="仿宋_GB2312" w:cs="仿宋_GB2312"/>
          <w:color w:val="auto"/>
          <w:spacing w:val="0"/>
          <w:sz w:val="32"/>
          <w:szCs w:val="32"/>
          <w:highlight w:val="none"/>
          <w:u w:val="none"/>
        </w:rPr>
        <w:t xml:space="preserve"> 政策兑现执行</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就高不重复</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原则</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由普惠政策牵头部门及协议政策责任部门会同相关业务部门建立研判机制，就“就高不重复”情况进行认定。</w:t>
      </w:r>
    </w:p>
    <w:p>
      <w:pPr>
        <w:keepNext w:val="0"/>
        <w:keepLines w:val="0"/>
        <w:pageBreakBefore w:val="0"/>
        <w:widowControl w:val="0"/>
        <w:numPr>
          <w:ilvl w:val="0"/>
          <w:numId w:val="5"/>
        </w:numPr>
        <w:kinsoku/>
        <w:wordWrap/>
        <w:overflowPunct/>
        <w:topLinePunct/>
        <w:autoSpaceDE/>
        <w:autoSpaceDN/>
        <w:bidi w:val="0"/>
        <w:adjustRightInd/>
        <w:snapToGrid/>
        <w:spacing w:line="600" w:lineRule="exact"/>
        <w:ind w:left="0" w:leftChars="0" w:right="102" w:firstLine="640" w:firstLineChars="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各级政府支持</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就高不重复</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原则。同一申请人获得国家、天津市、滨海新区同类型奖励或资助的，按照就高不就低、不重复享受的原则予以支持。</w:t>
      </w:r>
    </w:p>
    <w:p>
      <w:pPr>
        <w:keepNext w:val="0"/>
        <w:keepLines w:val="0"/>
        <w:pageBreakBefore w:val="0"/>
        <w:widowControl w:val="0"/>
        <w:numPr>
          <w:ilvl w:val="0"/>
          <w:numId w:val="5"/>
        </w:numPr>
        <w:kinsoku/>
        <w:wordWrap/>
        <w:overflowPunct/>
        <w:topLinePunct/>
        <w:autoSpaceDE/>
        <w:autoSpaceDN/>
        <w:bidi w:val="0"/>
        <w:adjustRightInd/>
        <w:snapToGrid/>
        <w:spacing w:line="600" w:lineRule="exact"/>
        <w:ind w:left="0" w:leftChars="0" w:right="102" w:firstLine="640" w:firstLineChars="0"/>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同一事项</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就高不重复</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原则。同一申请人的同一项目或事项符合普惠政策中多项支持内容的，按照就高不就低、不重复享受的原则予以支持。</w:t>
      </w:r>
    </w:p>
    <w:p>
      <w:pPr>
        <w:keepNext w:val="0"/>
        <w:keepLines w:val="0"/>
        <w:pageBreakBefore w:val="0"/>
        <w:widowControl w:val="0"/>
        <w:numPr>
          <w:ilvl w:val="0"/>
          <w:numId w:val="5"/>
        </w:numPr>
        <w:kinsoku/>
        <w:wordWrap/>
        <w:overflowPunct/>
        <w:topLinePunct/>
        <w:autoSpaceDE/>
        <w:autoSpaceDN/>
        <w:bidi w:val="0"/>
        <w:adjustRightInd/>
        <w:snapToGrid/>
        <w:spacing w:line="600" w:lineRule="exact"/>
        <w:ind w:left="0" w:leftChars="0" w:right="102" w:firstLine="640" w:firstLineChars="0"/>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rPr>
        <w:t>协议政策和普惠政策</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就高不重复</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原则。同一申请人同时符合协议政策和普惠政策中同类型支持内容的，按照就高不就低、不重复享受的原则予以支持。</w:t>
      </w:r>
    </w:p>
    <w:p>
      <w:pPr>
        <w:keepNext w:val="0"/>
        <w:keepLines w:val="0"/>
        <w:pageBreakBefore w:val="0"/>
        <w:widowControl w:val="0"/>
        <w:numPr>
          <w:ilvl w:val="0"/>
          <w:numId w:val="5"/>
        </w:numPr>
        <w:kinsoku/>
        <w:wordWrap/>
        <w:overflowPunct/>
        <w:topLinePunct/>
        <w:autoSpaceDE/>
        <w:autoSpaceDN/>
        <w:bidi w:val="0"/>
        <w:adjustRightInd/>
        <w:snapToGrid/>
        <w:spacing w:line="600" w:lineRule="exact"/>
        <w:ind w:left="0" w:leftChars="0" w:right="102" w:firstLine="640" w:firstLineChars="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协议政策申请人获得国家、天津市和滨海新区等上级单位、部门政策奖励、补贴等支持，如需要由高新区进行配套支持的，协议政策支持资金视同为相应配套匹配资金，并按照配套匹配资金拨付程序进行拨付（具体政策文件有明确规定的除外）。</w:t>
      </w:r>
    </w:p>
    <w:p>
      <w:pPr>
        <w:keepNext w:val="0"/>
        <w:keepLines w:val="0"/>
        <w:pageBreakBefore w:val="0"/>
        <w:widowControl w:val="0"/>
        <w:kinsoku/>
        <w:wordWrap/>
        <w:overflowPunct/>
        <w:topLinePunct/>
        <w:autoSpaceDE/>
        <w:autoSpaceDN/>
        <w:bidi w:val="0"/>
        <w:adjustRightInd/>
        <w:snapToGrid/>
        <w:spacing w:line="600" w:lineRule="exact"/>
        <w:ind w:left="35" w:right="102" w:firstLine="654"/>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第十八条</w:t>
      </w:r>
      <w:r>
        <w:rPr>
          <w:rFonts w:hint="eastAsia" w:ascii="仿宋_GB2312" w:hAnsi="仿宋_GB2312" w:eastAsia="仿宋_GB2312" w:cs="仿宋_GB2312"/>
          <w:color w:val="auto"/>
          <w:spacing w:val="0"/>
          <w:sz w:val="32"/>
          <w:szCs w:val="32"/>
          <w:highlight w:val="none"/>
          <w:u w:val="none"/>
        </w:rPr>
        <w:t xml:space="preserve"> 政策兑现申请的有效时限。原则上申请人应于当年申报本年度或上一年度政策兑现事项，过期不再予以受理(采取连续两个年度平均计算指标完成率的协议政策兑现申请除外)。</w:t>
      </w:r>
      <w:r>
        <w:rPr>
          <w:rFonts w:hint="eastAsia" w:ascii="仿宋_GB2312" w:hAnsi="仿宋_GB2312" w:eastAsia="仿宋_GB2312" w:cs="仿宋_GB2312"/>
          <w:color w:val="auto"/>
          <w:spacing w:val="0"/>
          <w:sz w:val="32"/>
          <w:szCs w:val="32"/>
          <w:highlight w:val="none"/>
          <w:u w:val="none"/>
          <w:lang w:eastAsia="zh-CN"/>
        </w:rPr>
        <w:t>超期</w:t>
      </w:r>
      <w:r>
        <w:rPr>
          <w:rFonts w:hint="eastAsia" w:ascii="仿宋_GB2312" w:hAnsi="仿宋_GB2312" w:eastAsia="仿宋_GB2312" w:cs="仿宋_GB2312"/>
          <w:color w:val="auto"/>
          <w:spacing w:val="0"/>
          <w:sz w:val="32"/>
          <w:szCs w:val="32"/>
          <w:highlight w:val="none"/>
          <w:u w:val="none"/>
        </w:rPr>
        <w:t>申请协议政策兑现且确有特殊情况的，须由申请人向所属</w:t>
      </w:r>
      <w:r>
        <w:rPr>
          <w:rFonts w:hint="eastAsia" w:ascii="仿宋_GB2312" w:hAnsi="仿宋_GB2312" w:eastAsia="仿宋_GB2312" w:cs="仿宋_GB2312"/>
          <w:color w:val="auto"/>
          <w:spacing w:val="0"/>
          <w:sz w:val="32"/>
          <w:szCs w:val="32"/>
          <w:highlight w:val="none"/>
          <w:u w:val="none"/>
          <w:lang w:eastAsia="zh-CN"/>
        </w:rPr>
        <w:t>协议政策责任部门</w:t>
      </w:r>
      <w:r>
        <w:rPr>
          <w:rFonts w:hint="eastAsia" w:ascii="仿宋_GB2312" w:hAnsi="仿宋_GB2312" w:eastAsia="仿宋_GB2312" w:cs="仿宋_GB2312"/>
          <w:color w:val="auto"/>
          <w:spacing w:val="0"/>
          <w:sz w:val="32"/>
          <w:szCs w:val="32"/>
          <w:highlight w:val="none"/>
          <w:u w:val="none"/>
        </w:rPr>
        <w:t>提交书面</w:t>
      </w:r>
      <w:r>
        <w:rPr>
          <w:rFonts w:hint="eastAsia" w:ascii="仿宋_GB2312" w:hAnsi="仿宋_GB2312" w:eastAsia="仿宋_GB2312" w:cs="仿宋_GB2312"/>
          <w:color w:val="auto"/>
          <w:spacing w:val="0"/>
          <w:sz w:val="32"/>
          <w:szCs w:val="32"/>
          <w:highlight w:val="none"/>
          <w:u w:val="none"/>
          <w:lang w:eastAsia="zh-CN"/>
        </w:rPr>
        <w:t>申请</w:t>
      </w:r>
      <w:r>
        <w:rPr>
          <w:rFonts w:hint="eastAsia" w:ascii="仿宋_GB2312" w:hAnsi="仿宋_GB2312" w:eastAsia="仿宋_GB2312" w:cs="仿宋_GB2312"/>
          <w:color w:val="auto"/>
          <w:spacing w:val="0"/>
          <w:sz w:val="32"/>
          <w:szCs w:val="32"/>
          <w:highlight w:val="none"/>
          <w:u w:val="none"/>
        </w:rPr>
        <w:t>，报主任办公会批准后可以进行</w:t>
      </w:r>
      <w:r>
        <w:rPr>
          <w:rFonts w:hint="eastAsia" w:ascii="仿宋_GB2312" w:hAnsi="仿宋_GB2312" w:eastAsia="仿宋_GB2312" w:cs="仿宋_GB2312"/>
          <w:color w:val="auto"/>
          <w:spacing w:val="0"/>
          <w:sz w:val="32"/>
          <w:szCs w:val="32"/>
          <w:highlight w:val="none"/>
          <w:u w:val="none"/>
          <w:lang w:val="en-US" w:eastAsia="zh-CN"/>
        </w:rPr>
        <w:t>补</w:t>
      </w:r>
      <w:r>
        <w:rPr>
          <w:rFonts w:hint="eastAsia" w:ascii="仿宋_GB2312" w:hAnsi="仿宋_GB2312" w:eastAsia="仿宋_GB2312" w:cs="仿宋_GB2312"/>
          <w:color w:val="auto"/>
          <w:spacing w:val="0"/>
          <w:sz w:val="32"/>
          <w:szCs w:val="32"/>
          <w:highlight w:val="none"/>
          <w:u w:val="none"/>
        </w:rPr>
        <w:t>报，</w:t>
      </w:r>
      <w:r>
        <w:rPr>
          <w:rFonts w:hint="eastAsia" w:ascii="仿宋_GB2312" w:hAnsi="仿宋_GB2312" w:eastAsia="仿宋_GB2312" w:cs="仿宋_GB2312"/>
          <w:color w:val="auto"/>
          <w:spacing w:val="0"/>
          <w:sz w:val="32"/>
          <w:szCs w:val="32"/>
          <w:highlight w:val="none"/>
          <w:u w:val="none"/>
          <w:lang w:val="en-US" w:eastAsia="zh-CN"/>
        </w:rPr>
        <w:t>原则上</w:t>
      </w:r>
      <w:r>
        <w:rPr>
          <w:rFonts w:hint="eastAsia" w:ascii="仿宋_GB2312" w:hAnsi="仿宋_GB2312" w:eastAsia="仿宋_GB2312" w:cs="仿宋_GB2312"/>
          <w:color w:val="auto"/>
          <w:spacing w:val="0"/>
          <w:sz w:val="32"/>
          <w:szCs w:val="32"/>
          <w:highlight w:val="none"/>
          <w:u w:val="none"/>
        </w:rPr>
        <w:t>按照会计年度最多追溯一年。</w:t>
      </w:r>
    </w:p>
    <w:p>
      <w:pPr>
        <w:keepNext w:val="0"/>
        <w:keepLines w:val="0"/>
        <w:pageBreakBefore w:val="0"/>
        <w:widowControl w:val="0"/>
        <w:kinsoku/>
        <w:wordWrap/>
        <w:overflowPunct/>
        <w:topLinePunct/>
        <w:autoSpaceDE/>
        <w:autoSpaceDN/>
        <w:bidi w:val="0"/>
        <w:adjustRightInd/>
        <w:snapToGrid/>
        <w:spacing w:line="600" w:lineRule="exact"/>
        <w:ind w:left="35" w:right="14" w:firstLine="654"/>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第十九条</w:t>
      </w:r>
      <w:r>
        <w:rPr>
          <w:rFonts w:hint="eastAsia" w:ascii="仿宋_GB2312" w:hAnsi="仿宋_GB2312" w:eastAsia="仿宋_GB2312" w:cs="仿宋_GB2312"/>
          <w:color w:val="auto"/>
          <w:spacing w:val="0"/>
          <w:sz w:val="32"/>
          <w:szCs w:val="32"/>
          <w:highlight w:val="none"/>
          <w:u w:val="none"/>
        </w:rPr>
        <w:t xml:space="preserve"> 政策兑现实行“一票否决”。对在安全、环保、社会稳定</w:t>
      </w:r>
      <w:r>
        <w:rPr>
          <w:rFonts w:hint="eastAsia" w:ascii="仿宋_GB2312" w:hAnsi="仿宋_GB2312" w:eastAsia="仿宋_GB2312" w:cs="仿宋_GB2312"/>
          <w:color w:val="auto"/>
          <w:spacing w:val="0"/>
          <w:sz w:val="32"/>
          <w:szCs w:val="32"/>
          <w:highlight w:val="none"/>
          <w:u w:val="none"/>
          <w:lang w:eastAsia="zh-CN"/>
        </w:rPr>
        <w:t>、非法集资、</w:t>
      </w:r>
      <w:r>
        <w:rPr>
          <w:rFonts w:hint="eastAsia" w:ascii="仿宋_GB2312" w:hAnsi="仿宋_GB2312" w:eastAsia="仿宋_GB2312" w:cs="仿宋_GB2312"/>
          <w:color w:val="auto"/>
          <w:spacing w:val="0"/>
          <w:sz w:val="32"/>
          <w:szCs w:val="32"/>
          <w:highlight w:val="none"/>
          <w:u w:val="none"/>
          <w:lang w:val="en-US" w:eastAsia="zh-CN"/>
        </w:rPr>
        <w:t>网络安全</w:t>
      </w:r>
      <w:r>
        <w:rPr>
          <w:rFonts w:hint="eastAsia" w:ascii="仿宋_GB2312" w:hAnsi="仿宋_GB2312" w:eastAsia="仿宋_GB2312" w:cs="仿宋_GB2312"/>
          <w:color w:val="auto"/>
          <w:spacing w:val="0"/>
          <w:sz w:val="32"/>
          <w:szCs w:val="32"/>
          <w:highlight w:val="none"/>
          <w:u w:val="none"/>
        </w:rPr>
        <w:t>或其他重要领域存在问题或发生责任事故的申请人</w:t>
      </w:r>
      <w:r>
        <w:rPr>
          <w:rFonts w:hint="eastAsia" w:ascii="仿宋_GB2312" w:hAnsi="仿宋_GB2312" w:eastAsia="仿宋_GB2312" w:cs="仿宋_GB2312"/>
          <w:color w:val="auto"/>
          <w:spacing w:val="0"/>
          <w:sz w:val="32"/>
          <w:szCs w:val="32"/>
          <w:highlight w:val="none"/>
          <w:u w:val="none"/>
          <w:lang w:val="en-US" w:eastAsia="zh-CN"/>
        </w:rPr>
        <w:t>及申请人关联单位、关联个人</w:t>
      </w:r>
      <w:r>
        <w:rPr>
          <w:rFonts w:hint="eastAsia" w:ascii="仿宋_GB2312" w:hAnsi="仿宋_GB2312" w:eastAsia="仿宋_GB2312" w:cs="仿宋_GB2312"/>
          <w:color w:val="auto"/>
          <w:spacing w:val="0"/>
          <w:sz w:val="32"/>
          <w:szCs w:val="32"/>
          <w:highlight w:val="none"/>
          <w:u w:val="none"/>
        </w:rPr>
        <w:t>，视情节轻重及给高新区造成的负面影响程度，暂停或取消政策兑现申请资格。</w:t>
      </w:r>
    </w:p>
    <w:p>
      <w:pPr>
        <w:keepNext w:val="0"/>
        <w:keepLines w:val="0"/>
        <w:pageBreakBefore w:val="0"/>
        <w:widowControl w:val="0"/>
        <w:kinsoku/>
        <w:wordWrap/>
        <w:overflowPunct/>
        <w:topLinePunct/>
        <w:autoSpaceDE/>
        <w:autoSpaceDN/>
        <w:bidi w:val="0"/>
        <w:adjustRightInd/>
        <w:snapToGrid/>
        <w:spacing w:line="600" w:lineRule="exact"/>
        <w:ind w:left="41" w:right="13" w:firstLine="679"/>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rPr>
        <w:t>申请人存在“一般问题”的，由政务办会同相关业务部 门向申请人告知有关情况，暂停政策兑现办理流程。</w:t>
      </w:r>
      <w:r>
        <w:rPr>
          <w:rFonts w:hint="eastAsia" w:ascii="仿宋_GB2312" w:hAnsi="仿宋_GB2312" w:eastAsia="仿宋_GB2312" w:cs="仿宋_GB2312"/>
          <w:color w:val="auto"/>
          <w:spacing w:val="0"/>
          <w:sz w:val="32"/>
          <w:szCs w:val="32"/>
          <w:highlight w:val="none"/>
          <w:u w:val="none"/>
          <w:lang w:val="en-US" w:eastAsia="zh-CN"/>
        </w:rPr>
        <w:t>业务部门根据部门职责督促</w:t>
      </w:r>
      <w:r>
        <w:rPr>
          <w:rFonts w:hint="eastAsia" w:ascii="仿宋_GB2312" w:hAnsi="仿宋_GB2312" w:eastAsia="仿宋_GB2312" w:cs="仿宋_GB2312"/>
          <w:color w:val="auto"/>
          <w:spacing w:val="0"/>
          <w:sz w:val="32"/>
          <w:szCs w:val="32"/>
          <w:highlight w:val="none"/>
          <w:u w:val="none"/>
        </w:rPr>
        <w:t>申请人于规定时限内(原则上不超过一个月)完成整改的，经相关业务部门认定，可继续办理政策兑现手续；申请人于规定时限内未完成整改的，由政务办</w:t>
      </w:r>
      <w:r>
        <w:rPr>
          <w:rFonts w:hint="eastAsia" w:ascii="仿宋_GB2312" w:hAnsi="仿宋_GB2312" w:eastAsia="仿宋_GB2312" w:cs="仿宋_GB2312"/>
          <w:color w:val="auto"/>
          <w:spacing w:val="0"/>
          <w:sz w:val="32"/>
          <w:szCs w:val="32"/>
          <w:highlight w:val="none"/>
          <w:u w:val="none"/>
          <w:lang w:val="en-US" w:eastAsia="zh-CN"/>
        </w:rPr>
        <w:t>告知</w:t>
      </w:r>
      <w:r>
        <w:rPr>
          <w:rFonts w:hint="eastAsia" w:ascii="仿宋_GB2312" w:hAnsi="仿宋_GB2312" w:eastAsia="仿宋_GB2312" w:cs="仿宋_GB2312"/>
          <w:color w:val="auto"/>
          <w:spacing w:val="0"/>
          <w:sz w:val="32"/>
          <w:szCs w:val="32"/>
          <w:highlight w:val="none"/>
          <w:u w:val="none"/>
        </w:rPr>
        <w:t>不予兑现决定</w:t>
      </w:r>
      <w:r>
        <w:rPr>
          <w:rFonts w:hint="eastAsia" w:ascii="仿宋_GB2312" w:hAnsi="仿宋_GB2312" w:eastAsia="仿宋_GB2312" w:cs="仿宋_GB2312"/>
          <w:color w:val="auto"/>
          <w:spacing w:val="0"/>
          <w:sz w:val="32"/>
          <w:szCs w:val="32"/>
          <w:highlight w:val="none"/>
          <w:u w:val="none"/>
          <w:lang w:val="en-US" w:eastAsia="zh-CN"/>
        </w:rPr>
        <w:t>及</w:t>
      </w:r>
      <w:r>
        <w:rPr>
          <w:rFonts w:hint="eastAsia" w:ascii="仿宋_GB2312" w:hAnsi="仿宋_GB2312" w:eastAsia="仿宋_GB2312" w:cs="仿宋_GB2312"/>
          <w:color w:val="auto"/>
          <w:spacing w:val="0"/>
          <w:sz w:val="32"/>
          <w:szCs w:val="32"/>
          <w:highlight w:val="none"/>
          <w:u w:val="none"/>
        </w:rPr>
        <w:t>原因，且在其未完成整改前，不再受理其政策兑现申请。申请人整改时间不计入政策兑现审核时限。因“一票否决”原因导致的政策兑现申请超过有效时限原则上不予追溯。</w:t>
      </w:r>
    </w:p>
    <w:p>
      <w:pPr>
        <w:keepNext w:val="0"/>
        <w:keepLines w:val="0"/>
        <w:pageBreakBefore w:val="0"/>
        <w:widowControl w:val="0"/>
        <w:kinsoku/>
        <w:wordWrap/>
        <w:overflowPunct/>
        <w:topLinePunct/>
        <w:autoSpaceDE/>
        <w:autoSpaceDN/>
        <w:bidi w:val="0"/>
        <w:adjustRightInd/>
        <w:snapToGrid/>
        <w:spacing w:line="600" w:lineRule="exact"/>
        <w:ind w:left="41" w:right="13" w:firstLine="679"/>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申请人存在“重大问题”的， 由政务办会同相关业务部 门向申请人告知有关情况，直接做出不予兑现决定，并取消其自发生“重大问题”之日起一年内的政策兑现申请资格。一年后，经相关业务部门认定，“重大问题”已完成整改并消除不良影响的，可恢复政策兑现申请资格。因“一票否决”原因导致的政策兑现申请超过有效时限原则上不予追溯。若存在重大问题的申请人为集团企业，则不予受理范围包括其母公司、全资及控股子公司</w:t>
      </w:r>
      <w:r>
        <w:rPr>
          <w:rFonts w:hint="eastAsia" w:ascii="仿宋_GB2312" w:hAnsi="仿宋_GB2312" w:eastAsia="仿宋_GB2312" w:cs="仿宋_GB2312"/>
          <w:color w:val="auto"/>
          <w:spacing w:val="0"/>
          <w:sz w:val="32"/>
          <w:szCs w:val="32"/>
          <w:highlight w:val="none"/>
          <w:u w:val="none"/>
          <w:lang w:val="en-US" w:eastAsia="zh-CN"/>
        </w:rPr>
        <w:t>及通过协议或经项目评审会确定的关联企业</w:t>
      </w:r>
      <w:r>
        <w:rPr>
          <w:rFonts w:hint="eastAsia" w:ascii="仿宋_GB2312" w:hAnsi="仿宋_GB2312" w:eastAsia="仿宋_GB2312" w:cs="仿宋_GB2312"/>
          <w:color w:val="auto"/>
          <w:spacing w:val="0"/>
          <w:sz w:val="32"/>
          <w:szCs w:val="32"/>
          <w:highlight w:val="none"/>
          <w:u w:val="none"/>
        </w:rPr>
        <w:t>。</w:t>
      </w:r>
    </w:p>
    <w:p>
      <w:pPr>
        <w:keepNext w:val="0"/>
        <w:keepLines w:val="0"/>
        <w:pageBreakBefore w:val="0"/>
        <w:widowControl w:val="0"/>
        <w:kinsoku/>
        <w:wordWrap/>
        <w:overflowPunct/>
        <w:topLinePunct/>
        <w:bidi w:val="0"/>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br w:type="page"/>
      </w:r>
    </w:p>
    <w:tbl>
      <w:tblPr>
        <w:tblStyle w:val="18"/>
        <w:tblpPr w:leftFromText="180" w:rightFromText="180" w:vertAnchor="text" w:horzAnchor="page" w:tblpX="1926" w:tblpY="138"/>
        <w:tblOverlap w:val="never"/>
        <w:tblW w:w="84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58"/>
        <w:gridCol w:w="4221"/>
        <w:gridCol w:w="1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498" w:type="dxa"/>
            <w:gridSpan w:val="4"/>
            <w:tcBorders>
              <w:left w:val="single" w:color="000000" w:sz="6"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jc w:val="center"/>
              <w:textAlignment w:val="auto"/>
              <w:rPr>
                <w:rFonts w:ascii="仿宋" w:hAnsi="仿宋" w:eastAsia="仿宋" w:cs="仿宋"/>
                <w:color w:val="auto"/>
                <w:sz w:val="23"/>
                <w:szCs w:val="23"/>
                <w:highlight w:val="none"/>
                <w:u w:val="none"/>
              </w:rPr>
            </w:pPr>
            <w:r>
              <w:rPr>
                <w:rFonts w:ascii="仿宋" w:hAnsi="仿宋" w:eastAsia="仿宋_GB2312" w:cs="仿宋"/>
                <w:color w:val="auto"/>
                <w:spacing w:val="10"/>
                <w:position w:val="2"/>
                <w:sz w:val="23"/>
                <w:szCs w:val="23"/>
                <w:highlight w:val="none"/>
                <w:u w:val="none"/>
                <w14:textOutline w14:w="4358" w14:cap="sq" w14:cmpd="sng">
                  <w14:solidFill>
                    <w14:srgbClr w14:val="000000"/>
                  </w14:solidFill>
                  <w14:prstDash w14:val="solid"/>
                  <w14:bevel/>
                </w14:textOutline>
              </w:rPr>
              <w:t>一</w:t>
            </w:r>
            <w:r>
              <w:rPr>
                <w:rFonts w:ascii="仿宋" w:hAnsi="仿宋" w:eastAsia="仿宋_GB2312" w:cs="仿宋"/>
                <w:color w:val="auto"/>
                <w:spacing w:val="7"/>
                <w:position w:val="2"/>
                <w:sz w:val="23"/>
                <w:szCs w:val="23"/>
                <w:highlight w:val="none"/>
                <w:u w:val="none"/>
                <w14:textOutline w14:w="4358" w14:cap="sq" w14:cmpd="sng">
                  <w14:solidFill>
                    <w14:srgbClr w14:val="000000"/>
                  </w14:solidFill>
                  <w14:prstDash w14:val="solid"/>
                  <w14:bevel/>
                </w14:textOutline>
              </w:rPr>
              <w:t>票否决事项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7" w:type="dxa"/>
            <w:tcBorders>
              <w:lef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ascii="仿宋" w:hAnsi="仿宋" w:eastAsia="仿宋" w:cs="仿宋"/>
                <w:color w:val="auto"/>
                <w:sz w:val="23"/>
                <w:szCs w:val="23"/>
                <w:highlight w:val="none"/>
                <w:u w:val="none"/>
              </w:rPr>
            </w:pPr>
            <w:r>
              <w:rPr>
                <w:rFonts w:ascii="仿宋" w:hAnsi="仿宋" w:eastAsia="仿宋_GB2312" w:cs="仿宋"/>
                <w:color w:val="auto"/>
                <w:spacing w:val="1"/>
                <w:sz w:val="23"/>
                <w:szCs w:val="23"/>
                <w:highlight w:val="none"/>
                <w:u w:val="none"/>
                <w14:textOutline w14:w="4358" w14:cap="sq" w14:cmpd="sng">
                  <w14:solidFill>
                    <w14:srgbClr w14:val="000000"/>
                  </w14:solidFill>
                  <w14:prstDash w14:val="solid"/>
                  <w14:bevel/>
                </w14:textOutline>
              </w:rPr>
              <w:t>类</w:t>
            </w:r>
            <w:r>
              <w:rPr>
                <w:rFonts w:ascii="仿宋" w:hAnsi="仿宋" w:eastAsia="仿宋_GB2312" w:cs="仿宋"/>
                <w:color w:val="auto"/>
                <w:sz w:val="23"/>
                <w:szCs w:val="23"/>
                <w:highlight w:val="none"/>
                <w:u w:val="none"/>
                <w14:textOutline w14:w="4358" w14:cap="sq" w14:cmpd="sng">
                  <w14:solidFill>
                    <w14:srgbClr w14:val="000000"/>
                  </w14:solidFill>
                  <w14:prstDash w14:val="solid"/>
                  <w14:bevel/>
                </w14:textOutline>
              </w:rPr>
              <w:t>型</w:t>
            </w:r>
          </w:p>
        </w:tc>
        <w:tc>
          <w:tcPr>
            <w:tcW w:w="2158" w:type="dxa"/>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ascii="仿宋" w:hAnsi="仿宋" w:eastAsia="仿宋" w:cs="仿宋"/>
                <w:color w:val="auto"/>
                <w:sz w:val="23"/>
                <w:szCs w:val="23"/>
                <w:highlight w:val="none"/>
                <w:u w:val="none"/>
              </w:rPr>
            </w:pPr>
            <w:r>
              <w:rPr>
                <w:rFonts w:ascii="仿宋" w:hAnsi="仿宋" w:eastAsia="仿宋_GB2312" w:cs="仿宋"/>
                <w:color w:val="auto"/>
                <w:spacing w:val="1"/>
                <w:sz w:val="23"/>
                <w:szCs w:val="23"/>
                <w:highlight w:val="none"/>
                <w:u w:val="none"/>
                <w14:textOutline w14:w="4358" w14:cap="sq" w14:cmpd="sng">
                  <w14:solidFill>
                    <w14:srgbClr w14:val="000000"/>
                  </w14:solidFill>
                  <w14:prstDash w14:val="solid"/>
                  <w14:bevel/>
                </w14:textOutline>
              </w:rPr>
              <w:t>一般问题</w:t>
            </w:r>
          </w:p>
        </w:tc>
        <w:tc>
          <w:tcPr>
            <w:tcW w:w="4221" w:type="dxa"/>
            <w:tcBorders>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jc w:val="both"/>
              <w:textAlignment w:val="auto"/>
              <w:rPr>
                <w:rFonts w:ascii="仿宋" w:hAnsi="仿宋" w:eastAsia="仿宋" w:cs="仿宋"/>
                <w:color w:val="auto"/>
                <w:sz w:val="23"/>
                <w:szCs w:val="23"/>
                <w:highlight w:val="none"/>
                <w:u w:val="none"/>
              </w:rPr>
            </w:pPr>
            <w:r>
              <w:rPr>
                <w:rFonts w:ascii="仿宋" w:hAnsi="仿宋" w:eastAsia="仿宋_GB2312" w:cs="仿宋"/>
                <w:color w:val="auto"/>
                <w:spacing w:val="1"/>
                <w:sz w:val="23"/>
                <w:szCs w:val="23"/>
                <w:highlight w:val="none"/>
                <w:u w:val="none"/>
                <w14:textOutline w14:w="4358" w14:cap="sq" w14:cmpd="sng">
                  <w14:solidFill>
                    <w14:srgbClr w14:val="000000"/>
                  </w14:solidFill>
                  <w14:prstDash w14:val="solid"/>
                  <w14:bevel/>
                </w14:textOutline>
              </w:rPr>
              <w:t>重大问题</w:t>
            </w:r>
          </w:p>
        </w:tc>
        <w:tc>
          <w:tcPr>
            <w:tcW w:w="1022" w:type="dxa"/>
            <w:tcBorders>
              <w:left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jc w:val="both"/>
              <w:textAlignment w:val="auto"/>
              <w:rPr>
                <w:rFonts w:hint="eastAsia" w:ascii="仿宋" w:hAnsi="仿宋" w:eastAsia="仿宋" w:cs="仿宋"/>
                <w:color w:val="auto"/>
                <w:spacing w:val="6"/>
                <w:sz w:val="23"/>
                <w:szCs w:val="23"/>
                <w:highlight w:val="none"/>
                <w:u w:val="none"/>
                <w:lang w:eastAsia="zh-CN"/>
                <w14:textOutline w14:w="4358" w14:cap="sq" w14:cmpd="sng">
                  <w14:solidFill>
                    <w14:srgbClr w14:val="000000"/>
                  </w14:solidFill>
                  <w14:prstDash w14:val="solid"/>
                  <w14:bevel/>
                </w14:textOutline>
              </w:rPr>
            </w:pPr>
            <w:r>
              <w:rPr>
                <w:rFonts w:hint="eastAsia" w:ascii="仿宋" w:hAnsi="仿宋" w:eastAsia="仿宋_GB2312" w:cs="仿宋"/>
                <w:color w:val="auto"/>
                <w:spacing w:val="1"/>
                <w:sz w:val="23"/>
                <w:szCs w:val="23"/>
                <w:highlight w:val="none"/>
                <w:u w:val="none"/>
                <w:lang w:eastAsia="zh-CN"/>
                <w14:textOutline w14:w="4358" w14:cap="sq" w14:cmpd="sng">
                  <w14:solidFill>
                    <w14:srgbClr w14:val="000000"/>
                  </w14:solidFill>
                  <w14:prstDash w14:val="solid"/>
                  <w14:bevel/>
                </w14:textOutline>
              </w:rPr>
              <w:t>审核部门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1097" w:type="dxa"/>
            <w:tcBorders>
              <w:left w:val="single" w:color="000000" w:sz="6" w:space="0"/>
            </w:tcBorders>
            <w:vAlign w:val="top"/>
          </w:tcPr>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ind w:left="37"/>
              <w:textAlignment w:val="auto"/>
              <w:rPr>
                <w:rFonts w:ascii="仿宋" w:hAnsi="仿宋" w:eastAsia="仿宋" w:cs="仿宋"/>
                <w:color w:val="auto"/>
                <w:sz w:val="23"/>
                <w:szCs w:val="23"/>
                <w:highlight w:val="none"/>
                <w:u w:val="none"/>
              </w:rPr>
            </w:pPr>
            <w:r>
              <w:rPr>
                <w:rFonts w:ascii="仿宋" w:hAnsi="仿宋" w:eastAsia="仿宋_GB2312" w:cs="仿宋"/>
                <w:color w:val="auto"/>
                <w:spacing w:val="6"/>
                <w:sz w:val="23"/>
                <w:szCs w:val="23"/>
                <w:highlight w:val="none"/>
                <w:u w:val="none"/>
                <w14:textOutline w14:w="4358" w14:cap="sq" w14:cmpd="sng">
                  <w14:solidFill>
                    <w14:srgbClr w14:val="000000"/>
                  </w14:solidFill>
                  <w14:prstDash w14:val="solid"/>
                  <w14:bevel/>
                </w14:textOutline>
              </w:rPr>
              <w:t>安全生</w:t>
            </w:r>
            <w:r>
              <w:rPr>
                <w:rFonts w:ascii="仿宋" w:hAnsi="仿宋" w:eastAsia="仿宋_GB2312" w:cs="仿宋"/>
                <w:color w:val="auto"/>
                <w:spacing w:val="5"/>
                <w:sz w:val="23"/>
                <w:szCs w:val="23"/>
                <w:highlight w:val="none"/>
                <w:u w:val="none"/>
                <w14:textOutline w14:w="4358" w14:cap="sq" w14:cmpd="sng">
                  <w14:solidFill>
                    <w14:srgbClr w14:val="000000"/>
                  </w14:solidFill>
                  <w14:prstDash w14:val="solid"/>
                  <w14:bevel/>
                </w14:textOutline>
              </w:rPr>
              <w:t>产</w:t>
            </w:r>
          </w:p>
        </w:tc>
        <w:tc>
          <w:tcPr>
            <w:tcW w:w="2158" w:type="dxa"/>
            <w:vAlign w:val="top"/>
          </w:tcPr>
          <w:p>
            <w:pPr>
              <w:keepNext w:val="0"/>
              <w:keepLines w:val="0"/>
              <w:pageBreakBefore w:val="0"/>
              <w:widowControl w:val="0"/>
              <w:kinsoku/>
              <w:wordWrap/>
              <w:overflowPunct/>
              <w:topLinePunct/>
              <w:autoSpaceDE/>
              <w:autoSpaceDN/>
              <w:bidi w:val="0"/>
              <w:adjustRightInd/>
              <w:snapToGrid/>
              <w:spacing w:line="300" w:lineRule="exact"/>
              <w:ind w:left="23" w:right="39"/>
              <w:textAlignment w:val="auto"/>
              <w:rPr>
                <w:rFonts w:ascii="仿宋" w:hAnsi="仿宋" w:eastAsia="仿宋" w:cs="仿宋"/>
                <w:color w:val="auto"/>
                <w:sz w:val="23"/>
                <w:szCs w:val="23"/>
                <w:highlight w:val="none"/>
                <w:u w:val="none"/>
              </w:rPr>
            </w:pPr>
            <w:r>
              <w:rPr>
                <w:rFonts w:hint="eastAsia" w:ascii="仿宋" w:hAnsi="仿宋" w:eastAsia="仿宋_GB2312" w:cs="仿宋"/>
                <w:color w:val="auto"/>
                <w:spacing w:val="8"/>
                <w:sz w:val="23"/>
                <w:szCs w:val="23"/>
                <w:highlight w:val="none"/>
                <w:u w:val="none"/>
                <w:lang w:val="en-US" w:eastAsia="zh-CN"/>
              </w:rPr>
              <w:t>1.</w:t>
            </w:r>
            <w:r>
              <w:rPr>
                <w:rFonts w:ascii="仿宋" w:hAnsi="仿宋" w:eastAsia="仿宋_GB2312" w:cs="仿宋"/>
                <w:color w:val="auto"/>
                <w:spacing w:val="8"/>
                <w:sz w:val="23"/>
                <w:szCs w:val="23"/>
                <w:highlight w:val="none"/>
                <w:u w:val="none"/>
              </w:rPr>
              <w:t>在安全生产方面</w:t>
            </w:r>
            <w:r>
              <w:rPr>
                <w:rFonts w:hint="eastAsia" w:ascii="仿宋" w:hAnsi="仿宋" w:eastAsia="仿宋_GB2312" w:cs="仿宋"/>
                <w:color w:val="auto"/>
                <w:spacing w:val="8"/>
                <w:sz w:val="23"/>
                <w:szCs w:val="23"/>
                <w:highlight w:val="none"/>
                <w:u w:val="none"/>
                <w:lang w:eastAsia="zh-CN"/>
              </w:rPr>
              <w:t>一年之内发生过重大安全生产违法处罚</w:t>
            </w:r>
            <w:r>
              <w:rPr>
                <w:rFonts w:ascii="仿宋" w:hAnsi="仿宋" w:eastAsia="仿宋_GB2312" w:cs="仿宋"/>
                <w:color w:val="auto"/>
                <w:spacing w:val="5"/>
                <w:sz w:val="23"/>
                <w:szCs w:val="23"/>
                <w:highlight w:val="none"/>
                <w:u w:val="none"/>
              </w:rPr>
              <w:t>。</w:t>
            </w:r>
          </w:p>
        </w:tc>
        <w:tc>
          <w:tcPr>
            <w:tcW w:w="4221" w:type="dxa"/>
            <w:tcBorders>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hint="eastAsia" w:ascii="仿宋" w:hAnsi="仿宋" w:eastAsia="仿宋_GB2312" w:cs="仿宋"/>
                <w:color w:val="auto"/>
                <w:spacing w:val="6"/>
                <w:sz w:val="23"/>
                <w:szCs w:val="23"/>
                <w:highlight w:val="none"/>
                <w:u w:val="none"/>
                <w:lang w:val="en-US" w:eastAsia="zh-CN"/>
              </w:rPr>
              <w:t>1.</w:t>
            </w:r>
            <w:r>
              <w:rPr>
                <w:rFonts w:ascii="仿宋" w:hAnsi="仿宋" w:eastAsia="仿宋_GB2312" w:cs="仿宋"/>
                <w:color w:val="auto"/>
                <w:spacing w:val="6"/>
                <w:sz w:val="23"/>
                <w:szCs w:val="23"/>
                <w:highlight w:val="none"/>
                <w:u w:val="none"/>
              </w:rPr>
              <w:t>发生一次死亡1人以上(含)安全生产责任事故。</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 w:cs="仿宋"/>
                <w:color w:val="auto"/>
                <w:sz w:val="23"/>
                <w:szCs w:val="23"/>
                <w:highlight w:val="none"/>
                <w:u w:val="none"/>
              </w:rPr>
            </w:pPr>
            <w:r>
              <w:rPr>
                <w:rFonts w:hint="eastAsia" w:ascii="仿宋" w:hAnsi="仿宋" w:eastAsia="仿宋_GB2312" w:cs="仿宋"/>
                <w:color w:val="auto"/>
                <w:spacing w:val="6"/>
                <w:sz w:val="23"/>
                <w:szCs w:val="23"/>
                <w:highlight w:val="none"/>
                <w:u w:val="none"/>
                <w:lang w:val="en-US" w:eastAsia="zh-CN"/>
              </w:rPr>
              <w:t>2.</w:t>
            </w:r>
            <w:r>
              <w:rPr>
                <w:rFonts w:ascii="仿宋" w:hAnsi="仿宋" w:eastAsia="仿宋_GB2312" w:cs="仿宋"/>
                <w:color w:val="auto"/>
                <w:spacing w:val="6"/>
                <w:sz w:val="23"/>
                <w:szCs w:val="23"/>
                <w:highlight w:val="none"/>
                <w:u w:val="none"/>
              </w:rPr>
              <w:t>重伤3人以上(含)安全生产责任事故。</w:t>
            </w:r>
          </w:p>
        </w:tc>
        <w:tc>
          <w:tcPr>
            <w:tcW w:w="1022" w:type="dxa"/>
            <w:tcBorders>
              <w:left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firstLine="0"/>
              <w:jc w:val="both"/>
              <w:textAlignment w:val="auto"/>
              <w:rPr>
                <w:rFonts w:hint="eastAsia" w:ascii="仿宋" w:hAnsi="仿宋" w:eastAsia="仿宋" w:cs="仿宋"/>
                <w:color w:val="auto"/>
                <w:spacing w:val="6"/>
                <w:sz w:val="23"/>
                <w:szCs w:val="23"/>
                <w:highlight w:val="none"/>
                <w:u w:val="none"/>
                <w:lang w:val="en-US" w:eastAsia="zh-CN"/>
              </w:rPr>
            </w:pPr>
            <w:r>
              <w:rPr>
                <w:rFonts w:hint="eastAsia" w:ascii="仿宋" w:hAnsi="仿宋" w:eastAsia="仿宋_GB2312" w:cs="仿宋"/>
                <w:color w:val="auto"/>
                <w:spacing w:val="6"/>
                <w:sz w:val="23"/>
                <w:szCs w:val="23"/>
                <w:highlight w:val="none"/>
                <w:u w:val="none"/>
                <w:lang w:val="en-US" w:eastAsia="zh-CN"/>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6" w:hRule="atLeast"/>
        </w:trPr>
        <w:tc>
          <w:tcPr>
            <w:tcW w:w="1097" w:type="dxa"/>
            <w:tcBorders>
              <w:left w:val="single" w:color="000000" w:sz="6" w:space="0"/>
            </w:tcBorders>
            <w:vAlign w:val="top"/>
          </w:tcPr>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kinsoku/>
              <w:wordWrap/>
              <w:overflowPunct/>
              <w:topLinePunct/>
              <w:autoSpaceDE/>
              <w:autoSpaceDN/>
              <w:bidi w:val="0"/>
              <w:adjustRightInd/>
              <w:snapToGrid/>
              <w:spacing w:line="300" w:lineRule="exact"/>
              <w:ind w:left="35"/>
              <w:textAlignment w:val="auto"/>
              <w:rPr>
                <w:rFonts w:hint="eastAsia" w:ascii="仿宋" w:hAnsi="仿宋" w:eastAsia="仿宋" w:cs="仿宋"/>
                <w:color w:val="auto"/>
                <w:sz w:val="23"/>
                <w:szCs w:val="23"/>
                <w:highlight w:val="none"/>
                <w:u w:val="none"/>
                <w:lang w:val="en-US" w:eastAsia="zh-CN"/>
              </w:rPr>
            </w:pPr>
            <w:r>
              <w:rPr>
                <w:rFonts w:ascii="仿宋" w:hAnsi="仿宋" w:eastAsia="仿宋_GB2312" w:cs="仿宋"/>
                <w:color w:val="auto"/>
                <w:spacing w:val="8"/>
                <w:sz w:val="23"/>
                <w:szCs w:val="23"/>
                <w:highlight w:val="none"/>
                <w:u w:val="none"/>
                <w14:textOutline w14:w="4358" w14:cap="sq" w14:cmpd="sng">
                  <w14:solidFill>
                    <w14:srgbClr w14:val="000000"/>
                  </w14:solidFill>
                  <w14:prstDash w14:val="solid"/>
                  <w14:bevel/>
                </w14:textOutline>
              </w:rPr>
              <w:t>环</w:t>
            </w:r>
            <w:r>
              <w:rPr>
                <w:rFonts w:ascii="仿宋" w:hAnsi="仿宋" w:eastAsia="仿宋_GB2312" w:cs="仿宋"/>
                <w:color w:val="auto"/>
                <w:spacing w:val="6"/>
                <w:sz w:val="23"/>
                <w:szCs w:val="23"/>
                <w:highlight w:val="none"/>
                <w:u w:val="none"/>
                <w14:textOutline w14:w="4358" w14:cap="sq" w14:cmpd="sng">
                  <w14:solidFill>
                    <w14:srgbClr w14:val="000000"/>
                  </w14:solidFill>
                  <w14:prstDash w14:val="solid"/>
                  <w14:bevel/>
                </w14:textOutline>
              </w:rPr>
              <w:t>境保护</w:t>
            </w:r>
            <w:r>
              <w:rPr>
                <w:rFonts w:hint="eastAsia" w:ascii="仿宋" w:hAnsi="仿宋" w:eastAsia="仿宋_GB2312" w:cs="仿宋"/>
                <w:color w:val="auto"/>
                <w:spacing w:val="6"/>
                <w:sz w:val="23"/>
                <w:szCs w:val="23"/>
                <w:highlight w:val="none"/>
                <w:u w:val="none"/>
                <w:lang w:eastAsia="zh-CN"/>
                <w14:textOutline w14:w="4358" w14:cap="sq" w14:cmpd="sng">
                  <w14:solidFill>
                    <w14:srgbClr w14:val="000000"/>
                  </w14:solidFill>
                  <w14:prstDash w14:val="solid"/>
                  <w14:bevel/>
                </w14:textOutline>
              </w:rPr>
              <w:t>、城市管理及综合执法</w:t>
            </w:r>
          </w:p>
        </w:tc>
        <w:tc>
          <w:tcPr>
            <w:tcW w:w="2158" w:type="dxa"/>
            <w:vAlign w:val="top"/>
          </w:tcPr>
          <w:p>
            <w:pPr>
              <w:keepNext w:val="0"/>
              <w:keepLines w:val="0"/>
              <w:pageBreakBefore w:val="0"/>
              <w:widowControl w:val="0"/>
              <w:kinsoku/>
              <w:wordWrap/>
              <w:overflowPunct/>
              <w:topLinePunct/>
              <w:autoSpaceDE/>
              <w:autoSpaceDN/>
              <w:bidi w:val="0"/>
              <w:adjustRightInd/>
              <w:snapToGrid/>
              <w:spacing w:line="300" w:lineRule="exact"/>
              <w:textAlignment w:val="auto"/>
              <w:rPr>
                <w:rFonts w:ascii="Arial" w:hAnsiTheme="minorHAnsi" w:eastAsiaTheme="minorEastAsia" w:cstheme="minorBidi"/>
                <w:color w:val="auto"/>
                <w:sz w:val="21"/>
                <w:highlight w:val="none"/>
                <w:u w:val="none"/>
              </w:rPr>
            </w:pPr>
          </w:p>
          <w:p>
            <w:pPr>
              <w:keepNext w:val="0"/>
              <w:keepLines w:val="0"/>
              <w:pageBreakBefore w:val="0"/>
              <w:widowControl w:val="0"/>
              <w:numPr>
                <w:ilvl w:val="0"/>
                <w:numId w:val="6"/>
              </w:numPr>
              <w:kinsoku/>
              <w:wordWrap/>
              <w:overflowPunct/>
              <w:topLinePunct/>
              <w:autoSpaceDE/>
              <w:autoSpaceDN/>
              <w:bidi w:val="0"/>
              <w:adjustRightInd/>
              <w:snapToGrid/>
              <w:spacing w:line="300" w:lineRule="exact"/>
              <w:ind w:left="17" w:firstLine="14"/>
              <w:jc w:val="both"/>
              <w:textAlignment w:val="auto"/>
              <w:rPr>
                <w:rFonts w:ascii="仿宋" w:hAnsi="仿宋" w:eastAsia="仿宋_GB2312" w:cs="仿宋"/>
                <w:color w:val="auto"/>
                <w:sz w:val="23"/>
                <w:szCs w:val="23"/>
                <w:highlight w:val="none"/>
                <w:u w:val="none"/>
              </w:rPr>
            </w:pPr>
            <w:r>
              <w:rPr>
                <w:rFonts w:ascii="仿宋" w:hAnsi="仿宋" w:eastAsia="仿宋_GB2312" w:cs="仿宋"/>
                <w:color w:val="auto"/>
                <w:spacing w:val="-1"/>
                <w:sz w:val="23"/>
                <w:szCs w:val="23"/>
                <w:highlight w:val="none"/>
                <w:u w:val="none"/>
              </w:rPr>
              <w:t>污染物总量(空气、</w:t>
            </w:r>
            <w:r>
              <w:rPr>
                <w:rFonts w:ascii="仿宋" w:hAnsi="仿宋" w:eastAsia="仿宋_GB2312" w:cs="仿宋"/>
                <w:color w:val="auto"/>
                <w:spacing w:val="2"/>
                <w:sz w:val="23"/>
                <w:szCs w:val="23"/>
                <w:highlight w:val="none"/>
                <w:u w:val="none"/>
              </w:rPr>
              <w:t>水、声环境质量)不</w:t>
            </w:r>
            <w:r>
              <w:rPr>
                <w:rFonts w:ascii="仿宋" w:hAnsi="仿宋" w:eastAsia="仿宋_GB2312" w:cs="仿宋"/>
                <w:color w:val="auto"/>
                <w:spacing w:val="10"/>
                <w:sz w:val="23"/>
                <w:szCs w:val="23"/>
                <w:highlight w:val="none"/>
                <w:u w:val="none"/>
              </w:rPr>
              <w:t>达</w:t>
            </w:r>
            <w:r>
              <w:rPr>
                <w:rFonts w:ascii="仿宋" w:hAnsi="仿宋" w:eastAsia="仿宋_GB2312" w:cs="仿宋"/>
                <w:color w:val="auto"/>
                <w:spacing w:val="9"/>
                <w:sz w:val="23"/>
                <w:szCs w:val="23"/>
                <w:highlight w:val="none"/>
                <w:u w:val="none"/>
              </w:rPr>
              <w:t>标。</w:t>
            </w:r>
            <w:r>
              <w:rPr>
                <w:rFonts w:ascii="仿宋" w:hAnsi="仿宋" w:eastAsia="仿宋_GB2312" w:cs="仿宋"/>
                <w:color w:val="auto"/>
                <w:sz w:val="23"/>
                <w:szCs w:val="23"/>
                <w:highlight w:val="none"/>
                <w:u w:val="none"/>
              </w:rPr>
              <w:t xml:space="preserve">             </w:t>
            </w:r>
          </w:p>
          <w:p>
            <w:pPr>
              <w:keepNext w:val="0"/>
              <w:keepLines w:val="0"/>
              <w:pageBreakBefore w:val="0"/>
              <w:widowControl w:val="0"/>
              <w:numPr>
                <w:ilvl w:val="0"/>
                <w:numId w:val="6"/>
              </w:numPr>
              <w:kinsoku/>
              <w:wordWrap/>
              <w:overflowPunct/>
              <w:topLinePunct/>
              <w:autoSpaceDE/>
              <w:autoSpaceDN/>
              <w:bidi w:val="0"/>
              <w:adjustRightInd/>
              <w:snapToGrid/>
              <w:spacing w:line="300" w:lineRule="exact"/>
              <w:ind w:left="17" w:leftChars="0" w:firstLine="14"/>
              <w:jc w:val="both"/>
              <w:textAlignment w:val="auto"/>
              <w:rPr>
                <w:rFonts w:ascii="仿宋" w:hAnsi="仿宋" w:eastAsia="仿宋_GB2312" w:cs="仿宋"/>
                <w:color w:val="auto"/>
                <w:sz w:val="23"/>
                <w:szCs w:val="23"/>
                <w:highlight w:val="none"/>
                <w:u w:val="none"/>
              </w:rPr>
            </w:pPr>
            <w:r>
              <w:rPr>
                <w:rFonts w:ascii="仿宋" w:hAnsi="仿宋" w:eastAsia="仿宋_GB2312" w:cs="仿宋"/>
                <w:color w:val="auto"/>
                <w:spacing w:val="2"/>
                <w:sz w:val="23"/>
                <w:szCs w:val="23"/>
                <w:highlight w:val="none"/>
                <w:u w:val="none"/>
              </w:rPr>
              <w:t>污染物排放不</w:t>
            </w:r>
            <w:r>
              <w:rPr>
                <w:rFonts w:hint="eastAsia" w:ascii="仿宋" w:hAnsi="仿宋" w:eastAsia="仿宋_GB2312" w:cs="仿宋"/>
                <w:color w:val="auto"/>
                <w:spacing w:val="2"/>
                <w:sz w:val="23"/>
                <w:szCs w:val="23"/>
                <w:highlight w:val="none"/>
                <w:u w:val="none"/>
                <w:lang w:eastAsia="zh-CN"/>
              </w:rPr>
              <w:t>达标。</w:t>
            </w:r>
            <w:r>
              <w:rPr>
                <w:rFonts w:ascii="仿宋" w:hAnsi="仿宋" w:eastAsia="仿宋_GB2312" w:cs="仿宋"/>
                <w:color w:val="auto"/>
                <w:sz w:val="23"/>
                <w:szCs w:val="23"/>
                <w:highlight w:val="none"/>
                <w:u w:val="none"/>
              </w:rPr>
              <w:t xml:space="preserve">               </w:t>
            </w:r>
            <w:r>
              <w:rPr>
                <w:rFonts w:ascii="仿宋" w:hAnsi="仿宋" w:eastAsia="仿宋_GB2312" w:cs="仿宋"/>
                <w:color w:val="auto"/>
                <w:spacing w:val="2"/>
                <w:sz w:val="23"/>
                <w:szCs w:val="23"/>
                <w:highlight w:val="none"/>
                <w:u w:val="none"/>
              </w:rPr>
              <w:t>3.未办理建设项目环</w:t>
            </w:r>
            <w:r>
              <w:rPr>
                <w:rFonts w:ascii="仿宋" w:hAnsi="仿宋" w:eastAsia="仿宋_GB2312" w:cs="仿宋"/>
                <w:color w:val="auto"/>
                <w:spacing w:val="-1"/>
                <w:sz w:val="23"/>
                <w:szCs w:val="23"/>
                <w:highlight w:val="none"/>
                <w:u w:val="none"/>
              </w:rPr>
              <w:t>保</w:t>
            </w:r>
            <w:r>
              <w:rPr>
                <w:rFonts w:ascii="仿宋" w:hAnsi="仿宋" w:eastAsia="仿宋_GB2312" w:cs="仿宋"/>
                <w:color w:val="auto"/>
                <w:sz w:val="23"/>
                <w:szCs w:val="23"/>
                <w:highlight w:val="none"/>
                <w:u w:val="none"/>
              </w:rPr>
              <w:t>手续。</w:t>
            </w:r>
          </w:p>
          <w:p>
            <w:pPr>
              <w:keepNext w:val="0"/>
              <w:keepLines w:val="0"/>
              <w:pageBreakBefore w:val="0"/>
              <w:widowControl w:val="0"/>
              <w:numPr>
                <w:ilvl w:val="-1"/>
                <w:numId w:val="0"/>
              </w:numPr>
              <w:kinsoku/>
              <w:wordWrap/>
              <w:overflowPunct/>
              <w:topLinePunct/>
              <w:autoSpaceDE/>
              <w:autoSpaceDN/>
              <w:bidi w:val="0"/>
              <w:adjustRightInd/>
              <w:snapToGrid/>
              <w:spacing w:line="300" w:lineRule="exact"/>
              <w:ind w:left="31" w:leftChars="0" w:firstLine="0"/>
              <w:jc w:val="both"/>
              <w:textAlignment w:val="auto"/>
              <w:rPr>
                <w:rFonts w:hint="default" w:ascii="仿宋" w:hAnsi="仿宋" w:eastAsia="仿宋" w:cs="仿宋"/>
                <w:color w:val="auto"/>
                <w:sz w:val="23"/>
                <w:szCs w:val="23"/>
                <w:highlight w:val="none"/>
                <w:u w:val="none"/>
                <w:lang w:val="en-US" w:eastAsia="zh-CN"/>
              </w:rPr>
            </w:pPr>
            <w:r>
              <w:rPr>
                <w:rFonts w:hint="eastAsia" w:ascii="仿宋" w:hAnsi="仿宋" w:eastAsia="仿宋_GB2312" w:cs="仿宋"/>
                <w:color w:val="auto"/>
                <w:sz w:val="23"/>
                <w:szCs w:val="23"/>
                <w:highlight w:val="none"/>
                <w:u w:val="none"/>
                <w:lang w:val="en-US" w:eastAsia="zh-CN"/>
              </w:rPr>
              <w:t>4、不遵守《规划法》要求，存在违建且不配合综合执法部门自行拆除的行为。</w:t>
            </w:r>
          </w:p>
        </w:tc>
        <w:tc>
          <w:tcPr>
            <w:tcW w:w="4221" w:type="dxa"/>
            <w:tcBorders>
              <w:right w:val="single" w:color="auto" w:sz="4" w:space="0"/>
            </w:tcBorders>
            <w:vAlign w:val="top"/>
          </w:tcPr>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1.因环境污染问题被处以责令停产停业以上(含)行政处罚。</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2.被新区及以上列为环保督办、纪委督办事项。</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3.发生重大以</w:t>
            </w:r>
            <w:r>
              <w:rPr>
                <w:rFonts w:ascii="仿宋" w:hAnsi="仿宋" w:eastAsia="仿宋_GB2312" w:cs="仿宋"/>
                <w:color w:val="auto"/>
                <w:sz w:val="23"/>
                <w:szCs w:val="23"/>
                <w:highlight w:val="none"/>
                <w:u w:val="none"/>
              </w:rPr>
              <w:t>上(含</w:t>
            </w:r>
            <w:r>
              <w:rPr>
                <w:rFonts w:ascii="仿宋" w:hAnsi="仿宋" w:eastAsia="仿宋_GB2312" w:cs="仿宋"/>
                <w:color w:val="auto"/>
                <w:spacing w:val="6"/>
                <w:sz w:val="23"/>
                <w:szCs w:val="23"/>
                <w:highlight w:val="none"/>
                <w:u w:val="none"/>
              </w:rPr>
              <w:t>)级别突发环境事件及核辐射事件。</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4.被市级以上(含)主要领导批示查处或被环保部通报约谈，造成较大负面影响和严重后果的环境问题。</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 w:cs="仿宋"/>
                <w:color w:val="auto"/>
                <w:sz w:val="23"/>
                <w:szCs w:val="23"/>
                <w:highlight w:val="none"/>
                <w:u w:val="none"/>
              </w:rPr>
            </w:pPr>
            <w:r>
              <w:rPr>
                <w:rFonts w:ascii="仿宋" w:hAnsi="仿宋" w:eastAsia="仿宋_GB2312" w:cs="仿宋"/>
                <w:color w:val="auto"/>
                <w:spacing w:val="6"/>
                <w:sz w:val="23"/>
                <w:szCs w:val="23"/>
                <w:highlight w:val="none"/>
                <w:u w:val="none"/>
              </w:rPr>
              <w:t>5.被新闻媒体披露，对我区造成</w:t>
            </w:r>
            <w:r>
              <w:rPr>
                <w:rFonts w:hint="eastAsia" w:ascii="仿宋" w:hAnsi="仿宋" w:eastAsia="仿宋_GB2312" w:cs="仿宋"/>
                <w:color w:val="auto"/>
                <w:spacing w:val="6"/>
                <w:sz w:val="23"/>
                <w:szCs w:val="23"/>
                <w:highlight w:val="none"/>
                <w:u w:val="none"/>
                <w:lang w:eastAsia="zh-CN"/>
              </w:rPr>
              <w:t>较大</w:t>
            </w:r>
            <w:r>
              <w:rPr>
                <w:rFonts w:ascii="仿宋" w:hAnsi="仿宋" w:eastAsia="仿宋_GB2312" w:cs="仿宋"/>
                <w:color w:val="auto"/>
                <w:spacing w:val="6"/>
                <w:sz w:val="23"/>
                <w:szCs w:val="23"/>
                <w:highlight w:val="none"/>
                <w:u w:val="none"/>
              </w:rPr>
              <w:t>不良影响。</w:t>
            </w:r>
          </w:p>
        </w:tc>
        <w:tc>
          <w:tcPr>
            <w:tcW w:w="1022" w:type="dxa"/>
            <w:tcBorders>
              <w:left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eastAsia" w:ascii="仿宋" w:hAnsi="仿宋" w:eastAsia="仿宋" w:cs="仿宋"/>
                <w:color w:val="auto"/>
                <w:spacing w:val="14"/>
                <w:position w:val="2"/>
                <w:sz w:val="23"/>
                <w:szCs w:val="23"/>
                <w:highlight w:val="none"/>
                <w:u w:val="none"/>
                <w:lang w:eastAsia="zh-CN"/>
              </w:rPr>
            </w:pPr>
            <w:r>
              <w:rPr>
                <w:rFonts w:hint="eastAsia" w:ascii="仿宋" w:hAnsi="仿宋" w:eastAsia="仿宋_GB2312" w:cs="仿宋"/>
                <w:color w:val="auto"/>
                <w:spacing w:val="14"/>
                <w:position w:val="2"/>
                <w:sz w:val="23"/>
                <w:szCs w:val="23"/>
                <w:highlight w:val="none"/>
                <w:u w:val="none"/>
                <w:lang w:eastAsia="zh-CN"/>
              </w:rPr>
              <w:t>城环局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1097" w:type="dxa"/>
            <w:tcBorders>
              <w:left w:val="single" w:color="000000" w:sz="6"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35"/>
              <w:jc w:val="both"/>
              <w:textAlignment w:val="auto"/>
              <w:rPr>
                <w:rFonts w:ascii="仿宋" w:hAnsi="仿宋" w:eastAsia="仿宋" w:cs="仿宋"/>
                <w:color w:val="auto"/>
                <w:spacing w:val="8"/>
                <w:sz w:val="23"/>
                <w:szCs w:val="23"/>
                <w:highlight w:val="none"/>
                <w:u w:val="none"/>
                <w14:textOutline w14:w="4358" w14:cap="sq" w14:cmpd="sng">
                  <w14:solidFill>
                    <w14:srgbClr w14:val="000000"/>
                  </w14:solidFill>
                  <w14:prstDash w14:val="solid"/>
                  <w14:bevel/>
                </w14:textOutline>
              </w:rPr>
            </w:pPr>
            <w:r>
              <w:rPr>
                <w:rFonts w:ascii="仿宋" w:hAnsi="仿宋" w:eastAsia="仿宋_GB2312" w:cs="仿宋"/>
                <w:color w:val="auto"/>
                <w:spacing w:val="8"/>
                <w:sz w:val="23"/>
                <w:szCs w:val="23"/>
                <w:highlight w:val="none"/>
                <w:u w:val="none"/>
                <w14:textOutline w14:w="4358" w14:cap="sq" w14:cmpd="sng">
                  <w14:solidFill>
                    <w14:srgbClr w14:val="000000"/>
                  </w14:solidFill>
                  <w14:prstDash w14:val="solid"/>
                  <w14:bevel/>
                </w14:textOutline>
              </w:rPr>
              <w:t>社</w:t>
            </w:r>
            <w:r>
              <w:rPr>
                <w:rFonts w:ascii="仿宋" w:hAnsi="仿宋" w:eastAsia="仿宋_GB2312" w:cs="仿宋"/>
                <w:color w:val="auto"/>
                <w:spacing w:val="6"/>
                <w:sz w:val="23"/>
                <w:szCs w:val="23"/>
                <w:highlight w:val="none"/>
                <w:u w:val="none"/>
                <w14:textOutline w14:w="4358" w14:cap="sq" w14:cmpd="sng">
                  <w14:solidFill>
                    <w14:srgbClr w14:val="000000"/>
                  </w14:solidFill>
                  <w14:prstDash w14:val="solid"/>
                  <w14:bevel/>
                </w14:textOutline>
              </w:rPr>
              <w:t>会稳定</w:t>
            </w:r>
          </w:p>
        </w:tc>
        <w:tc>
          <w:tcPr>
            <w:tcW w:w="2158" w:type="dxa"/>
            <w:tcBorders>
              <w:bottom w:val="single" w:color="auto" w:sz="4" w:space="0"/>
            </w:tcBorders>
            <w:vAlign w:val="center"/>
          </w:tcPr>
          <w:p>
            <w:pPr>
              <w:keepNext w:val="0"/>
              <w:keepLines w:val="0"/>
              <w:pageBreakBefore w:val="0"/>
              <w:widowControl w:val="0"/>
              <w:numPr>
                <w:ilvl w:val="0"/>
                <w:numId w:val="7"/>
              </w:numPr>
              <w:kinsoku/>
              <w:wordWrap/>
              <w:overflowPunct/>
              <w:topLinePunct/>
              <w:autoSpaceDE/>
              <w:autoSpaceDN/>
              <w:bidi w:val="0"/>
              <w:adjustRightInd/>
              <w:snapToGrid/>
              <w:spacing w:line="300" w:lineRule="exact"/>
              <w:ind w:left="17" w:firstLine="14"/>
              <w:jc w:val="both"/>
              <w:textAlignment w:val="auto"/>
              <w:rPr>
                <w:rFonts w:ascii="仿宋" w:hAnsi="仿宋" w:eastAsia="仿宋_GB2312" w:cs="仿宋"/>
                <w:color w:val="auto"/>
                <w:spacing w:val="-1"/>
                <w:sz w:val="23"/>
                <w:szCs w:val="23"/>
                <w:highlight w:val="none"/>
                <w:u w:val="none"/>
              </w:rPr>
            </w:pPr>
            <w:r>
              <w:rPr>
                <w:rFonts w:ascii="仿宋" w:hAnsi="仿宋" w:eastAsia="仿宋_GB2312" w:cs="仿宋"/>
                <w:color w:val="auto"/>
                <w:spacing w:val="-1"/>
                <w:sz w:val="23"/>
                <w:szCs w:val="23"/>
                <w:highlight w:val="none"/>
                <w:u w:val="none"/>
              </w:rPr>
              <w:t>群众上访或集体上 访，尚在解决中。</w:t>
            </w:r>
          </w:p>
          <w:p>
            <w:pPr>
              <w:keepNext w:val="0"/>
              <w:keepLines w:val="0"/>
              <w:pageBreakBefore w:val="0"/>
              <w:widowControl w:val="0"/>
              <w:numPr>
                <w:ilvl w:val="0"/>
                <w:numId w:val="0"/>
              </w:numPr>
              <w:kinsoku/>
              <w:wordWrap/>
              <w:overflowPunct/>
              <w:topLinePunct/>
              <w:autoSpaceDE/>
              <w:autoSpaceDN/>
              <w:bidi w:val="0"/>
              <w:adjustRightInd/>
              <w:snapToGrid/>
              <w:spacing w:line="300" w:lineRule="exact"/>
              <w:ind w:left="31" w:leftChars="0"/>
              <w:jc w:val="both"/>
              <w:textAlignment w:val="auto"/>
              <w:rPr>
                <w:rFonts w:ascii="仿宋" w:hAnsi="仿宋" w:eastAsia="仿宋" w:cs="仿宋"/>
                <w:color w:val="auto"/>
                <w:spacing w:val="-2"/>
                <w:sz w:val="23"/>
                <w:szCs w:val="23"/>
                <w:highlight w:val="none"/>
                <w:u w:val="none"/>
              </w:rPr>
            </w:pPr>
          </w:p>
        </w:tc>
        <w:tc>
          <w:tcPr>
            <w:tcW w:w="4221" w:type="dxa"/>
            <w:tcBorders>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7"/>
                <w:sz w:val="23"/>
                <w:szCs w:val="23"/>
                <w:highlight w:val="none"/>
                <w:u w:val="none"/>
              </w:rPr>
              <w:t>1</w:t>
            </w:r>
            <w:r>
              <w:rPr>
                <w:rFonts w:ascii="仿宋" w:hAnsi="仿宋" w:eastAsia="仿宋_GB2312" w:cs="仿宋"/>
                <w:color w:val="auto"/>
                <w:spacing w:val="6"/>
                <w:sz w:val="23"/>
                <w:szCs w:val="23"/>
                <w:highlight w:val="none"/>
                <w:u w:val="none"/>
              </w:rPr>
              <w:t>.发生暴力恐怖事件。</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2.在信访工作中发生个人极端事件或因人员聚集引发群体性事件，造成重伤以上(含)的严重后果。</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ascii="仿宋" w:hAnsi="仿宋" w:eastAsia="仿宋_GB2312" w:cs="仿宋"/>
                <w:color w:val="auto"/>
                <w:spacing w:val="6"/>
                <w:sz w:val="23"/>
                <w:szCs w:val="23"/>
                <w:highlight w:val="none"/>
                <w:u w:val="none"/>
              </w:rPr>
              <w:t>3.</w:t>
            </w:r>
            <w:r>
              <w:rPr>
                <w:rFonts w:hint="eastAsia" w:ascii="仿宋_GB2312" w:hAnsi="仿宋_GB2312" w:eastAsia="仿宋_GB2312" w:cs="仿宋_GB2312"/>
                <w:b w:val="0"/>
                <w:bCs w:val="0"/>
                <w:color w:val="auto"/>
                <w:spacing w:val="-6"/>
                <w:sz w:val="22"/>
                <w:szCs w:val="22"/>
                <w:highlight w:val="none"/>
                <w:lang w:val="en-US" w:eastAsia="zh-CN"/>
              </w:rPr>
              <w:t>其他违法违规上访情形。</w:t>
            </w:r>
            <w:r>
              <w:rPr>
                <w:rFonts w:ascii="仿宋" w:hAnsi="仿宋" w:eastAsia="仿宋_GB2312" w:cs="仿宋"/>
                <w:color w:val="auto"/>
                <w:spacing w:val="6"/>
                <w:sz w:val="23"/>
                <w:szCs w:val="23"/>
                <w:highlight w:val="none"/>
                <w:u w:val="none"/>
              </w:rPr>
              <w:t xml:space="preserve">     </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 w:cs="仿宋"/>
                <w:color w:val="auto"/>
                <w:spacing w:val="14"/>
                <w:position w:val="2"/>
                <w:sz w:val="23"/>
                <w:szCs w:val="23"/>
                <w:highlight w:val="none"/>
                <w:u w:val="none"/>
              </w:rPr>
            </w:pPr>
            <w:r>
              <w:rPr>
                <w:rFonts w:ascii="仿宋" w:hAnsi="仿宋" w:eastAsia="仿宋_GB2312" w:cs="仿宋"/>
                <w:color w:val="auto"/>
                <w:spacing w:val="6"/>
                <w:sz w:val="23"/>
                <w:szCs w:val="23"/>
                <w:highlight w:val="none"/>
                <w:u w:val="none"/>
              </w:rPr>
              <w:t xml:space="preserve">4.产生重大不良社会影响。                    </w:t>
            </w:r>
          </w:p>
        </w:tc>
        <w:tc>
          <w:tcPr>
            <w:tcW w:w="1022" w:type="dxa"/>
            <w:tcBorders>
              <w:left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eastAsia" w:ascii="仿宋" w:hAnsi="仿宋" w:eastAsia="仿宋_GB2312" w:cs="仿宋"/>
                <w:color w:val="auto"/>
                <w:spacing w:val="12"/>
                <w:sz w:val="23"/>
                <w:szCs w:val="23"/>
                <w:highlight w:val="none"/>
                <w:u w:val="none"/>
                <w:lang w:eastAsia="zh-CN"/>
              </w:rPr>
            </w:pPr>
            <w:r>
              <w:rPr>
                <w:rFonts w:hint="eastAsia" w:ascii="仿宋" w:hAnsi="仿宋" w:eastAsia="仿宋_GB2312" w:cs="仿宋"/>
                <w:color w:val="auto"/>
                <w:spacing w:val="12"/>
                <w:sz w:val="23"/>
                <w:szCs w:val="23"/>
                <w:highlight w:val="none"/>
                <w:u w:val="none"/>
                <w:lang w:eastAsia="zh-CN"/>
              </w:rPr>
              <w:t>办公室</w:t>
            </w:r>
          </w:p>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default" w:ascii="仿宋" w:hAnsi="仿宋" w:eastAsia="仿宋" w:cs="仿宋"/>
                <w:color w:val="auto"/>
                <w:spacing w:val="12"/>
                <w:sz w:val="23"/>
                <w:szCs w:val="23"/>
                <w:highlight w:val="none"/>
                <w:u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097" w:type="dxa"/>
            <w:tcBorders>
              <w:top w:val="single" w:color="auto" w:sz="4" w:space="0"/>
              <w:left w:val="single" w:color="000000" w:sz="6"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35"/>
              <w:jc w:val="both"/>
              <w:textAlignment w:val="auto"/>
              <w:rPr>
                <w:rFonts w:hint="eastAsia" w:ascii="仿宋" w:hAnsi="仿宋" w:eastAsia="仿宋" w:cs="仿宋"/>
                <w:color w:val="auto"/>
                <w:spacing w:val="8"/>
                <w:sz w:val="23"/>
                <w:szCs w:val="23"/>
                <w:highlight w:val="none"/>
                <w:u w:val="none"/>
                <w:lang w:eastAsia="zh-CN"/>
                <w14:textOutline w14:w="4358" w14:cap="sq" w14:cmpd="sng">
                  <w14:solidFill>
                    <w14:srgbClr w14:val="000000"/>
                  </w14:solidFill>
                  <w14:prstDash w14:val="solid"/>
                  <w14:bevel/>
                </w14:textOutline>
              </w:rPr>
            </w:pPr>
            <w:r>
              <w:rPr>
                <w:rFonts w:hint="eastAsia" w:ascii="仿宋" w:hAnsi="仿宋" w:eastAsia="仿宋_GB2312" w:cs="仿宋"/>
                <w:color w:val="auto"/>
                <w:spacing w:val="8"/>
                <w:sz w:val="23"/>
                <w:szCs w:val="23"/>
                <w:highlight w:val="none"/>
                <w:u w:val="none"/>
                <w:lang w:eastAsia="zh-CN"/>
                <w14:textOutline w14:w="4358" w14:cap="sq" w14:cmpd="sng">
                  <w14:solidFill>
                    <w14:srgbClr w14:val="000000"/>
                  </w14:solidFill>
                  <w14:prstDash w14:val="solid"/>
                  <w14:bevel/>
                </w14:textOutline>
              </w:rPr>
              <w:t>非法集资</w:t>
            </w:r>
          </w:p>
        </w:tc>
        <w:tc>
          <w:tcPr>
            <w:tcW w:w="2158" w:type="dxa"/>
            <w:tcBorders>
              <w:top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autoSpaceDE/>
              <w:autoSpaceDN/>
              <w:bidi w:val="0"/>
              <w:adjustRightInd/>
              <w:snapToGrid/>
              <w:spacing w:line="300" w:lineRule="exact"/>
              <w:ind w:left="31" w:leftChars="0"/>
              <w:jc w:val="both"/>
              <w:textAlignment w:val="auto"/>
              <w:rPr>
                <w:rFonts w:ascii="仿宋" w:hAnsi="仿宋" w:eastAsia="仿宋" w:cs="仿宋"/>
                <w:color w:val="auto"/>
                <w:spacing w:val="-1"/>
                <w:sz w:val="23"/>
                <w:szCs w:val="23"/>
                <w:highlight w:val="none"/>
                <w:u w:val="none"/>
              </w:rPr>
            </w:pPr>
            <w:r>
              <w:rPr>
                <w:rFonts w:hint="eastAsia" w:ascii="仿宋" w:hAnsi="仿宋" w:eastAsia="仿宋_GB2312" w:cs="仿宋"/>
                <w:color w:val="auto"/>
                <w:spacing w:val="-1"/>
                <w:sz w:val="23"/>
                <w:szCs w:val="23"/>
                <w:highlight w:val="none"/>
                <w:u w:val="none"/>
                <w:lang w:val="en-US" w:eastAsia="zh-CN"/>
              </w:rPr>
              <w:t>1</w:t>
            </w:r>
            <w:r>
              <w:rPr>
                <w:rFonts w:ascii="仿宋" w:hAnsi="仿宋" w:eastAsia="仿宋_GB2312" w:cs="仿宋"/>
                <w:color w:val="auto"/>
                <w:spacing w:val="-1"/>
                <w:sz w:val="23"/>
                <w:szCs w:val="23"/>
                <w:highlight w:val="none"/>
                <w:u w:val="none"/>
              </w:rPr>
              <w:t>.有非法集资嫌疑，被行政机关调查中。</w:t>
            </w:r>
          </w:p>
        </w:tc>
        <w:tc>
          <w:tcPr>
            <w:tcW w:w="42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_GB2312" w:cs="仿宋"/>
                <w:color w:val="auto"/>
                <w:spacing w:val="6"/>
                <w:sz w:val="23"/>
                <w:szCs w:val="23"/>
                <w:highlight w:val="none"/>
                <w:u w:val="none"/>
              </w:rPr>
            </w:pPr>
            <w:r>
              <w:rPr>
                <w:rFonts w:hint="eastAsia" w:ascii="仿宋" w:hAnsi="仿宋" w:eastAsia="仿宋_GB2312" w:cs="仿宋"/>
                <w:color w:val="auto"/>
                <w:spacing w:val="6"/>
                <w:sz w:val="23"/>
                <w:szCs w:val="23"/>
                <w:highlight w:val="none"/>
                <w:u w:val="none"/>
                <w:lang w:val="en-US" w:eastAsia="zh-CN"/>
              </w:rPr>
              <w:t>1</w:t>
            </w:r>
            <w:r>
              <w:rPr>
                <w:rFonts w:ascii="仿宋" w:hAnsi="仿宋" w:eastAsia="仿宋_GB2312" w:cs="仿宋"/>
                <w:color w:val="auto"/>
                <w:spacing w:val="6"/>
                <w:sz w:val="23"/>
                <w:szCs w:val="23"/>
                <w:highlight w:val="none"/>
                <w:u w:val="none"/>
              </w:rPr>
              <w:t>.被行政机关认定为非法集资并被行政处罚。</w:t>
            </w:r>
          </w:p>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ascii="仿宋" w:hAnsi="仿宋" w:eastAsia="仿宋" w:cs="仿宋"/>
                <w:color w:val="auto"/>
                <w:spacing w:val="6"/>
                <w:sz w:val="23"/>
                <w:szCs w:val="23"/>
                <w:highlight w:val="none"/>
                <w:u w:val="none"/>
              </w:rPr>
            </w:pPr>
            <w:r>
              <w:rPr>
                <w:rFonts w:hint="eastAsia" w:ascii="仿宋" w:hAnsi="仿宋" w:eastAsia="仿宋_GB2312" w:cs="仿宋"/>
                <w:color w:val="auto"/>
                <w:spacing w:val="6"/>
                <w:sz w:val="23"/>
                <w:szCs w:val="23"/>
                <w:highlight w:val="none"/>
                <w:u w:val="none"/>
                <w:lang w:val="en-US" w:eastAsia="zh-CN"/>
              </w:rPr>
              <w:t>2</w:t>
            </w:r>
            <w:r>
              <w:rPr>
                <w:rFonts w:ascii="仿宋" w:hAnsi="仿宋" w:eastAsia="仿宋_GB2312" w:cs="仿宋"/>
                <w:color w:val="auto"/>
                <w:spacing w:val="6"/>
                <w:sz w:val="23"/>
                <w:szCs w:val="23"/>
                <w:highlight w:val="none"/>
                <w:u w:val="none"/>
              </w:rPr>
              <w:t>.主要责任人因非法集资被处以刑事处罚。</w:t>
            </w:r>
          </w:p>
        </w:tc>
        <w:tc>
          <w:tcPr>
            <w:tcW w:w="1022" w:type="dxa"/>
            <w:tcBorders>
              <w:top w:val="single" w:color="auto" w:sz="4" w:space="0"/>
              <w:left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default" w:ascii="仿宋" w:hAnsi="仿宋" w:eastAsia="仿宋" w:cs="仿宋"/>
                <w:color w:val="auto"/>
                <w:spacing w:val="12"/>
                <w:sz w:val="23"/>
                <w:szCs w:val="23"/>
                <w:highlight w:val="none"/>
                <w:u w:val="none"/>
                <w:lang w:eastAsia="zh-CN"/>
              </w:rPr>
            </w:pPr>
            <w:r>
              <w:rPr>
                <w:rFonts w:hint="eastAsia" w:ascii="仿宋" w:hAnsi="仿宋" w:eastAsia="仿宋_GB2312" w:cs="仿宋"/>
                <w:color w:val="auto"/>
                <w:spacing w:val="12"/>
                <w:sz w:val="23"/>
                <w:szCs w:val="23"/>
                <w:highlight w:val="none"/>
                <w:u w:val="none"/>
                <w:lang w:eastAsia="zh-CN"/>
              </w:rPr>
              <w:t>财政金融局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097" w:type="dxa"/>
            <w:tcBorders>
              <w:top w:val="single" w:color="auto" w:sz="4" w:space="0"/>
              <w:left w:val="single" w:color="000000" w:sz="6" w:space="0"/>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35"/>
              <w:jc w:val="both"/>
              <w:textAlignment w:val="auto"/>
              <w:rPr>
                <w:rFonts w:hint="default" w:ascii="仿宋" w:hAnsi="仿宋" w:eastAsia="仿宋" w:cs="仿宋"/>
                <w:color w:val="auto"/>
                <w:spacing w:val="8"/>
                <w:sz w:val="23"/>
                <w:szCs w:val="23"/>
                <w:highlight w:val="none"/>
                <w:u w:val="none"/>
                <w:lang w:val="en-US" w:eastAsia="zh-CN"/>
                <w14:textOutline w14:w="4358" w14:cap="sq" w14:cmpd="sng">
                  <w14:solidFill>
                    <w14:srgbClr w14:val="000000"/>
                  </w14:solidFill>
                  <w14:prstDash w14:val="solid"/>
                  <w14:bevel/>
                </w14:textOutline>
              </w:rPr>
            </w:pPr>
            <w:r>
              <w:rPr>
                <w:rFonts w:hint="eastAsia" w:ascii="仿宋" w:hAnsi="仿宋" w:eastAsia="仿宋_GB2312" w:cs="仿宋"/>
                <w:color w:val="auto"/>
                <w:spacing w:val="8"/>
                <w:sz w:val="23"/>
                <w:szCs w:val="23"/>
                <w:highlight w:val="none"/>
                <w:u w:val="none"/>
                <w:lang w:val="en-US" w:eastAsia="zh-CN"/>
                <w14:textOutline w14:w="4358" w14:cap="sq" w14:cmpd="sng">
                  <w14:solidFill>
                    <w14:srgbClr w14:val="000000"/>
                  </w14:solidFill>
                  <w14:prstDash w14:val="solid"/>
                  <w14:bevel/>
                </w14:textOutline>
              </w:rPr>
              <w:t>网络安全</w:t>
            </w:r>
          </w:p>
        </w:tc>
        <w:tc>
          <w:tcPr>
            <w:tcW w:w="2158" w:type="dxa"/>
            <w:tcBorders>
              <w:top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autoSpaceDE/>
              <w:autoSpaceDN/>
              <w:bidi w:val="0"/>
              <w:adjustRightInd/>
              <w:snapToGrid/>
              <w:spacing w:line="300" w:lineRule="exact"/>
              <w:ind w:left="31" w:leftChars="0"/>
              <w:jc w:val="both"/>
              <w:textAlignment w:val="auto"/>
              <w:rPr>
                <w:rFonts w:hint="default" w:ascii="仿宋" w:hAnsi="仿宋" w:eastAsia="仿宋" w:cs="仿宋"/>
                <w:color w:val="auto"/>
                <w:spacing w:val="-1"/>
                <w:sz w:val="23"/>
                <w:szCs w:val="23"/>
                <w:highlight w:val="none"/>
                <w:u w:val="none"/>
                <w:lang w:val="en-US" w:eastAsia="zh-CN"/>
              </w:rPr>
            </w:pPr>
            <w:r>
              <w:rPr>
                <w:rFonts w:hint="eastAsia" w:ascii="仿宋" w:hAnsi="仿宋" w:eastAsia="仿宋_GB2312" w:cs="仿宋"/>
                <w:color w:val="auto"/>
                <w:spacing w:val="-1"/>
                <w:sz w:val="23"/>
                <w:szCs w:val="23"/>
                <w:highlight w:val="none"/>
                <w:u w:val="none"/>
                <w:lang w:val="en-US" w:eastAsia="zh-CN"/>
              </w:rPr>
              <w:t>1、存在重大网络安全隐患且尚未整改完毕的。</w:t>
            </w:r>
          </w:p>
        </w:tc>
        <w:tc>
          <w:tcPr>
            <w:tcW w:w="42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0" w:firstLine="11"/>
              <w:jc w:val="both"/>
              <w:textAlignment w:val="auto"/>
              <w:rPr>
                <w:rFonts w:hint="eastAsia" w:ascii="仿宋" w:hAnsi="仿宋" w:eastAsia="仿宋" w:cs="仿宋"/>
                <w:color w:val="auto"/>
                <w:spacing w:val="6"/>
                <w:sz w:val="23"/>
                <w:szCs w:val="23"/>
                <w:highlight w:val="none"/>
                <w:u w:val="none"/>
                <w:lang w:val="en-US" w:eastAsia="zh-CN"/>
              </w:rPr>
            </w:pPr>
            <w:r>
              <w:rPr>
                <w:rFonts w:hint="eastAsia" w:ascii="仿宋" w:hAnsi="仿宋" w:eastAsia="仿宋_GB2312" w:cs="仿宋"/>
                <w:color w:val="auto"/>
                <w:spacing w:val="-1"/>
                <w:sz w:val="23"/>
                <w:szCs w:val="23"/>
                <w:highlight w:val="none"/>
                <w:u w:val="none"/>
                <w:lang w:val="en-US" w:eastAsia="zh-CN"/>
              </w:rPr>
              <w:t>1、发生重大及以上网络安全事件。</w:t>
            </w:r>
          </w:p>
        </w:tc>
        <w:tc>
          <w:tcPr>
            <w:tcW w:w="1022" w:type="dxa"/>
            <w:tcBorders>
              <w:top w:val="single" w:color="auto" w:sz="4" w:space="0"/>
              <w:left w:val="single" w:color="auto" w:sz="4" w:space="0"/>
              <w:bottom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default" w:ascii="仿宋" w:hAnsi="仿宋" w:eastAsia="仿宋" w:cs="仿宋"/>
                <w:color w:val="auto"/>
                <w:spacing w:val="12"/>
                <w:sz w:val="23"/>
                <w:szCs w:val="23"/>
                <w:highlight w:val="none"/>
                <w:u w:val="none"/>
                <w:lang w:val="en-US" w:eastAsia="zh-CN"/>
              </w:rPr>
            </w:pPr>
            <w:r>
              <w:rPr>
                <w:rFonts w:hint="eastAsia" w:ascii="仿宋" w:hAnsi="仿宋" w:eastAsia="仿宋_GB2312" w:cs="仿宋"/>
                <w:color w:val="auto"/>
                <w:spacing w:val="12"/>
                <w:sz w:val="23"/>
                <w:szCs w:val="23"/>
                <w:highlight w:val="none"/>
                <w:u w:val="none"/>
                <w:lang w:val="en-US" w:eastAsia="zh-CN"/>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097" w:type="dxa"/>
            <w:tcBorders>
              <w:top w:val="single" w:color="auto" w:sz="4" w:space="0"/>
              <w:lef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35"/>
              <w:jc w:val="both"/>
              <w:textAlignment w:val="auto"/>
              <w:rPr>
                <w:rFonts w:hint="eastAsia" w:ascii="仿宋" w:hAnsi="仿宋" w:eastAsia="仿宋" w:cs="仿宋"/>
                <w:color w:val="auto"/>
                <w:spacing w:val="8"/>
                <w:sz w:val="23"/>
                <w:szCs w:val="23"/>
                <w:highlight w:val="none"/>
                <w:u w:val="none"/>
                <w:lang w:eastAsia="zh-CN"/>
                <w14:textOutline w14:w="4358" w14:cap="sq" w14:cmpd="sng">
                  <w14:solidFill>
                    <w14:srgbClr w14:val="000000"/>
                  </w14:solidFill>
                  <w14:prstDash w14:val="solid"/>
                  <w14:bevel/>
                </w14:textOutline>
              </w:rPr>
            </w:pPr>
            <w:r>
              <w:rPr>
                <w:rFonts w:hint="eastAsia" w:ascii="仿宋" w:hAnsi="仿宋" w:eastAsia="仿宋_GB2312" w:cs="仿宋"/>
                <w:color w:val="auto"/>
                <w:spacing w:val="8"/>
                <w:sz w:val="23"/>
                <w:szCs w:val="23"/>
                <w:highlight w:val="none"/>
                <w:u w:val="none"/>
                <w:lang w:eastAsia="zh-CN"/>
                <w14:textOutline w14:w="4358" w14:cap="sq" w14:cmpd="sng">
                  <w14:solidFill>
                    <w14:srgbClr w14:val="000000"/>
                  </w14:solidFill>
                  <w14:prstDash w14:val="solid"/>
                  <w14:bevel/>
                </w14:textOutline>
              </w:rPr>
              <w:t>其他领域</w:t>
            </w:r>
          </w:p>
        </w:tc>
        <w:tc>
          <w:tcPr>
            <w:tcW w:w="2158" w:type="dxa"/>
            <w:tcBorders>
              <w:top w:val="single" w:color="auto" w:sz="4" w:space="0"/>
            </w:tcBorders>
            <w:vAlign w:val="center"/>
          </w:tcPr>
          <w:p>
            <w:pPr>
              <w:keepNext w:val="0"/>
              <w:keepLines w:val="0"/>
              <w:pageBreakBefore w:val="0"/>
              <w:widowControl w:val="0"/>
              <w:numPr>
                <w:ilvl w:val="0"/>
                <w:numId w:val="8"/>
              </w:numPr>
              <w:kinsoku/>
              <w:wordWrap/>
              <w:overflowPunct/>
              <w:topLinePunct/>
              <w:autoSpaceDE/>
              <w:autoSpaceDN/>
              <w:bidi w:val="0"/>
              <w:adjustRightInd/>
              <w:snapToGrid/>
              <w:spacing w:line="300" w:lineRule="exact"/>
              <w:ind w:left="31" w:leftChars="0"/>
              <w:jc w:val="both"/>
              <w:textAlignment w:val="auto"/>
              <w:rPr>
                <w:rFonts w:hint="eastAsia" w:ascii="仿宋" w:hAnsi="仿宋" w:eastAsia="仿宋_GB2312" w:cs="仿宋"/>
                <w:color w:val="auto"/>
                <w:spacing w:val="-1"/>
                <w:sz w:val="23"/>
                <w:szCs w:val="23"/>
                <w:highlight w:val="none"/>
                <w:u w:val="none"/>
                <w:lang w:val="en-US" w:eastAsia="zh-CN"/>
              </w:rPr>
            </w:pPr>
            <w:r>
              <w:rPr>
                <w:rFonts w:hint="eastAsia" w:ascii="仿宋" w:hAnsi="仿宋" w:eastAsia="仿宋_GB2312" w:cs="仿宋"/>
                <w:color w:val="auto"/>
                <w:spacing w:val="-1"/>
                <w:sz w:val="23"/>
                <w:szCs w:val="23"/>
                <w:highlight w:val="none"/>
                <w:u w:val="none"/>
                <w:lang w:val="en-US" w:eastAsia="zh-CN"/>
              </w:rPr>
              <w:t>对高新区造成不良影响的一般问题。</w:t>
            </w:r>
          </w:p>
          <w:p>
            <w:pPr>
              <w:keepNext w:val="0"/>
              <w:keepLines w:val="0"/>
              <w:pageBreakBefore w:val="0"/>
              <w:widowControl w:val="0"/>
              <w:numPr>
                <w:ilvl w:val="0"/>
                <w:numId w:val="8"/>
              </w:numPr>
              <w:kinsoku/>
              <w:wordWrap/>
              <w:overflowPunct/>
              <w:topLinePunct/>
              <w:autoSpaceDE/>
              <w:autoSpaceDN/>
              <w:bidi w:val="0"/>
              <w:adjustRightInd/>
              <w:snapToGrid/>
              <w:spacing w:line="300" w:lineRule="exact"/>
              <w:ind w:left="31" w:leftChars="0"/>
              <w:jc w:val="both"/>
              <w:textAlignment w:val="auto"/>
              <w:rPr>
                <w:rFonts w:hint="default" w:ascii="仿宋" w:hAnsi="仿宋" w:eastAsia="仿宋" w:cs="仿宋"/>
                <w:color w:val="auto"/>
                <w:spacing w:val="-1"/>
                <w:sz w:val="23"/>
                <w:szCs w:val="23"/>
                <w:highlight w:val="none"/>
                <w:u w:val="none"/>
                <w:lang w:val="en-US" w:eastAsia="zh-CN"/>
              </w:rPr>
            </w:pPr>
            <w:r>
              <w:rPr>
                <w:rFonts w:hint="eastAsia" w:ascii="仿宋" w:hAnsi="仿宋" w:eastAsia="仿宋_GB2312" w:cs="仿宋"/>
                <w:color w:val="auto"/>
                <w:spacing w:val="-1"/>
                <w:sz w:val="23"/>
                <w:szCs w:val="23"/>
                <w:highlight w:val="none"/>
                <w:u w:val="none"/>
                <w:lang w:val="en-US" w:eastAsia="zh-CN"/>
              </w:rPr>
              <w:t>企业生产经营面临重大风险问题。</w:t>
            </w:r>
          </w:p>
        </w:tc>
        <w:tc>
          <w:tcPr>
            <w:tcW w:w="4221" w:type="dxa"/>
            <w:tcBorders>
              <w:top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autoSpaceDE/>
              <w:autoSpaceDN/>
              <w:bidi w:val="0"/>
              <w:adjustRightInd/>
              <w:snapToGrid/>
              <w:spacing w:line="300" w:lineRule="exact"/>
              <w:ind w:left="0" w:firstLine="11"/>
              <w:jc w:val="both"/>
              <w:textAlignment w:val="auto"/>
              <w:rPr>
                <w:rFonts w:hint="eastAsia" w:ascii="仿宋" w:hAnsi="仿宋" w:eastAsia="仿宋_GB2312" w:cs="仿宋"/>
                <w:color w:val="auto"/>
                <w:spacing w:val="6"/>
                <w:sz w:val="23"/>
                <w:szCs w:val="23"/>
                <w:highlight w:val="none"/>
                <w:u w:val="none"/>
                <w:lang w:val="en-US" w:eastAsia="zh-CN"/>
              </w:rPr>
            </w:pPr>
            <w:r>
              <w:rPr>
                <w:rFonts w:hint="eastAsia" w:ascii="仿宋" w:hAnsi="仿宋" w:eastAsia="仿宋_GB2312" w:cs="仿宋"/>
                <w:color w:val="auto"/>
                <w:spacing w:val="6"/>
                <w:sz w:val="23"/>
                <w:szCs w:val="23"/>
                <w:highlight w:val="none"/>
                <w:u w:val="none"/>
                <w:lang w:val="en-US" w:eastAsia="zh-CN"/>
              </w:rPr>
              <w:t>对高新区造成严重不良影响的重大问题或责任事故。</w:t>
            </w:r>
          </w:p>
          <w:p>
            <w:pPr>
              <w:keepNext w:val="0"/>
              <w:keepLines w:val="0"/>
              <w:pageBreakBefore w:val="0"/>
              <w:widowControl w:val="0"/>
              <w:numPr>
                <w:ilvl w:val="0"/>
                <w:numId w:val="9"/>
              </w:numPr>
              <w:kinsoku/>
              <w:wordWrap/>
              <w:overflowPunct/>
              <w:topLinePunct/>
              <w:autoSpaceDE/>
              <w:autoSpaceDN/>
              <w:bidi w:val="0"/>
              <w:adjustRightInd/>
              <w:snapToGrid/>
              <w:spacing w:line="300" w:lineRule="exact"/>
              <w:ind w:left="0" w:firstLine="11"/>
              <w:jc w:val="both"/>
              <w:textAlignment w:val="auto"/>
              <w:rPr>
                <w:rFonts w:hint="default" w:ascii="仿宋" w:hAnsi="仿宋" w:eastAsia="仿宋" w:cs="仿宋"/>
                <w:color w:val="auto"/>
                <w:spacing w:val="6"/>
                <w:sz w:val="23"/>
                <w:szCs w:val="23"/>
                <w:highlight w:val="none"/>
                <w:u w:val="none"/>
                <w:lang w:val="en-US" w:eastAsia="zh-CN"/>
              </w:rPr>
            </w:pPr>
            <w:r>
              <w:rPr>
                <w:rFonts w:hint="eastAsia" w:ascii="仿宋" w:hAnsi="仿宋" w:eastAsia="仿宋_GB2312" w:cs="仿宋"/>
                <w:color w:val="auto"/>
                <w:spacing w:val="6"/>
                <w:sz w:val="23"/>
                <w:szCs w:val="23"/>
                <w:highlight w:val="none"/>
                <w:u w:val="none"/>
                <w:lang w:val="en-US" w:eastAsia="zh-CN"/>
              </w:rPr>
              <w:t>企业生产经营严重萎缩停滞、存在破产清算风险或涉及其他重大问题。</w:t>
            </w:r>
          </w:p>
        </w:tc>
        <w:tc>
          <w:tcPr>
            <w:tcW w:w="1022" w:type="dxa"/>
            <w:tcBorders>
              <w:top w:val="single" w:color="auto" w:sz="4" w:space="0"/>
              <w:left w:val="single" w:color="auto" w:sz="4" w:space="0"/>
              <w:right w:val="single" w:color="000000" w:sz="6" w:space="0"/>
            </w:tcBorders>
            <w:vAlign w:val="center"/>
          </w:tcPr>
          <w:p>
            <w:pPr>
              <w:keepNext w:val="0"/>
              <w:keepLines w:val="0"/>
              <w:pageBreakBefore w:val="0"/>
              <w:widowControl w:val="0"/>
              <w:kinsoku/>
              <w:wordWrap/>
              <w:overflowPunct/>
              <w:topLinePunct/>
              <w:autoSpaceDE/>
              <w:autoSpaceDN/>
              <w:bidi w:val="0"/>
              <w:adjustRightInd/>
              <w:snapToGrid/>
              <w:spacing w:line="300" w:lineRule="exact"/>
              <w:ind w:left="23"/>
              <w:jc w:val="both"/>
              <w:textAlignment w:val="auto"/>
              <w:rPr>
                <w:rFonts w:hint="default" w:ascii="仿宋" w:hAnsi="仿宋" w:eastAsia="仿宋" w:cs="仿宋"/>
                <w:color w:val="auto"/>
                <w:spacing w:val="12"/>
                <w:sz w:val="23"/>
                <w:szCs w:val="23"/>
                <w:highlight w:val="none"/>
                <w:u w:val="none"/>
                <w:lang w:eastAsia="zh-CN"/>
              </w:rPr>
            </w:pPr>
            <w:r>
              <w:rPr>
                <w:rFonts w:hint="eastAsia" w:ascii="仿宋" w:hAnsi="仿宋" w:eastAsia="仿宋_GB2312" w:cs="仿宋"/>
                <w:color w:val="auto"/>
                <w:spacing w:val="12"/>
                <w:sz w:val="23"/>
                <w:szCs w:val="23"/>
                <w:highlight w:val="none"/>
                <w:u w:val="none"/>
                <w:lang w:eastAsia="zh-CN"/>
              </w:rPr>
              <w:t>相应职能部门</w:t>
            </w:r>
          </w:p>
        </w:tc>
      </w:tr>
    </w:tbl>
    <w:p>
      <w:pPr>
        <w:keepNext w:val="0"/>
        <w:keepLines w:val="0"/>
        <w:pageBreakBefore w:val="0"/>
        <w:widowControl w:val="0"/>
        <w:kinsoku/>
        <w:wordWrap/>
        <w:overflowPunct/>
        <w:topLinePunct/>
        <w:bidi w:val="0"/>
        <w:rPr>
          <w:rFonts w:hint="eastAsia" w:ascii="楷体_GB2312" w:hAnsi="楷体_GB2312" w:eastAsia="楷体_GB2312" w:cs="楷体_GB2312"/>
          <w:b/>
          <w:bCs/>
          <w:snapToGrid w:val="0"/>
          <w:color w:val="auto"/>
          <w:spacing w:val="0"/>
          <w:kern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br w:type="page"/>
      </w:r>
    </w:p>
    <w:p>
      <w:pPr>
        <w:keepNext w:val="0"/>
        <w:keepLines w:val="0"/>
        <w:pageBreakBefore w:val="0"/>
        <w:widowControl w:val="0"/>
        <w:kinsoku/>
        <w:wordWrap/>
        <w:overflowPunct/>
        <w:topLinePunct/>
        <w:bidi w:val="0"/>
        <w:spacing w:line="560" w:lineRule="exact"/>
        <w:ind w:left="44" w:right="101" w:firstLine="655"/>
        <w:rPr>
          <w:rFonts w:hint="eastAsia" w:ascii="仿宋" w:hAnsi="仿宋" w:eastAsia="仿宋_GB2312" w:cs="仿宋"/>
          <w:color w:val="auto"/>
          <w:spacing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第二十条</w:t>
      </w:r>
      <w:r>
        <w:rPr>
          <w:rFonts w:ascii="仿宋" w:hAnsi="仿宋" w:eastAsia="仿宋_GB2312" w:cs="仿宋"/>
          <w:color w:val="auto"/>
          <w:spacing w:val="0"/>
          <w:sz w:val="32"/>
          <w:szCs w:val="32"/>
          <w:highlight w:val="none"/>
          <w:u w:val="none"/>
        </w:rPr>
        <w:t xml:space="preserve"> </w:t>
      </w:r>
      <w:r>
        <w:rPr>
          <w:rFonts w:hint="eastAsia" w:ascii="仿宋" w:hAnsi="仿宋" w:eastAsia="仿宋_GB2312" w:cs="仿宋"/>
          <w:color w:val="auto"/>
          <w:spacing w:val="0"/>
          <w:sz w:val="32"/>
          <w:szCs w:val="32"/>
          <w:highlight w:val="none"/>
          <w:u w:val="none"/>
          <w:lang w:eastAsia="zh-CN"/>
        </w:rPr>
        <w:t>实行</w:t>
      </w:r>
      <w:r>
        <w:rPr>
          <w:rFonts w:hint="eastAsia" w:ascii="仿宋" w:hAnsi="仿宋" w:eastAsia="仿宋_GB2312" w:cs="仿宋"/>
          <w:color w:val="auto"/>
          <w:spacing w:val="0"/>
          <w:sz w:val="32"/>
          <w:szCs w:val="32"/>
          <w:highlight w:val="none"/>
          <w:u w:val="none"/>
          <w:lang w:val="en-US" w:eastAsia="zh-CN"/>
        </w:rPr>
        <w:t>政策兑现风险预警机制。普惠政策牵头部门、协议政策责任部门及各相关职能部门如发现企业存在重大经营异常或潜在重大问题，应履行预警职责，及时向政务办通报有关情况，经研究会商，可</w:t>
      </w:r>
      <w:r>
        <w:rPr>
          <w:rFonts w:ascii="仿宋" w:hAnsi="仿宋" w:eastAsia="仿宋_GB2312" w:cs="仿宋"/>
          <w:color w:val="auto"/>
          <w:spacing w:val="0"/>
          <w:sz w:val="32"/>
          <w:szCs w:val="32"/>
          <w:highlight w:val="none"/>
          <w:u w:val="none"/>
        </w:rPr>
        <w:t>暂停政策兑现</w:t>
      </w:r>
      <w:r>
        <w:rPr>
          <w:rFonts w:hint="eastAsia" w:ascii="仿宋" w:hAnsi="仿宋" w:eastAsia="仿宋_GB2312" w:cs="仿宋"/>
          <w:color w:val="auto"/>
          <w:spacing w:val="0"/>
          <w:sz w:val="32"/>
          <w:szCs w:val="32"/>
          <w:highlight w:val="none"/>
          <w:u w:val="none"/>
          <w:lang w:eastAsia="zh-CN"/>
        </w:rPr>
        <w:t>办理</w:t>
      </w:r>
      <w:r>
        <w:rPr>
          <w:rFonts w:ascii="仿宋" w:hAnsi="仿宋" w:eastAsia="仿宋_GB2312" w:cs="仿宋"/>
          <w:color w:val="auto"/>
          <w:spacing w:val="0"/>
          <w:sz w:val="32"/>
          <w:szCs w:val="32"/>
          <w:highlight w:val="none"/>
          <w:u w:val="none"/>
        </w:rPr>
        <w:t>流程</w:t>
      </w:r>
      <w:r>
        <w:rPr>
          <w:rFonts w:hint="eastAsia" w:ascii="仿宋" w:hAnsi="仿宋" w:eastAsia="仿宋_GB2312" w:cs="仿宋"/>
          <w:color w:val="auto"/>
          <w:spacing w:val="0"/>
          <w:sz w:val="32"/>
          <w:szCs w:val="32"/>
          <w:highlight w:val="none"/>
          <w:u w:val="none"/>
          <w:lang w:eastAsia="zh-CN"/>
        </w:rPr>
        <w:t>。</w:t>
      </w:r>
    </w:p>
    <w:p>
      <w:pPr>
        <w:keepNext w:val="0"/>
        <w:keepLines w:val="0"/>
        <w:pageBreakBefore w:val="0"/>
        <w:widowControl w:val="0"/>
        <w:kinsoku/>
        <w:wordWrap/>
        <w:overflowPunct/>
        <w:topLinePunct/>
        <w:bidi w:val="0"/>
        <w:spacing w:line="560" w:lineRule="exact"/>
        <w:ind w:left="44" w:right="101" w:firstLine="655"/>
        <w:rPr>
          <w:rFonts w:hint="default" w:ascii="仿宋" w:hAnsi="仿宋" w:eastAsia="仿宋_GB2312" w:cs="仿宋"/>
          <w:color w:val="auto"/>
          <w:spacing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第二十一条</w:t>
      </w:r>
      <w:r>
        <w:rPr>
          <w:rFonts w:hint="eastAsia" w:ascii="仿宋" w:hAnsi="仿宋" w:eastAsia="仿宋_GB2312" w:cs="仿宋"/>
          <w:color w:val="auto"/>
          <w:spacing w:val="0"/>
          <w:sz w:val="32"/>
          <w:szCs w:val="32"/>
          <w:highlight w:val="none"/>
          <w:u w:val="none"/>
          <w:lang w:val="en-US" w:eastAsia="zh-CN"/>
        </w:rPr>
        <w:t xml:space="preserve"> </w:t>
      </w:r>
      <w:r>
        <w:rPr>
          <w:rFonts w:ascii="仿宋" w:hAnsi="仿宋" w:eastAsia="仿宋_GB2312" w:cs="仿宋"/>
          <w:color w:val="auto"/>
          <w:spacing w:val="0"/>
          <w:sz w:val="32"/>
          <w:szCs w:val="32"/>
          <w:highlight w:val="none"/>
          <w:u w:val="none"/>
        </w:rPr>
        <w:t>政策兑现资金的拨付。</w:t>
      </w:r>
      <w:r>
        <w:rPr>
          <w:rFonts w:hint="eastAsia" w:ascii="仿宋" w:hAnsi="仿宋" w:eastAsia="仿宋_GB2312" w:cs="仿宋"/>
          <w:color w:val="auto"/>
          <w:spacing w:val="0"/>
          <w:sz w:val="32"/>
          <w:szCs w:val="32"/>
          <w:highlight w:val="none"/>
          <w:u w:val="none"/>
          <w:lang w:val="en-US" w:eastAsia="zh-CN"/>
        </w:rPr>
        <w:t>政务办、</w:t>
      </w:r>
      <w:r>
        <w:rPr>
          <w:rFonts w:hint="eastAsia" w:ascii="仿宋" w:hAnsi="仿宋" w:eastAsia="仿宋_GB2312" w:cs="仿宋"/>
          <w:color w:val="auto"/>
          <w:spacing w:val="0"/>
          <w:sz w:val="32"/>
          <w:szCs w:val="32"/>
          <w:highlight w:val="none"/>
          <w:u w:val="none"/>
          <w:lang w:eastAsia="zh-CN"/>
        </w:rPr>
        <w:t>财政金融局应</w:t>
      </w:r>
      <w:r>
        <w:rPr>
          <w:rFonts w:ascii="仿宋" w:hAnsi="仿宋" w:eastAsia="仿宋_GB2312" w:cs="仿宋"/>
          <w:color w:val="auto"/>
          <w:spacing w:val="0"/>
          <w:sz w:val="32"/>
          <w:szCs w:val="32"/>
          <w:highlight w:val="none"/>
          <w:u w:val="none"/>
        </w:rPr>
        <w:t>在保证</w:t>
      </w:r>
      <w:r>
        <w:rPr>
          <w:rFonts w:hint="eastAsia" w:ascii="仿宋" w:hAnsi="仿宋" w:eastAsia="仿宋_GB2312" w:cs="仿宋"/>
          <w:color w:val="auto"/>
          <w:spacing w:val="0"/>
          <w:sz w:val="32"/>
          <w:szCs w:val="32"/>
          <w:highlight w:val="none"/>
          <w:u w:val="none"/>
          <w:lang w:eastAsia="zh-CN"/>
        </w:rPr>
        <w:t>政策兑现资金预算和</w:t>
      </w:r>
      <w:r>
        <w:rPr>
          <w:rFonts w:ascii="仿宋" w:hAnsi="仿宋" w:eastAsia="仿宋_GB2312" w:cs="仿宋"/>
          <w:color w:val="auto"/>
          <w:spacing w:val="0"/>
          <w:sz w:val="32"/>
          <w:szCs w:val="32"/>
          <w:highlight w:val="none"/>
          <w:u w:val="none"/>
        </w:rPr>
        <w:t>财政资金合理调度的基础上，按照普惠和协议政策相关规 (约)定，及时</w:t>
      </w:r>
      <w:r>
        <w:rPr>
          <w:rFonts w:hint="eastAsia" w:ascii="仿宋" w:hAnsi="仿宋" w:eastAsia="仿宋_GB2312" w:cs="仿宋"/>
          <w:color w:val="auto"/>
          <w:spacing w:val="0"/>
          <w:sz w:val="32"/>
          <w:szCs w:val="32"/>
          <w:highlight w:val="none"/>
          <w:u w:val="none"/>
          <w:lang w:eastAsia="zh-CN"/>
        </w:rPr>
        <w:t>办理</w:t>
      </w:r>
      <w:r>
        <w:rPr>
          <w:rFonts w:ascii="仿宋" w:hAnsi="仿宋" w:eastAsia="仿宋_GB2312" w:cs="仿宋"/>
          <w:color w:val="auto"/>
          <w:spacing w:val="0"/>
          <w:sz w:val="32"/>
          <w:szCs w:val="32"/>
          <w:highlight w:val="none"/>
          <w:u w:val="none"/>
        </w:rPr>
        <w:t>政策兑现资金的拨付。</w:t>
      </w:r>
      <w:r>
        <w:rPr>
          <w:rFonts w:hint="eastAsia" w:ascii="仿宋" w:hAnsi="仿宋" w:eastAsia="仿宋_GB2312" w:cs="仿宋"/>
          <w:color w:val="auto"/>
          <w:spacing w:val="0"/>
          <w:sz w:val="32"/>
          <w:szCs w:val="32"/>
          <w:highlight w:val="none"/>
          <w:u w:val="none"/>
          <w:lang w:val="en-US" w:eastAsia="zh-CN"/>
        </w:rPr>
        <w:t>对于存在特殊情况的重点项目或紧急项目，经所属政策责任部门申请，可由政务办组织财政金融局及相关部门召开专题会分析研判，经政策兑现工作分管副主任批准后，可优先予以兑现拨付。</w:t>
      </w:r>
    </w:p>
    <w:p>
      <w:pPr>
        <w:keepNext w:val="0"/>
        <w:keepLines w:val="0"/>
        <w:pageBreakBefore w:val="0"/>
        <w:widowControl w:val="0"/>
        <w:kinsoku/>
        <w:wordWrap/>
        <w:overflowPunct/>
        <w:topLinePunct/>
        <w:bidi w:val="0"/>
        <w:spacing w:line="560" w:lineRule="exact"/>
        <w:ind w:left="45" w:right="101" w:firstLine="654"/>
        <w:rPr>
          <w:rFonts w:ascii="仿宋" w:hAnsi="仿宋" w:eastAsia="仿宋_GB2312" w:cs="仿宋"/>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第二十二条</w:t>
      </w:r>
      <w:r>
        <w:rPr>
          <w:rFonts w:ascii="仿宋" w:hAnsi="仿宋" w:eastAsia="仿宋_GB2312" w:cs="仿宋"/>
          <w:color w:val="auto"/>
          <w:spacing w:val="0"/>
          <w:sz w:val="32"/>
          <w:szCs w:val="32"/>
          <w:highlight w:val="none"/>
          <w:u w:val="none"/>
        </w:rPr>
        <w:t xml:space="preserve"> 政策兑现资金的拨付对象。政策兑现资金原则上只拨付给企事业单位等机构申请人。</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line="560" w:lineRule="exact"/>
        <w:ind w:firstLine="643" w:firstLineChars="200"/>
        <w:jc w:val="both"/>
        <w:textAlignment w:val="baseline"/>
        <w:rPr>
          <w:rFonts w:ascii="仿宋" w:hAnsi="仿宋" w:eastAsia="仿宋_GB2312" w:cs="仿宋"/>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第二十三条</w:t>
      </w:r>
      <w:r>
        <w:rPr>
          <w:rFonts w:hint="eastAsia" w:ascii="仿宋" w:hAnsi="仿宋" w:eastAsia="仿宋_GB2312" w:cs="仿宋"/>
          <w:color w:val="auto"/>
          <w:spacing w:val="0"/>
          <w:sz w:val="32"/>
          <w:szCs w:val="32"/>
          <w:highlight w:val="none"/>
          <w:u w:val="none"/>
          <w:lang w:val="en-US" w:eastAsia="zh-CN"/>
        </w:rPr>
        <w:t xml:space="preserve"> 政策或协议问题处理机制。</w:t>
      </w:r>
      <w:r>
        <w:rPr>
          <w:rFonts w:ascii="仿宋" w:hAnsi="仿宋" w:eastAsia="仿宋_GB2312" w:cs="仿宋"/>
          <w:color w:val="auto"/>
          <w:spacing w:val="0"/>
          <w:sz w:val="32"/>
          <w:szCs w:val="32"/>
          <w:highlight w:val="none"/>
          <w:u w:val="none"/>
        </w:rPr>
        <w:t>政策兑现申请办理过程中</w:t>
      </w:r>
      <w:r>
        <w:rPr>
          <w:rFonts w:hint="eastAsia" w:ascii="仿宋" w:hAnsi="仿宋" w:eastAsia="仿宋_GB2312" w:cs="仿宋"/>
          <w:color w:val="auto"/>
          <w:spacing w:val="0"/>
          <w:sz w:val="32"/>
          <w:szCs w:val="32"/>
          <w:highlight w:val="none"/>
          <w:u w:val="none"/>
          <w:lang w:eastAsia="zh-CN"/>
        </w:rPr>
        <w:t>，</w:t>
      </w:r>
      <w:r>
        <w:rPr>
          <w:rFonts w:ascii="仿宋" w:hAnsi="仿宋" w:eastAsia="仿宋_GB2312" w:cs="仿宋"/>
          <w:color w:val="auto"/>
          <w:spacing w:val="0"/>
          <w:sz w:val="32"/>
          <w:szCs w:val="32"/>
          <w:highlight w:val="none"/>
          <w:u w:val="none"/>
        </w:rPr>
        <w:t>因</w:t>
      </w:r>
      <w:r>
        <w:rPr>
          <w:rFonts w:hint="eastAsia" w:ascii="仿宋" w:hAnsi="仿宋" w:eastAsia="仿宋_GB2312" w:cs="仿宋"/>
          <w:color w:val="auto"/>
          <w:spacing w:val="0"/>
          <w:sz w:val="32"/>
          <w:szCs w:val="32"/>
          <w:highlight w:val="none"/>
          <w:u w:val="none"/>
          <w:lang w:eastAsia="zh-CN"/>
        </w:rPr>
        <w:t>政策或</w:t>
      </w:r>
      <w:r>
        <w:rPr>
          <w:rFonts w:ascii="仿宋" w:hAnsi="仿宋" w:eastAsia="仿宋_GB2312" w:cs="仿宋"/>
          <w:color w:val="auto"/>
          <w:spacing w:val="0"/>
          <w:sz w:val="32"/>
          <w:szCs w:val="32"/>
          <w:highlight w:val="none"/>
          <w:u w:val="none"/>
        </w:rPr>
        <w:t>协议条款表述存在</w:t>
      </w:r>
      <w:r>
        <w:rPr>
          <w:rFonts w:hint="eastAsia" w:ascii="仿宋" w:hAnsi="仿宋" w:eastAsia="仿宋_GB2312" w:cs="仿宋"/>
          <w:color w:val="auto"/>
          <w:spacing w:val="0"/>
          <w:sz w:val="32"/>
          <w:szCs w:val="32"/>
          <w:highlight w:val="none"/>
          <w:u w:val="none"/>
          <w:lang w:eastAsia="zh-CN"/>
        </w:rPr>
        <w:t>问题</w:t>
      </w:r>
      <w:r>
        <w:rPr>
          <w:rFonts w:ascii="仿宋" w:hAnsi="仿宋" w:eastAsia="仿宋_GB2312" w:cs="仿宋"/>
          <w:color w:val="auto"/>
          <w:spacing w:val="0"/>
          <w:sz w:val="32"/>
          <w:szCs w:val="32"/>
          <w:highlight w:val="none"/>
          <w:u w:val="none"/>
        </w:rPr>
        <w:t>等原因导致</w:t>
      </w:r>
      <w:r>
        <w:rPr>
          <w:rFonts w:hint="eastAsia" w:ascii="仿宋" w:hAnsi="仿宋" w:eastAsia="仿宋_GB2312" w:cs="仿宋"/>
          <w:color w:val="auto"/>
          <w:spacing w:val="0"/>
          <w:sz w:val="32"/>
          <w:szCs w:val="32"/>
          <w:highlight w:val="none"/>
          <w:u w:val="none"/>
          <w:lang w:eastAsia="zh-CN"/>
        </w:rPr>
        <w:t>政策或</w:t>
      </w:r>
      <w:r>
        <w:rPr>
          <w:rFonts w:ascii="仿宋" w:hAnsi="仿宋" w:eastAsia="仿宋_GB2312" w:cs="仿宋"/>
          <w:color w:val="auto"/>
          <w:spacing w:val="0"/>
          <w:sz w:val="32"/>
          <w:szCs w:val="32"/>
          <w:highlight w:val="none"/>
          <w:u w:val="none"/>
        </w:rPr>
        <w:t>协议</w:t>
      </w:r>
      <w:r>
        <w:rPr>
          <w:rFonts w:hint="eastAsia" w:ascii="仿宋" w:hAnsi="仿宋" w:eastAsia="仿宋_GB2312" w:cs="仿宋"/>
          <w:color w:val="auto"/>
          <w:spacing w:val="0"/>
          <w:sz w:val="32"/>
          <w:szCs w:val="32"/>
          <w:highlight w:val="none"/>
          <w:u w:val="none"/>
          <w:lang w:eastAsia="zh-CN"/>
        </w:rPr>
        <w:t>达标</w:t>
      </w:r>
      <w:r>
        <w:rPr>
          <w:rFonts w:ascii="仿宋" w:hAnsi="仿宋" w:eastAsia="仿宋_GB2312" w:cs="仿宋"/>
          <w:color w:val="auto"/>
          <w:spacing w:val="0"/>
          <w:sz w:val="32"/>
          <w:szCs w:val="32"/>
          <w:highlight w:val="none"/>
          <w:u w:val="none"/>
        </w:rPr>
        <w:t>完成情况无法认定</w:t>
      </w:r>
      <w:r>
        <w:rPr>
          <w:rFonts w:hint="eastAsia" w:ascii="仿宋" w:hAnsi="仿宋" w:eastAsia="仿宋_GB2312" w:cs="仿宋"/>
          <w:color w:val="auto"/>
          <w:spacing w:val="0"/>
          <w:sz w:val="32"/>
          <w:szCs w:val="32"/>
          <w:highlight w:val="none"/>
          <w:u w:val="none"/>
          <w:lang w:eastAsia="zh-CN"/>
        </w:rPr>
        <w:t>或存在争议、政策或</w:t>
      </w:r>
      <w:r>
        <w:rPr>
          <w:rFonts w:ascii="仿宋" w:hAnsi="仿宋" w:eastAsia="仿宋_GB2312" w:cs="仿宋"/>
          <w:color w:val="auto"/>
          <w:spacing w:val="0"/>
          <w:sz w:val="32"/>
          <w:szCs w:val="32"/>
          <w:highlight w:val="none"/>
          <w:u w:val="none"/>
        </w:rPr>
        <w:t>协议条款存在明显不公平、不合理漏洞，可能导致国有资产流失的，由</w:t>
      </w:r>
      <w:r>
        <w:rPr>
          <w:rFonts w:hint="eastAsia" w:ascii="仿宋" w:hAnsi="仿宋" w:eastAsia="仿宋_GB2312" w:cs="仿宋"/>
          <w:color w:val="auto"/>
          <w:spacing w:val="0"/>
          <w:sz w:val="32"/>
          <w:szCs w:val="32"/>
          <w:highlight w:val="none"/>
          <w:u w:val="none"/>
          <w:lang w:eastAsia="zh-CN"/>
        </w:rPr>
        <w:t>普惠</w:t>
      </w:r>
      <w:r>
        <w:rPr>
          <w:rFonts w:hint="eastAsia" w:ascii="仿宋" w:hAnsi="仿宋" w:eastAsia="仿宋_GB2312" w:cs="仿宋"/>
          <w:snapToGrid w:val="0"/>
          <w:color w:val="auto"/>
          <w:spacing w:val="0"/>
          <w:kern w:val="0"/>
          <w:sz w:val="32"/>
          <w:szCs w:val="32"/>
          <w:highlight w:val="none"/>
          <w:u w:val="none"/>
          <w:lang w:val="en-US" w:eastAsia="zh-CN"/>
        </w:rPr>
        <w:t>政策牵头部门或协议政策责任部门</w:t>
      </w:r>
      <w:r>
        <w:rPr>
          <w:rFonts w:ascii="仿宋" w:hAnsi="仿宋" w:eastAsia="仿宋_GB2312" w:cs="仿宋"/>
          <w:color w:val="auto"/>
          <w:spacing w:val="0"/>
          <w:sz w:val="32"/>
          <w:szCs w:val="32"/>
          <w:highlight w:val="none"/>
          <w:u w:val="none"/>
        </w:rPr>
        <w:t>召集</w:t>
      </w:r>
      <w:r>
        <w:rPr>
          <w:rFonts w:hint="eastAsia" w:ascii="仿宋" w:hAnsi="仿宋" w:eastAsia="仿宋_GB2312" w:cs="仿宋"/>
          <w:color w:val="auto"/>
          <w:spacing w:val="0"/>
          <w:sz w:val="32"/>
          <w:szCs w:val="32"/>
          <w:highlight w:val="none"/>
          <w:u w:val="none"/>
          <w:lang w:eastAsia="zh-CN"/>
        </w:rPr>
        <w:t>财政金融局</w:t>
      </w:r>
      <w:r>
        <w:rPr>
          <w:rFonts w:ascii="仿宋" w:hAnsi="仿宋" w:eastAsia="仿宋_GB2312" w:cs="仿宋"/>
          <w:color w:val="auto"/>
          <w:spacing w:val="0"/>
          <w:sz w:val="32"/>
          <w:szCs w:val="32"/>
          <w:highlight w:val="none"/>
          <w:u w:val="none"/>
        </w:rPr>
        <w:t>、法制办、</w:t>
      </w:r>
      <w:r>
        <w:rPr>
          <w:rFonts w:hint="eastAsia" w:ascii="仿宋" w:hAnsi="仿宋" w:eastAsia="仿宋_GB2312" w:cs="仿宋"/>
          <w:color w:val="auto"/>
          <w:spacing w:val="0"/>
          <w:sz w:val="32"/>
          <w:szCs w:val="32"/>
          <w:highlight w:val="none"/>
          <w:u w:val="none"/>
          <w:lang w:val="en-US" w:eastAsia="zh-CN"/>
        </w:rPr>
        <w:t>商促局、</w:t>
      </w:r>
      <w:r>
        <w:rPr>
          <w:rFonts w:ascii="仿宋" w:hAnsi="仿宋" w:eastAsia="仿宋_GB2312" w:cs="仿宋"/>
          <w:color w:val="auto"/>
          <w:spacing w:val="0"/>
          <w:sz w:val="32"/>
          <w:szCs w:val="32"/>
          <w:highlight w:val="none"/>
          <w:u w:val="none"/>
        </w:rPr>
        <w:t>政务办等相关部门召开专题会进行会商，拟订处理意见，报主任办公会审议决定。部门会商及上报主任办公会审议时间原则上不超过30个工作日，且不计入政策兑现审批时限。</w:t>
      </w:r>
    </w:p>
    <w:p>
      <w:pPr>
        <w:keepNext w:val="0"/>
        <w:keepLines w:val="0"/>
        <w:pageBreakBefore w:val="0"/>
        <w:widowControl w:val="0"/>
        <w:kinsoku/>
        <w:wordWrap/>
        <w:overflowPunct/>
        <w:topLinePunct/>
        <w:bidi w:val="0"/>
        <w:spacing w:line="560" w:lineRule="exact"/>
        <w:ind w:left="49" w:right="101" w:firstLine="650"/>
        <w:rPr>
          <w:rFonts w:hint="eastAsia" w:ascii="仿宋" w:hAnsi="仿宋" w:eastAsia="仿宋_GB2312" w:cs="仿宋"/>
          <w:color w:val="auto"/>
          <w:spacing w:val="0"/>
          <w:sz w:val="32"/>
          <w:szCs w:val="32"/>
          <w:highlight w:val="none"/>
          <w:u w:val="none"/>
          <w:lang w:val="en-US" w:eastAsia="zh-CN"/>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第二十四条</w:t>
      </w:r>
      <w:r>
        <w:rPr>
          <w:rFonts w:ascii="仿宋" w:hAnsi="仿宋" w:eastAsia="仿宋_GB2312" w:cs="仿宋"/>
          <w:color w:val="auto"/>
          <w:spacing w:val="0"/>
          <w:sz w:val="32"/>
          <w:szCs w:val="32"/>
          <w:highlight w:val="none"/>
          <w:u w:val="none"/>
        </w:rPr>
        <w:t xml:space="preserve"> </w:t>
      </w:r>
      <w:r>
        <w:rPr>
          <w:rFonts w:hint="eastAsia" w:ascii="仿宋" w:hAnsi="仿宋" w:eastAsia="仿宋_GB2312" w:cs="仿宋_GB2312"/>
          <w:color w:val="auto"/>
          <w:spacing w:val="0"/>
          <w:sz w:val="32"/>
          <w:szCs w:val="32"/>
          <w:highlight w:val="none"/>
          <w:u w:val="none"/>
          <w:shd w:val="clear" w:color="auto" w:fill="auto"/>
        </w:rPr>
        <w:t>申请人在</w:t>
      </w:r>
      <w:r>
        <w:rPr>
          <w:rFonts w:hint="eastAsia" w:ascii="仿宋" w:hAnsi="仿宋" w:eastAsia="仿宋_GB2312" w:cs="仿宋_GB2312"/>
          <w:color w:val="auto"/>
          <w:spacing w:val="0"/>
          <w:sz w:val="32"/>
          <w:szCs w:val="32"/>
          <w:highlight w:val="none"/>
          <w:u w:val="none"/>
          <w:shd w:val="clear" w:color="auto" w:fill="auto"/>
          <w:lang w:val="en-US" w:eastAsia="zh-CN"/>
        </w:rPr>
        <w:t>收到</w:t>
      </w:r>
      <w:r>
        <w:rPr>
          <w:rFonts w:hint="eastAsia" w:ascii="仿宋" w:hAnsi="仿宋" w:eastAsia="仿宋_GB2312" w:cs="仿宋_GB2312"/>
          <w:color w:val="auto"/>
          <w:spacing w:val="0"/>
          <w:sz w:val="32"/>
          <w:szCs w:val="32"/>
          <w:highlight w:val="none"/>
          <w:u w:val="none"/>
          <w:shd w:val="clear" w:color="auto" w:fill="auto"/>
        </w:rPr>
        <w:t>政策支持后，</w:t>
      </w:r>
      <w:r>
        <w:rPr>
          <w:rFonts w:hint="eastAsia" w:ascii="仿宋" w:hAnsi="仿宋" w:eastAsia="仿宋_GB2312" w:cs="仿宋"/>
          <w:color w:val="auto"/>
          <w:spacing w:val="0"/>
          <w:sz w:val="32"/>
          <w:szCs w:val="32"/>
          <w:highlight w:val="none"/>
          <w:u w:val="none"/>
          <w:lang w:eastAsia="zh-CN"/>
        </w:rPr>
        <w:t>如</w:t>
      </w:r>
      <w:r>
        <w:rPr>
          <w:rFonts w:hint="default" w:ascii="仿宋" w:hAnsi="仿宋" w:eastAsia="仿宋_GB2312" w:cs="仿宋"/>
          <w:color w:val="auto"/>
          <w:spacing w:val="0"/>
          <w:sz w:val="32"/>
          <w:szCs w:val="32"/>
          <w:highlight w:val="none"/>
          <w:u w:val="none"/>
          <w:lang w:val="en-US" w:eastAsia="zh-CN"/>
        </w:rPr>
        <w:t>未履行</w:t>
      </w:r>
      <w:r>
        <w:rPr>
          <w:rFonts w:hint="eastAsia" w:ascii="仿宋" w:hAnsi="仿宋" w:eastAsia="仿宋_GB2312" w:cs="仿宋"/>
          <w:color w:val="auto"/>
          <w:spacing w:val="0"/>
          <w:sz w:val="32"/>
          <w:szCs w:val="32"/>
          <w:highlight w:val="none"/>
          <w:u w:val="none"/>
          <w:lang w:val="en-US" w:eastAsia="zh-CN"/>
        </w:rPr>
        <w:t>政策或</w:t>
      </w:r>
      <w:r>
        <w:rPr>
          <w:rFonts w:hint="default" w:ascii="仿宋" w:hAnsi="仿宋" w:eastAsia="仿宋_GB2312" w:cs="仿宋"/>
          <w:color w:val="auto"/>
          <w:spacing w:val="0"/>
          <w:sz w:val="32"/>
          <w:szCs w:val="32"/>
          <w:highlight w:val="none"/>
          <w:u w:val="none"/>
          <w:lang w:val="en-US" w:eastAsia="zh-CN"/>
        </w:rPr>
        <w:t>协议约定</w:t>
      </w:r>
      <w:r>
        <w:rPr>
          <w:rFonts w:hint="eastAsia" w:ascii="仿宋" w:hAnsi="仿宋" w:eastAsia="仿宋_GB2312" w:cs="仿宋"/>
          <w:color w:val="auto"/>
          <w:spacing w:val="0"/>
          <w:sz w:val="32"/>
          <w:szCs w:val="32"/>
          <w:highlight w:val="none"/>
          <w:u w:val="none"/>
          <w:lang w:val="en-US" w:eastAsia="zh-CN"/>
        </w:rPr>
        <w:t>义务，高新区管委会有权根据相应政策、协议或本办法规定要求申请人向高新区返还政策支持资金并按照已获取的应返还政策支持资金的5%支付违约金。为营造良好营商环境，违约金在10万元以下的（含）可不予追缴。</w:t>
      </w:r>
    </w:p>
    <w:p>
      <w:pPr>
        <w:keepNext w:val="0"/>
        <w:keepLines w:val="0"/>
        <w:pageBreakBefore w:val="0"/>
        <w:widowControl w:val="0"/>
        <w:kinsoku/>
        <w:wordWrap/>
        <w:overflowPunct/>
        <w:topLinePunct/>
        <w:bidi w:val="0"/>
        <w:spacing w:line="560" w:lineRule="exact"/>
        <w:ind w:left="49" w:right="101" w:firstLine="650"/>
        <w:rPr>
          <w:rFonts w:ascii="仿宋" w:hAnsi="仿宋" w:eastAsia="仿宋_GB2312" w:cs="仿宋"/>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第二十五条</w:t>
      </w:r>
      <w:r>
        <w:rPr>
          <w:rFonts w:hint="eastAsia" w:ascii="仿宋" w:hAnsi="仿宋" w:eastAsia="仿宋_GB2312" w:cs="仿宋"/>
          <w:color w:val="auto"/>
          <w:spacing w:val="0"/>
          <w:sz w:val="32"/>
          <w:szCs w:val="32"/>
          <w:highlight w:val="none"/>
          <w:u w:val="none"/>
          <w:lang w:val="en-US" w:eastAsia="zh-CN"/>
        </w:rPr>
        <w:t xml:space="preserve"> 如申请人通过弄虚作假、隐瞒真实情况等方式，套取或骗取政策支持资金或不及时返还政策支持资金及违约金的，由相应普惠政策牵头部门或所属协议政策责任部门牵头，会同商促局、政务办、财政金融局、法制办等相关部门追回已兑现资金，同时取消该申请人自追回上述资金之日起两年内的政策兑现申请资格，且对相应期限内政策兑现申请不予追溯。</w:t>
      </w:r>
      <w:r>
        <w:rPr>
          <w:rFonts w:hint="eastAsia" w:ascii="仿宋" w:hAnsi="仿宋" w:eastAsia="仿宋_GB2312" w:cs="仿宋"/>
          <w:color w:val="auto"/>
          <w:spacing w:val="0"/>
          <w:sz w:val="32"/>
          <w:szCs w:val="32"/>
          <w:highlight w:val="none"/>
          <w:u w:val="none"/>
        </w:rPr>
        <w:t>涉嫌违法犯罪的，</w:t>
      </w:r>
      <w:r>
        <w:rPr>
          <w:rFonts w:hint="eastAsia" w:ascii="仿宋" w:hAnsi="仿宋" w:eastAsia="仿宋_GB2312" w:cs="仿宋"/>
          <w:color w:val="auto"/>
          <w:spacing w:val="0"/>
          <w:sz w:val="32"/>
          <w:szCs w:val="32"/>
          <w:highlight w:val="none"/>
          <w:u w:val="none"/>
          <w:lang w:eastAsia="zh-CN"/>
        </w:rPr>
        <w:t>将相关问题线索</w:t>
      </w:r>
      <w:r>
        <w:rPr>
          <w:rFonts w:hint="eastAsia" w:ascii="仿宋" w:hAnsi="仿宋" w:eastAsia="仿宋_GB2312" w:cs="仿宋"/>
          <w:color w:val="auto"/>
          <w:spacing w:val="0"/>
          <w:sz w:val="32"/>
          <w:szCs w:val="32"/>
          <w:highlight w:val="none"/>
          <w:u w:val="none"/>
        </w:rPr>
        <w:t>移交司法机关依法</w:t>
      </w:r>
      <w:r>
        <w:rPr>
          <w:rFonts w:hint="eastAsia" w:ascii="仿宋" w:hAnsi="仿宋" w:eastAsia="仿宋_GB2312" w:cs="仿宋"/>
          <w:color w:val="auto"/>
          <w:spacing w:val="0"/>
          <w:sz w:val="32"/>
          <w:szCs w:val="32"/>
          <w:highlight w:val="none"/>
          <w:u w:val="none"/>
          <w:lang w:eastAsia="zh-CN"/>
        </w:rPr>
        <w:t>处理。</w:t>
      </w:r>
    </w:p>
    <w:p>
      <w:pPr>
        <w:keepNext w:val="0"/>
        <w:keepLines w:val="0"/>
        <w:pageBreakBefore w:val="0"/>
        <w:widowControl w:val="0"/>
        <w:kinsoku/>
        <w:wordWrap/>
        <w:overflowPunct/>
        <w:topLinePunct/>
        <w:bidi w:val="0"/>
        <w:spacing w:line="560" w:lineRule="exact"/>
        <w:ind w:right="101"/>
        <w:jc w:val="center"/>
        <w:rPr>
          <w:rFonts w:hint="eastAsia" w:ascii="黑体" w:hAnsi="黑体" w:eastAsia="黑体" w:cs="黑体"/>
          <w:color w:val="auto"/>
          <w:spacing w:val="0"/>
          <w:sz w:val="32"/>
          <w:szCs w:val="32"/>
          <w:highlight w:val="none"/>
          <w:u w:val="none"/>
          <w:lang w:val="en-US" w:eastAsia="zh-CN"/>
        </w:rPr>
      </w:pPr>
    </w:p>
    <w:p>
      <w:pPr>
        <w:keepNext w:val="0"/>
        <w:keepLines w:val="0"/>
        <w:pageBreakBefore w:val="0"/>
        <w:widowControl w:val="0"/>
        <w:kinsoku/>
        <w:wordWrap/>
        <w:overflowPunct/>
        <w:topLinePunct/>
        <w:bidi w:val="0"/>
        <w:spacing w:line="560" w:lineRule="exact"/>
        <w:ind w:right="101"/>
        <w:jc w:val="center"/>
        <w:rPr>
          <w:rFonts w:hint="eastAsia" w:ascii="黑体" w:hAnsi="黑体" w:eastAsia="黑体" w:cs="黑体"/>
          <w:color w:val="auto"/>
          <w:spacing w:val="0"/>
          <w:sz w:val="32"/>
          <w:szCs w:val="32"/>
          <w:highlight w:val="none"/>
          <w:u w:val="none"/>
          <w:lang w:val="en-US" w:eastAsia="zh-CN"/>
        </w:rPr>
      </w:pPr>
      <w:r>
        <w:rPr>
          <w:rFonts w:hint="eastAsia" w:ascii="黑体" w:hAnsi="黑体" w:eastAsia="黑体" w:cs="黑体"/>
          <w:color w:val="auto"/>
          <w:spacing w:val="0"/>
          <w:sz w:val="32"/>
          <w:szCs w:val="32"/>
          <w:highlight w:val="none"/>
          <w:u w:val="none"/>
          <w:lang w:val="en-US" w:eastAsia="zh-CN"/>
        </w:rPr>
        <w:t>第六章 附则</w:t>
      </w:r>
    </w:p>
    <w:p>
      <w:pPr>
        <w:keepNext w:val="0"/>
        <w:keepLines w:val="0"/>
        <w:pageBreakBefore w:val="0"/>
        <w:widowControl w:val="0"/>
        <w:kinsoku/>
        <w:wordWrap/>
        <w:overflowPunct/>
        <w:topLinePunct/>
        <w:bidi w:val="0"/>
        <w:spacing w:line="560" w:lineRule="exact"/>
        <w:ind w:left="4" w:leftChars="0" w:firstLine="646" w:firstLineChars="201"/>
        <w:jc w:val="both"/>
        <w:rPr>
          <w:rFonts w:ascii="仿宋" w:hAnsi="仿宋" w:eastAsia="仿宋_GB2312" w:cs="仿宋"/>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 xml:space="preserve">第二十六条 </w:t>
      </w:r>
      <w:r>
        <w:rPr>
          <w:rFonts w:ascii="仿宋" w:hAnsi="仿宋" w:eastAsia="仿宋_GB2312" w:cs="仿宋"/>
          <w:color w:val="auto"/>
          <w:spacing w:val="0"/>
          <w:sz w:val="32"/>
          <w:szCs w:val="32"/>
          <w:highlight w:val="none"/>
          <w:u w:val="none"/>
        </w:rPr>
        <w:t>本办法由高新区管委会负责解释。</w:t>
      </w:r>
    </w:p>
    <w:p>
      <w:pPr>
        <w:keepNext w:val="0"/>
        <w:keepLines w:val="0"/>
        <w:pageBreakBefore w:val="0"/>
        <w:widowControl w:val="0"/>
        <w:kinsoku/>
        <w:wordWrap/>
        <w:overflowPunct/>
        <w:topLinePunct/>
        <w:autoSpaceDE/>
        <w:autoSpaceDN/>
        <w:bidi w:val="0"/>
        <w:adjustRightInd/>
        <w:snapToGrid/>
        <w:spacing w:line="560" w:lineRule="exact"/>
        <w:ind w:left="34" w:right="11" w:firstLine="652"/>
        <w:jc w:val="both"/>
        <w:textAlignment w:val="auto"/>
        <w:rPr>
          <w:rFonts w:ascii="仿宋" w:hAnsi="仿宋" w:eastAsia="仿宋_GB2312" w:cs="仿宋"/>
          <w:color w:val="auto"/>
          <w:spacing w:val="0"/>
          <w:sz w:val="32"/>
          <w:szCs w:val="32"/>
          <w:highlight w:val="none"/>
          <w:u w:val="none"/>
        </w:rPr>
      </w:pPr>
      <w:r>
        <w:rPr>
          <w:rFonts w:hint="eastAsia" w:ascii="楷体_GB2312" w:hAnsi="楷体_GB2312" w:eastAsia="楷体_GB2312" w:cs="楷体_GB2312"/>
          <w:b/>
          <w:bCs/>
          <w:snapToGrid w:val="0"/>
          <w:color w:val="auto"/>
          <w:spacing w:val="0"/>
          <w:kern w:val="0"/>
          <w:sz w:val="32"/>
          <w:szCs w:val="32"/>
          <w:highlight w:val="none"/>
          <w:u w:val="none"/>
          <w:lang w:val="en-US" w:eastAsia="zh-CN"/>
        </w:rPr>
        <w:t xml:space="preserve">第二十七条 </w:t>
      </w:r>
      <w:r>
        <w:rPr>
          <w:rFonts w:ascii="仿宋" w:hAnsi="仿宋" w:eastAsia="仿宋_GB2312" w:cs="仿宋"/>
          <w:color w:val="auto"/>
          <w:spacing w:val="0"/>
          <w:sz w:val="32"/>
          <w:szCs w:val="32"/>
          <w:highlight w:val="none"/>
          <w:u w:val="none"/>
        </w:rPr>
        <w:t>本办法自印发之日起施行。</w:t>
      </w:r>
      <w:r>
        <w:rPr>
          <w:rFonts w:hint="eastAsia" w:ascii="仿宋" w:hAnsi="仿宋" w:eastAsia="仿宋_GB2312" w:cs="仿宋"/>
          <w:snapToGrid w:val="0"/>
          <w:color w:val="auto"/>
          <w:spacing w:val="0"/>
          <w:kern w:val="0"/>
          <w:sz w:val="32"/>
          <w:szCs w:val="32"/>
          <w:highlight w:val="none"/>
          <w:u w:val="none"/>
          <w:lang w:val="en-US" w:eastAsia="zh-CN"/>
        </w:rPr>
        <w:t>本办法执行期内，如国家、天津市、滨海新区有关法规政策依据发生变化或发生其他需要变更的情形，可适时予以修订。</w:t>
      </w:r>
      <w:r>
        <w:rPr>
          <w:rFonts w:ascii="仿宋" w:hAnsi="仿宋" w:eastAsia="仿宋_GB2312" w:cs="仿宋"/>
          <w:color w:val="auto"/>
          <w:spacing w:val="0"/>
          <w:sz w:val="32"/>
          <w:szCs w:val="32"/>
          <w:highlight w:val="none"/>
          <w:u w:val="none"/>
        </w:rPr>
        <w:t>《天津滨海高新技术产业开发区政策兑现资金管理暂行办法</w:t>
      </w:r>
      <w:r>
        <w:rPr>
          <w:rFonts w:hint="eastAsia" w:ascii="仿宋" w:hAnsi="仿宋" w:eastAsia="仿宋_GB2312" w:cs="仿宋"/>
          <w:color w:val="auto"/>
          <w:spacing w:val="0"/>
          <w:sz w:val="32"/>
          <w:szCs w:val="32"/>
          <w:highlight w:val="none"/>
          <w:u w:val="none"/>
          <w:lang w:eastAsia="zh-CN"/>
        </w:rPr>
        <w:t>（津高新区管发</w:t>
      </w:r>
      <w:r>
        <w:rPr>
          <w:rFonts w:hint="eastAsia" w:ascii="仿宋" w:hAnsi="仿宋" w:eastAsia="仿宋_GB2312" w:cs="仿宋"/>
          <w:color w:val="auto"/>
          <w:spacing w:val="0"/>
          <w:sz w:val="32"/>
          <w:szCs w:val="32"/>
          <w:highlight w:val="none"/>
          <w:u w:val="none"/>
          <w:lang w:val="en-US" w:eastAsia="zh-CN"/>
        </w:rPr>
        <w:t>〔2020〕48号</w:t>
      </w:r>
      <w:r>
        <w:rPr>
          <w:rFonts w:hint="eastAsia" w:ascii="仿宋" w:hAnsi="仿宋" w:eastAsia="仿宋_GB2312" w:cs="仿宋"/>
          <w:color w:val="auto"/>
          <w:spacing w:val="0"/>
          <w:sz w:val="32"/>
          <w:szCs w:val="32"/>
          <w:highlight w:val="none"/>
          <w:u w:val="none"/>
          <w:lang w:eastAsia="zh-CN"/>
        </w:rPr>
        <w:t>）</w:t>
      </w:r>
      <w:r>
        <w:rPr>
          <w:rFonts w:ascii="仿宋" w:hAnsi="仿宋" w:eastAsia="仿宋_GB2312" w:cs="仿宋"/>
          <w:color w:val="auto"/>
          <w:spacing w:val="0"/>
          <w:sz w:val="32"/>
          <w:szCs w:val="32"/>
          <w:highlight w:val="none"/>
          <w:u w:val="none"/>
        </w:rPr>
        <w:t>》同时废止。</w:t>
      </w:r>
    </w:p>
    <w:p>
      <w:pPr>
        <w:keepNext w:val="0"/>
        <w:keepLines w:val="0"/>
        <w:pageBreakBefore w:val="0"/>
        <w:widowControl w:val="0"/>
        <w:kinsoku/>
        <w:wordWrap/>
        <w:overflowPunct/>
        <w:topLinePunct/>
        <w:autoSpaceDE/>
        <w:autoSpaceDN/>
        <w:bidi w:val="0"/>
        <w:adjustRightInd/>
        <w:snapToGrid/>
        <w:spacing w:line="600" w:lineRule="exact"/>
        <w:ind w:left="34" w:right="11" w:firstLine="652"/>
        <w:jc w:val="both"/>
        <w:textAlignment w:val="auto"/>
        <w:rPr>
          <w:rFonts w:ascii="仿宋" w:hAnsi="仿宋" w:eastAsia="仿宋_GB2312" w:cs="仿宋"/>
          <w:color w:val="auto"/>
          <w:spacing w:val="0"/>
          <w:sz w:val="32"/>
          <w:szCs w:val="32"/>
          <w:highlight w:val="none"/>
          <w:u w:val="none"/>
        </w:rPr>
      </w:pPr>
    </w:p>
    <w:p>
      <w:pPr>
        <w:keepNext w:val="0"/>
        <w:keepLines w:val="0"/>
        <w:pageBreakBefore w:val="0"/>
        <w:widowControl w:val="0"/>
        <w:kinsoku/>
        <w:wordWrap/>
        <w:overflowPunct/>
        <w:topLinePunct/>
        <w:autoSpaceDE/>
        <w:autoSpaceDN/>
        <w:bidi w:val="0"/>
        <w:adjustRightInd/>
        <w:snapToGrid/>
        <w:spacing w:line="600" w:lineRule="exact"/>
        <w:ind w:left="34" w:right="11" w:firstLine="652"/>
        <w:jc w:val="both"/>
        <w:textAlignment w:val="auto"/>
        <w:rPr>
          <w:rFonts w:hint="default" w:ascii="仿宋" w:hAnsi="仿宋" w:eastAsia="仿宋_GB2312" w:cs="仿宋"/>
          <w:color w:val="auto"/>
          <w:spacing w:val="0"/>
          <w:sz w:val="32"/>
          <w:szCs w:val="32"/>
          <w:highlight w:val="none"/>
          <w:u w:val="none"/>
          <w:lang w:eastAsia="zh-CN"/>
        </w:rPr>
      </w:pPr>
      <w:r>
        <w:rPr>
          <w:rFonts w:ascii="仿宋" w:hAnsi="仿宋" w:eastAsia="仿宋_GB2312" w:cs="仿宋"/>
          <w:color w:val="auto"/>
          <w:spacing w:val="0"/>
          <w:sz w:val="32"/>
          <w:szCs w:val="32"/>
          <w:highlight w:val="none"/>
          <w:u w:val="none"/>
        </w:rPr>
        <w:t>附件：1.协议指标完成情况会签单</w:t>
      </w:r>
    </w:p>
    <w:p>
      <w:pPr>
        <w:keepNext w:val="0"/>
        <w:keepLines w:val="0"/>
        <w:pageBreakBefore w:val="0"/>
        <w:widowControl w:val="0"/>
        <w:kinsoku/>
        <w:wordWrap/>
        <w:overflowPunct/>
        <w:topLinePunct/>
        <w:autoSpaceDE/>
        <w:autoSpaceDN/>
        <w:bidi w:val="0"/>
        <w:adjustRightInd/>
        <w:snapToGrid/>
        <w:spacing w:line="600" w:lineRule="exact"/>
        <w:ind w:left="1050" w:leftChars="500" w:right="0" w:firstLine="652"/>
        <w:jc w:val="both"/>
        <w:textAlignment w:val="auto"/>
        <w:rPr>
          <w:rFonts w:hint="default" w:ascii="仿宋" w:hAnsi="仿宋" w:eastAsia="仿宋_GB2312" w:cs="仿宋"/>
          <w:color w:val="auto"/>
          <w:spacing w:val="0"/>
          <w:sz w:val="32"/>
          <w:szCs w:val="32"/>
          <w:highlight w:val="none"/>
          <w:u w:val="none"/>
          <w:lang w:val="en-US" w:eastAsia="zh-CN"/>
        </w:rPr>
      </w:pPr>
      <w:r>
        <w:rPr>
          <w:rFonts w:hint="eastAsia" w:ascii="仿宋" w:hAnsi="仿宋" w:eastAsia="仿宋_GB2312" w:cs="仿宋"/>
          <w:color w:val="auto"/>
          <w:spacing w:val="0"/>
          <w:sz w:val="32"/>
          <w:szCs w:val="32"/>
          <w:highlight w:val="none"/>
          <w:u w:val="none"/>
          <w:lang w:val="en-US" w:eastAsia="zh-CN"/>
        </w:rPr>
        <w:t>2</w:t>
      </w:r>
      <w:r>
        <w:rPr>
          <w:rFonts w:hint="default" w:ascii="仿宋" w:hAnsi="仿宋" w:eastAsia="仿宋_GB2312" w:cs="仿宋"/>
          <w:color w:val="auto"/>
          <w:spacing w:val="0"/>
          <w:sz w:val="32"/>
          <w:szCs w:val="32"/>
          <w:highlight w:val="none"/>
          <w:u w:val="none"/>
          <w:lang w:val="en-US" w:eastAsia="zh-CN"/>
        </w:rPr>
        <w:t>.</w:t>
      </w:r>
      <w:r>
        <w:rPr>
          <w:rFonts w:ascii="仿宋" w:hAnsi="仿宋" w:eastAsia="仿宋_GB2312" w:cs="仿宋"/>
          <w:color w:val="auto"/>
          <w:spacing w:val="0"/>
          <w:sz w:val="32"/>
          <w:szCs w:val="32"/>
          <w:highlight w:val="none"/>
          <w:u w:val="none"/>
        </w:rPr>
        <w:t>政策兑现“一票否决”情况</w:t>
      </w:r>
      <w:r>
        <w:rPr>
          <w:rFonts w:hint="eastAsia" w:ascii="仿宋" w:hAnsi="仿宋" w:eastAsia="仿宋_GB2312" w:cs="仿宋"/>
          <w:color w:val="auto"/>
          <w:spacing w:val="0"/>
          <w:sz w:val="32"/>
          <w:szCs w:val="32"/>
          <w:highlight w:val="none"/>
          <w:u w:val="none"/>
          <w:lang w:val="en-US" w:eastAsia="zh-CN"/>
        </w:rPr>
        <w:t>会签</w:t>
      </w:r>
      <w:r>
        <w:rPr>
          <w:rFonts w:hint="default" w:ascii="仿宋" w:hAnsi="仿宋" w:eastAsia="仿宋_GB2312" w:cs="仿宋"/>
          <w:color w:val="auto"/>
          <w:spacing w:val="0"/>
          <w:sz w:val="32"/>
          <w:szCs w:val="32"/>
          <w:highlight w:val="none"/>
          <w:u w:val="none"/>
          <w:lang w:val="en-US" w:eastAsia="zh-CN"/>
        </w:rPr>
        <w:t>单</w:t>
      </w:r>
    </w:p>
    <w:p>
      <w:pPr>
        <w:keepNext w:val="0"/>
        <w:keepLines w:val="0"/>
        <w:pageBreakBefore w:val="0"/>
        <w:widowControl w:val="0"/>
        <w:kinsoku/>
        <w:wordWrap/>
        <w:overflowPunct/>
        <w:topLinePunct/>
        <w:autoSpaceDE/>
        <w:autoSpaceDN/>
        <w:bidi w:val="0"/>
        <w:adjustRightInd/>
        <w:snapToGrid/>
        <w:spacing w:line="600" w:lineRule="exact"/>
        <w:ind w:left="1050" w:leftChars="500" w:right="0" w:firstLine="652"/>
        <w:jc w:val="both"/>
        <w:textAlignment w:val="auto"/>
        <w:rPr>
          <w:rFonts w:hint="eastAsia" w:ascii="Calibri Light" w:hAnsi="Calibri Light" w:eastAsia="宋体" w:cs="Times New Roman"/>
          <w:b/>
          <w:bCs/>
          <w:kern w:val="2"/>
          <w:sz w:val="21"/>
          <w:szCs w:val="32"/>
          <w:lang w:val="en-US" w:eastAsia="zh-CN" w:bidi="ar-SA"/>
        </w:rPr>
      </w:pPr>
      <w:r>
        <w:rPr>
          <w:rFonts w:hint="eastAsia" w:ascii="仿宋" w:hAnsi="仿宋" w:eastAsia="仿宋_GB2312" w:cs="仿宋"/>
          <w:color w:val="auto"/>
          <w:spacing w:val="0"/>
          <w:sz w:val="32"/>
          <w:szCs w:val="32"/>
          <w:highlight w:val="none"/>
          <w:u w:val="none"/>
          <w:lang w:val="en-US" w:eastAsia="zh-CN"/>
        </w:rPr>
        <w:t>3.政策兑现审核部门职责清单</w:t>
      </w:r>
    </w:p>
    <w:bookmarkEnd w:id="0"/>
    <w:sectPr>
      <w:footerReference r:id="rId3" w:type="default"/>
      <w:pgSz w:w="11906" w:h="16838"/>
      <w:pgMar w:top="2098" w:right="1474" w:bottom="1984" w:left="1587" w:header="851" w:footer="992" w:gutter="0"/>
      <w:pgNumType w:fmt="decimal"/>
      <w:cols w:space="0" w:num="1"/>
      <w:titlePg/>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adjustRightInd/>
      <w:spacing w:line="240" w:lineRule="auto"/>
      <w:ind w:firstLine="0" w:firstLineChars="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adjustRightInd/>
                            <w:spacing w:line="240" w:lineRule="auto"/>
                            <w:ind w:firstLine="0" w:firstLineChars="0"/>
                          </w:pPr>
                          <w:r>
                            <w:rPr>
                              <w:rFonts w:hint="default" w:asciiTheme="minorAscii" w:hAnsiTheme="minorAscii"/>
                              <w:sz w:val="18"/>
                              <w:szCs w:val="18"/>
                            </w:rPr>
                            <w:fldChar w:fldCharType="begin"/>
                          </w:r>
                          <w:r>
                            <w:rPr>
                              <w:rFonts w:hint="default" w:asciiTheme="minorAscii" w:hAnsiTheme="minorAscii"/>
                              <w:sz w:val="18"/>
                              <w:szCs w:val="18"/>
                            </w:rPr>
                            <w:instrText xml:space="preserve"> PAGE  \* MERGEFORMAT </w:instrText>
                          </w:r>
                          <w:r>
                            <w:rPr>
                              <w:rFonts w:hint="default" w:asciiTheme="minorAscii" w:hAnsiTheme="minorAscii"/>
                              <w:sz w:val="18"/>
                              <w:szCs w:val="18"/>
                            </w:rPr>
                            <w:fldChar w:fldCharType="separate"/>
                          </w:r>
                          <w:r>
                            <w:rPr>
                              <w:rFonts w:hint="default" w:asciiTheme="minorAscii" w:hAnsiTheme="minorAscii"/>
                              <w:sz w:val="18"/>
                              <w:szCs w:val="18"/>
                            </w:rPr>
                            <w:t>1</w:t>
                          </w:r>
                          <w:r>
                            <w:rPr>
                              <w:rFonts w:hint="default" w:asciiTheme="minorAscii" w:hAnsiTheme="minorAscii"/>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adjustRightInd/>
                      <w:spacing w:line="240" w:lineRule="auto"/>
                      <w:ind w:firstLine="0" w:firstLineChars="0"/>
                    </w:pPr>
                    <w:r>
                      <w:rPr>
                        <w:rFonts w:hint="default" w:asciiTheme="minorAscii" w:hAnsiTheme="minorAscii"/>
                        <w:sz w:val="18"/>
                        <w:szCs w:val="18"/>
                      </w:rPr>
                      <w:fldChar w:fldCharType="begin"/>
                    </w:r>
                    <w:r>
                      <w:rPr>
                        <w:rFonts w:hint="default" w:asciiTheme="minorAscii" w:hAnsiTheme="minorAscii"/>
                        <w:sz w:val="18"/>
                        <w:szCs w:val="18"/>
                      </w:rPr>
                      <w:instrText xml:space="preserve"> PAGE  \* MERGEFORMAT </w:instrText>
                    </w:r>
                    <w:r>
                      <w:rPr>
                        <w:rFonts w:hint="default" w:asciiTheme="minorAscii" w:hAnsiTheme="minorAscii"/>
                        <w:sz w:val="18"/>
                        <w:szCs w:val="18"/>
                      </w:rPr>
                      <w:fldChar w:fldCharType="separate"/>
                    </w:r>
                    <w:r>
                      <w:rPr>
                        <w:rFonts w:hint="default" w:asciiTheme="minorAscii" w:hAnsiTheme="minorAscii"/>
                        <w:sz w:val="18"/>
                        <w:szCs w:val="18"/>
                      </w:rPr>
                      <w:t>1</w:t>
                    </w:r>
                    <w:r>
                      <w:rPr>
                        <w:rFonts w:hint="default" w:asciiTheme="minorAscii" w:hAnsiTheme="minorAscii"/>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91588"/>
    <w:multiLevelType w:val="singleLevel"/>
    <w:tmpl w:val="86C91588"/>
    <w:lvl w:ilvl="0" w:tentative="0">
      <w:start w:val="1"/>
      <w:numFmt w:val="decimal"/>
      <w:suff w:val="nothing"/>
      <w:lvlText w:val="%1、"/>
      <w:lvlJc w:val="left"/>
    </w:lvl>
  </w:abstractNum>
  <w:abstractNum w:abstractNumId="1">
    <w:nsid w:val="B24619C9"/>
    <w:multiLevelType w:val="singleLevel"/>
    <w:tmpl w:val="B24619C9"/>
    <w:lvl w:ilvl="0" w:tentative="0">
      <w:start w:val="1"/>
      <w:numFmt w:val="chineseCounting"/>
      <w:suff w:val="nothing"/>
      <w:lvlText w:val="（%1）"/>
      <w:lvlJc w:val="left"/>
      <w:pPr>
        <w:ind w:left="0" w:firstLine="420"/>
      </w:pPr>
      <w:rPr>
        <w:rFonts w:hint="eastAsia"/>
      </w:rPr>
    </w:lvl>
  </w:abstractNum>
  <w:abstractNum w:abstractNumId="2">
    <w:nsid w:val="C586FA75"/>
    <w:multiLevelType w:val="singleLevel"/>
    <w:tmpl w:val="C586FA75"/>
    <w:lvl w:ilvl="0" w:tentative="0">
      <w:start w:val="1"/>
      <w:numFmt w:val="chineseCounting"/>
      <w:suff w:val="nothing"/>
      <w:lvlText w:val="（%1）"/>
      <w:lvlJc w:val="left"/>
      <w:pPr>
        <w:ind w:left="0" w:firstLine="420"/>
      </w:pPr>
      <w:rPr>
        <w:rFonts w:hint="eastAsia"/>
      </w:rPr>
    </w:lvl>
  </w:abstractNum>
  <w:abstractNum w:abstractNumId="3">
    <w:nsid w:val="F00BA34A"/>
    <w:multiLevelType w:val="singleLevel"/>
    <w:tmpl w:val="F00BA34A"/>
    <w:lvl w:ilvl="0" w:tentative="0">
      <w:start w:val="1"/>
      <w:numFmt w:val="decimal"/>
      <w:suff w:val="nothing"/>
      <w:lvlText w:val="%1、"/>
      <w:lvlJc w:val="left"/>
    </w:lvl>
  </w:abstractNum>
  <w:abstractNum w:abstractNumId="4">
    <w:nsid w:val="24702CF7"/>
    <w:multiLevelType w:val="singleLevel"/>
    <w:tmpl w:val="24702CF7"/>
    <w:lvl w:ilvl="0" w:tentative="0">
      <w:start w:val="1"/>
      <w:numFmt w:val="decimal"/>
      <w:lvlText w:val="%1."/>
      <w:lvlJc w:val="left"/>
      <w:pPr>
        <w:tabs>
          <w:tab w:val="left" w:pos="312"/>
        </w:tabs>
      </w:pPr>
    </w:lvl>
  </w:abstractNum>
  <w:abstractNum w:abstractNumId="5">
    <w:nsid w:val="36AE17FE"/>
    <w:multiLevelType w:val="singleLevel"/>
    <w:tmpl w:val="36AE17FE"/>
    <w:lvl w:ilvl="0" w:tentative="0">
      <w:start w:val="1"/>
      <w:numFmt w:val="chineseCounting"/>
      <w:suff w:val="nothing"/>
      <w:lvlText w:val="（%1）"/>
      <w:lvlJc w:val="left"/>
      <w:pPr>
        <w:ind w:left="0" w:firstLine="420"/>
      </w:pPr>
      <w:rPr>
        <w:rFonts w:hint="eastAsia"/>
      </w:rPr>
    </w:lvl>
  </w:abstractNum>
  <w:abstractNum w:abstractNumId="6">
    <w:nsid w:val="3F8902D9"/>
    <w:multiLevelType w:val="singleLevel"/>
    <w:tmpl w:val="3F8902D9"/>
    <w:lvl w:ilvl="0" w:tentative="0">
      <w:start w:val="4"/>
      <w:numFmt w:val="chineseCounting"/>
      <w:suff w:val="nothing"/>
      <w:lvlText w:val="（%1）"/>
      <w:lvlJc w:val="left"/>
      <w:rPr>
        <w:rFonts w:hint="eastAsia"/>
      </w:rPr>
    </w:lvl>
  </w:abstractNum>
  <w:abstractNum w:abstractNumId="7">
    <w:nsid w:val="4FEBD867"/>
    <w:multiLevelType w:val="singleLevel"/>
    <w:tmpl w:val="4FEBD867"/>
    <w:lvl w:ilvl="0" w:tentative="0">
      <w:start w:val="1"/>
      <w:numFmt w:val="decimal"/>
      <w:lvlText w:val="%1."/>
      <w:lvlJc w:val="left"/>
      <w:pPr>
        <w:tabs>
          <w:tab w:val="left" w:pos="312"/>
        </w:tabs>
      </w:pPr>
    </w:lvl>
  </w:abstractNum>
  <w:abstractNum w:abstractNumId="8">
    <w:nsid w:val="687DAD93"/>
    <w:multiLevelType w:val="singleLevel"/>
    <w:tmpl w:val="687DAD93"/>
    <w:lvl w:ilvl="0" w:tentative="0">
      <w:start w:val="1"/>
      <w:numFmt w:val="chineseCounting"/>
      <w:suff w:val="nothing"/>
      <w:lvlText w:val="（%1）"/>
      <w:lvlJc w:val="left"/>
      <w:pPr>
        <w:ind w:left="0" w:firstLine="420"/>
      </w:pPr>
      <w:rPr>
        <w:rFonts w:hint="eastAsia"/>
      </w:rPr>
    </w:lvl>
  </w:abstractNum>
  <w:num w:numId="1">
    <w:abstractNumId w:val="6"/>
  </w:num>
  <w:num w:numId="2">
    <w:abstractNumId w:val="1"/>
  </w:num>
  <w:num w:numId="3">
    <w:abstractNumId w:val="2"/>
  </w:num>
  <w:num w:numId="4">
    <w:abstractNumId w:val="8"/>
  </w:num>
  <w:num w:numId="5">
    <w:abstractNumId w:val="5"/>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M2UwMWE0MTFjYTZkODE3ZWYzM2M5OWU0NjViZDMifQ=="/>
  </w:docVars>
  <w:rsids>
    <w:rsidRoot w:val="1AA24D9F"/>
    <w:rsid w:val="04660CC4"/>
    <w:rsid w:val="07011CC2"/>
    <w:rsid w:val="07644792"/>
    <w:rsid w:val="09284798"/>
    <w:rsid w:val="0C3628D7"/>
    <w:rsid w:val="0F2B6FD9"/>
    <w:rsid w:val="12C7072D"/>
    <w:rsid w:val="183C240D"/>
    <w:rsid w:val="1AA24D9F"/>
    <w:rsid w:val="28DA2E89"/>
    <w:rsid w:val="2A4254F9"/>
    <w:rsid w:val="2D1F32F4"/>
    <w:rsid w:val="323B4D81"/>
    <w:rsid w:val="34B70380"/>
    <w:rsid w:val="379EB38B"/>
    <w:rsid w:val="3AE174A3"/>
    <w:rsid w:val="3F731171"/>
    <w:rsid w:val="43446334"/>
    <w:rsid w:val="44A84E71"/>
    <w:rsid w:val="477DCE1E"/>
    <w:rsid w:val="4A552D88"/>
    <w:rsid w:val="573E1E21"/>
    <w:rsid w:val="5B487E91"/>
    <w:rsid w:val="5CF9550F"/>
    <w:rsid w:val="5EFEBDE8"/>
    <w:rsid w:val="68CA2609"/>
    <w:rsid w:val="68CC1AED"/>
    <w:rsid w:val="69BB0F42"/>
    <w:rsid w:val="6A637494"/>
    <w:rsid w:val="6BCF62E6"/>
    <w:rsid w:val="6CD3A16D"/>
    <w:rsid w:val="6D535020"/>
    <w:rsid w:val="6E5F49A6"/>
    <w:rsid w:val="6FFF37D2"/>
    <w:rsid w:val="70DE2EF1"/>
    <w:rsid w:val="78E5B71D"/>
    <w:rsid w:val="7C5F4108"/>
    <w:rsid w:val="7F79C282"/>
    <w:rsid w:val="7F7B6CAE"/>
    <w:rsid w:val="7FBF6DD0"/>
    <w:rsid w:val="7FCD17FE"/>
    <w:rsid w:val="7FD7E9A0"/>
    <w:rsid w:val="7FE9FBB2"/>
    <w:rsid w:val="8FFFA67E"/>
    <w:rsid w:val="A97F623E"/>
    <w:rsid w:val="AFBF8780"/>
    <w:rsid w:val="BEEFCB4B"/>
    <w:rsid w:val="BFE6F841"/>
    <w:rsid w:val="D5DE8897"/>
    <w:rsid w:val="DCF5FD43"/>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autoRedefine/>
    <w:qFormat/>
    <w:uiPriority w:val="0"/>
    <w:rPr>
      <w:rFonts w:eastAsia="微软雅黑" w:asciiTheme="minorAscii" w:hAnsiTheme="minorAscii"/>
    </w:rPr>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13">
    <w:name w:val="footer"/>
    <w:basedOn w:val="1"/>
    <w:autoRedefine/>
    <w:qFormat/>
    <w:uiPriority w:val="0"/>
    <w:pPr>
      <w:tabs>
        <w:tab w:val="center" w:pos="4153"/>
        <w:tab w:val="right" w:pos="8306"/>
      </w:tabs>
      <w:snapToGrid w:val="0"/>
      <w:jc w:val="left"/>
    </w:pPr>
    <w:rPr>
      <w:rFonts w:ascii="Calibri" w:hAnsi="Calibri"/>
      <w:sz w:val="2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reatwall\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2018-05-28T09:24:00Z</dcterms:created>
  <dc:creator>admin</dc:creator>
  <cp:lastModifiedBy>乌龙茶茶茶茶茶</cp:lastModifiedBy>
  <dcterms:modified xsi:type="dcterms:W3CDTF">2024-01-02T09:41:40Z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679BECE6398342E89F0346D38F2C6191_13</vt:lpwstr>
  </property>
</Properties>
</file>