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08" w:rsidRPr="0068101F" w:rsidRDefault="00115408" w:rsidP="0068101F">
      <w:pPr>
        <w:snapToGrid w:val="0"/>
        <w:spacing w:line="600" w:lineRule="exact"/>
        <w:ind w:firstLineChars="0" w:firstLine="0"/>
        <w:rPr>
          <w:rFonts w:ascii="黑体" w:eastAsia="黑体" w:hAnsi="黑体"/>
          <w:szCs w:val="32"/>
        </w:rPr>
      </w:pPr>
      <w:r w:rsidRPr="0068101F">
        <w:rPr>
          <w:rFonts w:ascii="黑体" w:eastAsia="黑体" w:hAnsi="黑体" w:hint="eastAsia"/>
          <w:szCs w:val="32"/>
        </w:rPr>
        <w:t>附件1</w:t>
      </w:r>
    </w:p>
    <w:p w:rsidR="00115408" w:rsidRDefault="00115408">
      <w:pPr>
        <w:snapToGrid w:val="0"/>
        <w:spacing w:line="600" w:lineRule="exact"/>
        <w:ind w:firstLineChars="0" w:firstLine="0"/>
        <w:jc w:val="center"/>
        <w:rPr>
          <w:rFonts w:ascii="方正小标宋简体" w:eastAsia="方正小标宋简体"/>
          <w:sz w:val="44"/>
          <w:szCs w:val="44"/>
        </w:rPr>
      </w:pPr>
      <w:bookmarkStart w:id="0" w:name="_GoBack"/>
      <w:bookmarkEnd w:id="0"/>
    </w:p>
    <w:p w:rsidR="006731D3" w:rsidRPr="00115408" w:rsidRDefault="00CA064D">
      <w:pPr>
        <w:snapToGrid w:val="0"/>
        <w:spacing w:line="600" w:lineRule="exact"/>
        <w:ind w:firstLineChars="0" w:firstLine="0"/>
        <w:jc w:val="center"/>
        <w:rPr>
          <w:rFonts w:ascii="方正小标宋简体" w:eastAsia="方正小标宋简体"/>
          <w:sz w:val="44"/>
          <w:szCs w:val="44"/>
        </w:rPr>
      </w:pPr>
      <w:r w:rsidRPr="00115408">
        <w:rPr>
          <w:rFonts w:ascii="方正小标宋简体" w:eastAsia="方正小标宋简体" w:hint="eastAsia"/>
          <w:sz w:val="44"/>
          <w:szCs w:val="44"/>
        </w:rPr>
        <w:t>天津滨海高新区关于促进生物医药产业</w:t>
      </w:r>
    </w:p>
    <w:p w:rsidR="006731D3" w:rsidRPr="00115408" w:rsidRDefault="00CA064D">
      <w:pPr>
        <w:snapToGrid w:val="0"/>
        <w:spacing w:line="600" w:lineRule="exact"/>
        <w:ind w:firstLineChars="0" w:firstLine="0"/>
        <w:jc w:val="center"/>
        <w:rPr>
          <w:rFonts w:ascii="方正小标宋简体" w:eastAsia="方正小标宋简体"/>
          <w:sz w:val="44"/>
          <w:szCs w:val="44"/>
        </w:rPr>
      </w:pPr>
      <w:r w:rsidRPr="00115408">
        <w:rPr>
          <w:rFonts w:ascii="方正小标宋简体" w:eastAsia="方正小标宋简体" w:hint="eastAsia"/>
          <w:sz w:val="44"/>
          <w:szCs w:val="44"/>
        </w:rPr>
        <w:t>高质量发展的鼓励办法</w:t>
      </w:r>
    </w:p>
    <w:p w:rsidR="006731D3" w:rsidRDefault="006731D3">
      <w:pPr>
        <w:spacing w:line="600" w:lineRule="exact"/>
      </w:pPr>
      <w:bookmarkStart w:id="1" w:name="_Hlk73970162"/>
    </w:p>
    <w:p w:rsidR="006731D3" w:rsidRDefault="00CA064D">
      <w:pPr>
        <w:spacing w:line="600" w:lineRule="exact"/>
      </w:pPr>
      <w:r>
        <w:rPr>
          <w:rFonts w:hint="eastAsia"/>
        </w:rPr>
        <w:t>为进一步促进天津滨海高新区生物医药产业高质量发展，着力提升产业自主创新和原始创新能力，</w:t>
      </w:r>
      <w:r>
        <w:rPr>
          <w:rFonts w:ascii="仿宋_GB2312" w:hint="eastAsia"/>
          <w:szCs w:val="32"/>
        </w:rPr>
        <w:t>吸引创新资源集聚，</w:t>
      </w:r>
      <w:r>
        <w:rPr>
          <w:rFonts w:hint="eastAsia"/>
        </w:rPr>
        <w:t>完善产业发展要素，</w:t>
      </w:r>
      <w:r>
        <w:rPr>
          <w:rFonts w:ascii="仿宋_GB2312" w:hint="eastAsia"/>
          <w:szCs w:val="32"/>
        </w:rPr>
        <w:t>推动创新成果高效转化，</w:t>
      </w:r>
      <w:r>
        <w:rPr>
          <w:rFonts w:hint="eastAsia"/>
        </w:rPr>
        <w:t>打造良好产业生态，</w:t>
      </w:r>
      <w:proofErr w:type="gramStart"/>
      <w:r>
        <w:rPr>
          <w:rFonts w:hint="eastAsia"/>
        </w:rPr>
        <w:t>结合高</w:t>
      </w:r>
      <w:proofErr w:type="gramEnd"/>
      <w:r>
        <w:rPr>
          <w:rFonts w:hint="eastAsia"/>
        </w:rPr>
        <w:t>新区实际，特制定本办法。</w:t>
      </w:r>
    </w:p>
    <w:bookmarkEnd w:id="1"/>
    <w:p w:rsidR="006731D3" w:rsidRDefault="00CA064D">
      <w:pPr>
        <w:pStyle w:val="1"/>
        <w:spacing w:line="600" w:lineRule="exact"/>
        <w:ind w:firstLine="640"/>
      </w:pPr>
      <w:r>
        <w:rPr>
          <w:rFonts w:hint="eastAsia"/>
        </w:rPr>
        <w:t>第一条</w:t>
      </w:r>
      <w:r>
        <w:rPr>
          <w:rFonts w:hint="eastAsia"/>
        </w:rPr>
        <w:t xml:space="preserve"> </w:t>
      </w:r>
      <w:r>
        <w:rPr>
          <w:rFonts w:hint="eastAsia"/>
        </w:rPr>
        <w:t>支持对象</w:t>
      </w:r>
    </w:p>
    <w:p w:rsidR="006731D3" w:rsidRDefault="00CA064D">
      <w:pPr>
        <w:spacing w:line="600" w:lineRule="exact"/>
      </w:pPr>
      <w:r>
        <w:rPr>
          <w:rFonts w:hint="eastAsia"/>
        </w:rPr>
        <w:t>本办法支持对象为工商、税务及统计关系隶属于滨海高新区，有健全的财务管理制度和会计核算制度，无不良信用记录，遵守安全生产、环境保护等方面的法律法规，无安全生产和污染责任事故，且从事创新药物、细胞产品、医疗器械、医药服务等领域的自主研发、生产、销售及服务的独立法人企业、事业单位、社会团体及民办非企业（以下简称“企业”）。</w:t>
      </w:r>
    </w:p>
    <w:p w:rsidR="006731D3" w:rsidRDefault="00CA064D">
      <w:pPr>
        <w:pStyle w:val="1"/>
        <w:spacing w:line="600" w:lineRule="exact"/>
        <w:ind w:firstLine="640"/>
      </w:pPr>
      <w:r>
        <w:rPr>
          <w:rFonts w:hint="eastAsia"/>
        </w:rPr>
        <w:t>第二条</w:t>
      </w:r>
      <w:r>
        <w:rPr>
          <w:rFonts w:hint="eastAsia"/>
        </w:rPr>
        <w:t xml:space="preserve"> </w:t>
      </w:r>
      <w:r>
        <w:rPr>
          <w:rFonts w:hint="eastAsia"/>
        </w:rPr>
        <w:t>支持产品研发及产业化</w:t>
      </w:r>
    </w:p>
    <w:p w:rsidR="006731D3" w:rsidRDefault="00CA064D">
      <w:pPr>
        <w:spacing w:line="600" w:lineRule="exact"/>
        <w:ind w:firstLine="643"/>
      </w:pPr>
      <w:r>
        <w:rPr>
          <w:rFonts w:ascii="楷体_GB2312" w:eastAsia="楷体_GB2312" w:hint="eastAsia"/>
          <w:b/>
          <w:bCs/>
        </w:rPr>
        <w:t>支持创新药物研发及产业化。</w:t>
      </w:r>
      <w:r>
        <w:rPr>
          <w:rFonts w:hint="eastAsia"/>
        </w:rPr>
        <w:t>对企业自主研发或新引进并承诺在区内实施产业化的一类、二类创新药，进入</w:t>
      </w:r>
      <w:r>
        <w:rPr>
          <w:rFonts w:hint="eastAsia"/>
        </w:rPr>
        <w:t>I</w:t>
      </w:r>
      <w:r>
        <w:rPr>
          <w:rFonts w:hint="eastAsia"/>
        </w:rPr>
        <w:t>、</w:t>
      </w:r>
      <w:r>
        <w:rPr>
          <w:rFonts w:hint="eastAsia"/>
        </w:rPr>
        <w:t>II</w:t>
      </w:r>
      <w:r>
        <w:rPr>
          <w:rFonts w:hint="eastAsia"/>
        </w:rPr>
        <w:t>、</w:t>
      </w:r>
      <w:r>
        <w:rPr>
          <w:rFonts w:hint="eastAsia"/>
        </w:rPr>
        <w:t>III</w:t>
      </w:r>
      <w:r>
        <w:rPr>
          <w:rFonts w:hint="eastAsia"/>
        </w:rPr>
        <w:t>期临床试验阶段的，按照研发进度分阶段给予单品种最高</w:t>
      </w:r>
      <w:r>
        <w:rPr>
          <w:rFonts w:hint="eastAsia"/>
        </w:rPr>
        <w:t>300</w:t>
      </w:r>
      <w:r>
        <w:rPr>
          <w:rFonts w:hint="eastAsia"/>
        </w:rPr>
        <w:t>万元、</w:t>
      </w:r>
      <w:r>
        <w:rPr>
          <w:rFonts w:hint="eastAsia"/>
        </w:rPr>
        <w:t>500</w:t>
      </w:r>
      <w:r>
        <w:rPr>
          <w:rFonts w:hint="eastAsia"/>
        </w:rPr>
        <w:t>万元、</w:t>
      </w:r>
      <w:r>
        <w:rPr>
          <w:rFonts w:hint="eastAsia"/>
        </w:rPr>
        <w:t>1200</w:t>
      </w:r>
      <w:r>
        <w:rPr>
          <w:rFonts w:hint="eastAsia"/>
        </w:rPr>
        <w:t>万元资金支持；对获得药品批准文号并在区内落地生产结算的，按照不超过上一阶段</w:t>
      </w:r>
      <w:r>
        <w:rPr>
          <w:rFonts w:hint="eastAsia"/>
        </w:rPr>
        <w:lastRenderedPageBreak/>
        <w:t>研发费用的</w:t>
      </w:r>
      <w:r>
        <w:rPr>
          <w:rFonts w:hint="eastAsia"/>
        </w:rPr>
        <w:t>30%</w:t>
      </w:r>
      <w:r>
        <w:rPr>
          <w:rFonts w:hint="eastAsia"/>
        </w:rPr>
        <w:t>，给予最高</w:t>
      </w:r>
      <w:r>
        <w:rPr>
          <w:rFonts w:hint="eastAsia"/>
        </w:rPr>
        <w:t>2000</w:t>
      </w:r>
      <w:r>
        <w:rPr>
          <w:rFonts w:hint="eastAsia"/>
        </w:rPr>
        <w:t>万元产业化资金支持。单个企业同一品种一年内最多申请一次，单个企业每年累计支持额度最高</w:t>
      </w:r>
      <w:r>
        <w:rPr>
          <w:rFonts w:hint="eastAsia"/>
        </w:rPr>
        <w:t>5000</w:t>
      </w:r>
      <w:r>
        <w:rPr>
          <w:rFonts w:hint="eastAsia"/>
        </w:rPr>
        <w:t>万元。</w:t>
      </w:r>
    </w:p>
    <w:p w:rsidR="006731D3" w:rsidRDefault="00CA064D">
      <w:pPr>
        <w:spacing w:line="600" w:lineRule="exact"/>
        <w:ind w:firstLine="643"/>
      </w:pPr>
      <w:r>
        <w:rPr>
          <w:rFonts w:ascii="楷体_GB2312" w:eastAsia="楷体_GB2312" w:hint="eastAsia"/>
          <w:b/>
          <w:bCs/>
        </w:rPr>
        <w:t>支持创新医疗器械研发及产业化。</w:t>
      </w:r>
      <w:r>
        <w:rPr>
          <w:rFonts w:hint="eastAsia"/>
        </w:rPr>
        <w:t>对企业自主研发或新引进并承诺在区内实施产业化的创新医疗器械，按照不超过实际研发费用的</w:t>
      </w:r>
      <w:r>
        <w:t>20</w:t>
      </w:r>
      <w:r>
        <w:rPr>
          <w:rFonts w:hint="eastAsia"/>
        </w:rPr>
        <w:t>%</w:t>
      </w:r>
      <w:r>
        <w:rPr>
          <w:rFonts w:hint="eastAsia"/>
        </w:rPr>
        <w:t>，给予最高</w:t>
      </w:r>
      <w:r>
        <w:rPr>
          <w:rFonts w:hint="eastAsia"/>
        </w:rPr>
        <w:t>2</w:t>
      </w:r>
      <w:r>
        <w:t>00</w:t>
      </w:r>
      <w:r>
        <w:rPr>
          <w:rFonts w:hint="eastAsia"/>
        </w:rPr>
        <w:t>万元资金支持。对获得医疗器械注册证并在区内落地生产结算的，给予最高</w:t>
      </w:r>
      <w:r>
        <w:rPr>
          <w:rFonts w:hint="eastAsia"/>
        </w:rPr>
        <w:t>3</w:t>
      </w:r>
      <w:r>
        <w:t>00</w:t>
      </w:r>
      <w:r>
        <w:rPr>
          <w:rFonts w:hint="eastAsia"/>
        </w:rPr>
        <w:t>万元产业化资金支持。</w:t>
      </w:r>
      <w:bookmarkStart w:id="2" w:name="_Hlk107930264"/>
      <w:r>
        <w:rPr>
          <w:rFonts w:hint="eastAsia"/>
        </w:rPr>
        <w:t>单个企业同一品种一年内最多申请一次，每年累计支持额度</w:t>
      </w:r>
      <w:bookmarkEnd w:id="2"/>
      <w:r>
        <w:rPr>
          <w:rFonts w:hint="eastAsia"/>
        </w:rPr>
        <w:t>最高</w:t>
      </w:r>
      <w:r>
        <w:rPr>
          <w:rFonts w:hint="eastAsia"/>
        </w:rPr>
        <w:t>1000</w:t>
      </w:r>
      <w:r>
        <w:rPr>
          <w:rFonts w:hint="eastAsia"/>
        </w:rPr>
        <w:t>万元。</w:t>
      </w:r>
    </w:p>
    <w:p w:rsidR="006731D3" w:rsidRDefault="00CA064D">
      <w:pPr>
        <w:spacing w:line="600" w:lineRule="exact"/>
        <w:ind w:firstLine="643"/>
      </w:pPr>
      <w:bookmarkStart w:id="3" w:name="_Hlk109063681"/>
      <w:bookmarkStart w:id="4" w:name="_Hlk107995782"/>
      <w:r>
        <w:rPr>
          <w:rFonts w:ascii="楷体_GB2312" w:eastAsia="楷体_GB2312" w:hint="eastAsia"/>
          <w:b/>
          <w:bCs/>
        </w:rPr>
        <w:t>支持MAH</w:t>
      </w:r>
      <w:bookmarkEnd w:id="3"/>
      <w:bookmarkEnd w:id="4"/>
      <w:r>
        <w:rPr>
          <w:rFonts w:ascii="楷体_GB2312" w:eastAsia="楷体_GB2312" w:hint="eastAsia"/>
          <w:b/>
          <w:bCs/>
        </w:rPr>
        <w:t>制度。</w:t>
      </w:r>
      <w:r>
        <w:rPr>
          <w:rFonts w:hint="eastAsia"/>
        </w:rPr>
        <w:t>对于取得药品上市许可持有人或医疗器械注册人（</w:t>
      </w:r>
      <w:r>
        <w:rPr>
          <w:rFonts w:hint="eastAsia"/>
        </w:rPr>
        <w:t>M</w:t>
      </w:r>
      <w:r>
        <w:t>AH</w:t>
      </w:r>
      <w:r>
        <w:rPr>
          <w:rFonts w:hint="eastAsia"/>
        </w:rPr>
        <w:t>）资格的企业，委托区内企业（不含关联企业）生产上市许可产品，按照不超过实际交易额的</w:t>
      </w:r>
      <w:r>
        <w:t>3</w:t>
      </w:r>
      <w:r>
        <w:rPr>
          <w:rFonts w:hint="eastAsia"/>
        </w:rPr>
        <w:t>%</w:t>
      </w:r>
      <w:r>
        <w:rPr>
          <w:rFonts w:hint="eastAsia"/>
        </w:rPr>
        <w:t>，给予区内受托生产企业最高</w:t>
      </w:r>
      <w:r>
        <w:rPr>
          <w:rFonts w:hint="eastAsia"/>
        </w:rPr>
        <w:t>5</w:t>
      </w:r>
      <w:r>
        <w:t>00</w:t>
      </w:r>
      <w:r>
        <w:rPr>
          <w:rFonts w:hint="eastAsia"/>
        </w:rPr>
        <w:t>万元资金支持。单个企业支持期限不超过三年。</w:t>
      </w:r>
    </w:p>
    <w:p w:rsidR="006731D3" w:rsidRDefault="00CA064D">
      <w:pPr>
        <w:pStyle w:val="1"/>
        <w:spacing w:line="600" w:lineRule="exact"/>
        <w:ind w:firstLine="640"/>
      </w:pPr>
      <w:r>
        <w:rPr>
          <w:rFonts w:hint="eastAsia"/>
        </w:rPr>
        <w:t>第三条</w:t>
      </w:r>
      <w:r>
        <w:rPr>
          <w:rFonts w:hint="eastAsia"/>
        </w:rPr>
        <w:t xml:space="preserve"> </w:t>
      </w:r>
      <w:r>
        <w:rPr>
          <w:rFonts w:hint="eastAsia"/>
        </w:rPr>
        <w:t>支持初创企业孵化</w:t>
      </w:r>
    </w:p>
    <w:p w:rsidR="006731D3" w:rsidRDefault="00CA064D">
      <w:pPr>
        <w:spacing w:line="600" w:lineRule="exact"/>
        <w:ind w:firstLine="643"/>
      </w:pPr>
      <w:bookmarkStart w:id="5" w:name="_Hlk109234723"/>
      <w:bookmarkStart w:id="6" w:name="_Hlk106827307"/>
      <w:r>
        <w:rPr>
          <w:rFonts w:ascii="楷体_GB2312" w:eastAsia="楷体_GB2312" w:hint="eastAsia"/>
          <w:b/>
          <w:bCs/>
        </w:rPr>
        <w:t>房租</w:t>
      </w:r>
      <w:bookmarkEnd w:id="5"/>
      <w:r>
        <w:rPr>
          <w:rFonts w:ascii="楷体_GB2312" w:eastAsia="楷体_GB2312" w:hint="eastAsia"/>
          <w:b/>
          <w:bCs/>
        </w:rPr>
        <w:t>支持。</w:t>
      </w:r>
      <w:r>
        <w:rPr>
          <w:rFonts w:hint="eastAsia"/>
        </w:rPr>
        <w:t>在区内新注册且租赁自用研发、办公、生产用房的</w:t>
      </w:r>
      <w:r>
        <w:rPr>
          <w:rFonts w:hint="eastAsia"/>
          <w:kern w:val="0"/>
          <w:szCs w:val="32"/>
        </w:rPr>
        <w:t>创新药物和医疗器械企业（二类、三类），</w:t>
      </w:r>
      <w:r>
        <w:rPr>
          <w:rFonts w:hint="eastAsia"/>
        </w:rPr>
        <w:t>按照单个企业不超过</w:t>
      </w:r>
      <w:r>
        <w:rPr>
          <w:rFonts w:hint="eastAsia"/>
        </w:rPr>
        <w:t>200</w:t>
      </w:r>
      <w:r>
        <w:rPr>
          <w:rFonts w:hint="eastAsia"/>
        </w:rPr>
        <w:t>平方米、</w:t>
      </w:r>
      <w:bookmarkStart w:id="7" w:name="_Hlk109643604"/>
      <w:r>
        <w:rPr>
          <w:rFonts w:hint="eastAsia"/>
        </w:rPr>
        <w:t>最高</w:t>
      </w:r>
      <w:r>
        <w:rPr>
          <w:rFonts w:hint="eastAsia"/>
        </w:rPr>
        <w:t>1</w:t>
      </w:r>
      <w:r>
        <w:t>.7</w:t>
      </w:r>
      <w:r>
        <w:rPr>
          <w:rFonts w:hint="eastAsia"/>
        </w:rPr>
        <w:t>元</w:t>
      </w:r>
      <w:r>
        <w:rPr>
          <w:rFonts w:hint="eastAsia"/>
        </w:rPr>
        <w:t>/</w:t>
      </w:r>
      <w:proofErr w:type="gramStart"/>
      <w:r>
        <w:rPr>
          <w:rFonts w:hint="eastAsia"/>
        </w:rPr>
        <w:t>平米</w:t>
      </w:r>
      <w:r>
        <w:rPr>
          <w:rFonts w:hint="eastAsia"/>
        </w:rPr>
        <w:t>/</w:t>
      </w:r>
      <w:proofErr w:type="gramEnd"/>
      <w:r>
        <w:rPr>
          <w:rFonts w:hint="eastAsia"/>
        </w:rPr>
        <w:t>天的标准</w:t>
      </w:r>
      <w:bookmarkEnd w:id="7"/>
      <w:r>
        <w:rPr>
          <w:rFonts w:hint="eastAsia"/>
        </w:rPr>
        <w:t>，给予企业每年最高</w:t>
      </w:r>
      <w:r>
        <w:rPr>
          <w:rFonts w:hint="eastAsia"/>
        </w:rPr>
        <w:t>1</w:t>
      </w:r>
      <w:r>
        <w:t>0</w:t>
      </w:r>
      <w:r>
        <w:rPr>
          <w:rFonts w:hint="eastAsia"/>
        </w:rPr>
        <w:t>万元的房租支持。单个企业支持期限不超过三年。</w:t>
      </w:r>
    </w:p>
    <w:p w:rsidR="006731D3" w:rsidRDefault="00CA064D">
      <w:pPr>
        <w:spacing w:line="600" w:lineRule="exact"/>
        <w:ind w:firstLine="643"/>
      </w:pPr>
      <w:r>
        <w:rPr>
          <w:rFonts w:ascii="楷体_GB2312" w:eastAsia="楷体_GB2312" w:hint="eastAsia"/>
          <w:b/>
          <w:bCs/>
        </w:rPr>
        <w:t>支持专业化孵化载体。</w:t>
      </w:r>
      <w:r>
        <w:rPr>
          <w:rFonts w:hint="eastAsia"/>
        </w:rPr>
        <w:t>支持龙头企业、高校、科研院所、投资机构等建设运营生物医药专业孵化载体，按实际投资金额的</w:t>
      </w:r>
      <w:r>
        <w:rPr>
          <w:rFonts w:hint="eastAsia"/>
        </w:rPr>
        <w:t>2</w:t>
      </w:r>
      <w:r>
        <w:t>0</w:t>
      </w:r>
      <w:r>
        <w:rPr>
          <w:rFonts w:hint="eastAsia"/>
        </w:rPr>
        <w:t>%</w:t>
      </w:r>
      <w:r>
        <w:rPr>
          <w:rFonts w:hint="eastAsia"/>
        </w:rPr>
        <w:t>一次性给予最高</w:t>
      </w:r>
      <w:r>
        <w:rPr>
          <w:rFonts w:hint="eastAsia"/>
        </w:rPr>
        <w:t>5</w:t>
      </w:r>
      <w:r>
        <w:t>00</w:t>
      </w:r>
      <w:r>
        <w:rPr>
          <w:rFonts w:hint="eastAsia"/>
        </w:rPr>
        <w:t>万元的资金支持。</w:t>
      </w:r>
    </w:p>
    <w:bookmarkEnd w:id="6"/>
    <w:p w:rsidR="006731D3" w:rsidRDefault="00CA064D">
      <w:pPr>
        <w:pStyle w:val="1"/>
        <w:spacing w:line="600" w:lineRule="exact"/>
        <w:ind w:firstLine="640"/>
      </w:pPr>
      <w:r>
        <w:rPr>
          <w:rFonts w:hint="eastAsia"/>
        </w:rPr>
        <w:lastRenderedPageBreak/>
        <w:t>第四条</w:t>
      </w:r>
      <w:r>
        <w:rPr>
          <w:rFonts w:hint="eastAsia"/>
        </w:rPr>
        <w:t xml:space="preserve"> </w:t>
      </w:r>
      <w:bookmarkStart w:id="8" w:name="_Hlk109065116"/>
      <w:r>
        <w:rPr>
          <w:rFonts w:hint="eastAsia"/>
        </w:rPr>
        <w:t>支持产业发展壮大</w:t>
      </w:r>
      <w:bookmarkEnd w:id="8"/>
    </w:p>
    <w:p w:rsidR="006731D3" w:rsidRDefault="00CA064D">
      <w:pPr>
        <w:spacing w:line="600" w:lineRule="exact"/>
        <w:ind w:firstLine="643"/>
      </w:pPr>
      <w:bookmarkStart w:id="9" w:name="_Hlk106827399"/>
      <w:bookmarkStart w:id="10" w:name="_Hlk109064317"/>
      <w:bookmarkStart w:id="11" w:name="_Hlk106827586"/>
      <w:r>
        <w:rPr>
          <w:rFonts w:ascii="楷体_GB2312" w:eastAsia="楷体_GB2312" w:hint="eastAsia"/>
          <w:b/>
          <w:bCs/>
        </w:rPr>
        <w:t>支持企业集聚</w:t>
      </w:r>
      <w:bookmarkEnd w:id="9"/>
      <w:r>
        <w:rPr>
          <w:rFonts w:ascii="楷体_GB2312" w:eastAsia="楷体_GB2312" w:hint="eastAsia"/>
          <w:b/>
          <w:bCs/>
        </w:rPr>
        <w:t>壮大。</w:t>
      </w:r>
      <w:bookmarkEnd w:id="10"/>
      <w:r>
        <w:rPr>
          <w:rFonts w:hint="eastAsia"/>
        </w:rPr>
        <w:t>对区内新引入重大产业化项目，按照不超过固定资产投资额的</w:t>
      </w:r>
      <w:r>
        <w:t>8</w:t>
      </w:r>
      <w:r>
        <w:rPr>
          <w:rFonts w:hint="eastAsia"/>
        </w:rPr>
        <w:t>%</w:t>
      </w:r>
      <w:r>
        <w:rPr>
          <w:rFonts w:hint="eastAsia"/>
        </w:rPr>
        <w:t>，给予最高</w:t>
      </w:r>
      <w:r>
        <w:t>5000</w:t>
      </w:r>
      <w:r>
        <w:rPr>
          <w:rFonts w:hint="eastAsia"/>
        </w:rPr>
        <w:t>万元的资金支持。</w:t>
      </w:r>
      <w:bookmarkEnd w:id="11"/>
      <w:r>
        <w:rPr>
          <w:rFonts w:hint="eastAsia"/>
        </w:rPr>
        <w:t>对年主营业务收入首次突破</w:t>
      </w:r>
      <w:r>
        <w:rPr>
          <w:rFonts w:hint="eastAsia"/>
        </w:rPr>
        <w:t>2</w:t>
      </w:r>
      <w:r>
        <w:t>000</w:t>
      </w:r>
      <w:r>
        <w:rPr>
          <w:rFonts w:hint="eastAsia"/>
        </w:rPr>
        <w:t>万元，并成功入库的</w:t>
      </w:r>
      <w:proofErr w:type="gramStart"/>
      <w:r>
        <w:rPr>
          <w:rFonts w:hint="eastAsia"/>
        </w:rPr>
        <w:t>规</w:t>
      </w:r>
      <w:proofErr w:type="gramEnd"/>
      <w:r>
        <w:rPr>
          <w:rFonts w:hint="eastAsia"/>
        </w:rPr>
        <w:t>上医药生产企业，给予</w:t>
      </w:r>
      <w:r>
        <w:t>20</w:t>
      </w:r>
      <w:r>
        <w:rPr>
          <w:rFonts w:hint="eastAsia"/>
        </w:rPr>
        <w:t>万元资金支持。</w:t>
      </w:r>
    </w:p>
    <w:p w:rsidR="006731D3" w:rsidRDefault="00CA064D">
      <w:pPr>
        <w:spacing w:line="600" w:lineRule="exact"/>
        <w:ind w:firstLine="643"/>
      </w:pPr>
      <w:bookmarkStart w:id="12" w:name="_Hlk110343367"/>
      <w:r>
        <w:rPr>
          <w:rFonts w:ascii="楷体_GB2312" w:eastAsia="楷体_GB2312" w:hint="eastAsia"/>
          <w:b/>
          <w:bCs/>
        </w:rPr>
        <w:t>支持优势产品培育</w:t>
      </w:r>
      <w:bookmarkEnd w:id="12"/>
      <w:r>
        <w:rPr>
          <w:rFonts w:ascii="楷体_GB2312" w:eastAsia="楷体_GB2312" w:hint="eastAsia"/>
          <w:b/>
          <w:bCs/>
        </w:rPr>
        <w:t>。</w:t>
      </w:r>
      <w:r>
        <w:rPr>
          <w:rFonts w:hint="eastAsia"/>
        </w:rPr>
        <w:t>对年销售收入首次突破</w:t>
      </w:r>
      <w:r>
        <w:rPr>
          <w:rFonts w:hint="eastAsia"/>
        </w:rPr>
        <w:t>1</w:t>
      </w:r>
      <w:r>
        <w:rPr>
          <w:rFonts w:hint="eastAsia"/>
        </w:rPr>
        <w:t>亿元、</w:t>
      </w:r>
      <w:r>
        <w:rPr>
          <w:rFonts w:hint="eastAsia"/>
        </w:rPr>
        <w:t>5</w:t>
      </w:r>
      <w:r>
        <w:rPr>
          <w:rFonts w:hint="eastAsia"/>
        </w:rPr>
        <w:t>亿元、</w:t>
      </w:r>
      <w:r>
        <w:rPr>
          <w:rFonts w:hint="eastAsia"/>
        </w:rPr>
        <w:t>10</w:t>
      </w:r>
      <w:r>
        <w:rPr>
          <w:rFonts w:hint="eastAsia"/>
        </w:rPr>
        <w:t>亿元、</w:t>
      </w:r>
      <w:r>
        <w:rPr>
          <w:rFonts w:hint="eastAsia"/>
        </w:rPr>
        <w:t>1</w:t>
      </w:r>
      <w:r>
        <w:t>5</w:t>
      </w:r>
      <w:r>
        <w:rPr>
          <w:rFonts w:hint="eastAsia"/>
        </w:rPr>
        <w:t>亿元、</w:t>
      </w:r>
      <w:r>
        <w:rPr>
          <w:rFonts w:hint="eastAsia"/>
        </w:rPr>
        <w:t>2</w:t>
      </w:r>
      <w:r>
        <w:t>0</w:t>
      </w:r>
      <w:r>
        <w:rPr>
          <w:rFonts w:hint="eastAsia"/>
        </w:rPr>
        <w:t>亿元的单品种药品，分别给予</w:t>
      </w:r>
      <w:r>
        <w:rPr>
          <w:rFonts w:hint="eastAsia"/>
        </w:rPr>
        <w:t>1</w:t>
      </w:r>
      <w:r>
        <w:t>00</w:t>
      </w:r>
      <w:r>
        <w:rPr>
          <w:rFonts w:hint="eastAsia"/>
        </w:rPr>
        <w:t>万元至</w:t>
      </w:r>
      <w:r>
        <w:t>500</w:t>
      </w:r>
      <w:r>
        <w:rPr>
          <w:rFonts w:hint="eastAsia"/>
        </w:rPr>
        <w:t>万元奖励。对年销售收入首次突破</w:t>
      </w:r>
      <w:r>
        <w:rPr>
          <w:rFonts w:hint="eastAsia"/>
        </w:rPr>
        <w:t>2</w:t>
      </w:r>
      <w:r>
        <w:t>000</w:t>
      </w:r>
      <w:r>
        <w:rPr>
          <w:rFonts w:hint="eastAsia"/>
        </w:rPr>
        <w:t>万元、</w:t>
      </w:r>
      <w:r>
        <w:rPr>
          <w:rFonts w:hint="eastAsia"/>
        </w:rPr>
        <w:t>5</w:t>
      </w:r>
      <w:r>
        <w:t>000</w:t>
      </w:r>
      <w:r>
        <w:rPr>
          <w:rFonts w:hint="eastAsia"/>
        </w:rPr>
        <w:t>万元、</w:t>
      </w:r>
      <w:r>
        <w:rPr>
          <w:rFonts w:hint="eastAsia"/>
        </w:rPr>
        <w:t>1</w:t>
      </w:r>
      <w:r>
        <w:rPr>
          <w:rFonts w:hint="eastAsia"/>
        </w:rPr>
        <w:t>亿元、</w:t>
      </w:r>
      <w:r>
        <w:rPr>
          <w:rFonts w:hint="eastAsia"/>
        </w:rPr>
        <w:t>3</w:t>
      </w:r>
      <w:r>
        <w:rPr>
          <w:rFonts w:hint="eastAsia"/>
        </w:rPr>
        <w:t>亿元、</w:t>
      </w:r>
      <w:r>
        <w:rPr>
          <w:rFonts w:hint="eastAsia"/>
        </w:rPr>
        <w:t>5</w:t>
      </w:r>
      <w:r>
        <w:rPr>
          <w:rFonts w:hint="eastAsia"/>
        </w:rPr>
        <w:t>亿元的单品种医疗器械，分别给予</w:t>
      </w:r>
      <w:r>
        <w:t>20</w:t>
      </w:r>
      <w:r>
        <w:rPr>
          <w:rFonts w:hint="eastAsia"/>
        </w:rPr>
        <w:t>万元至</w:t>
      </w:r>
      <w:r>
        <w:t>500</w:t>
      </w:r>
      <w:r>
        <w:rPr>
          <w:rFonts w:hint="eastAsia"/>
        </w:rPr>
        <w:t>万元奖励。对于首次成功进入国家或天津市</w:t>
      </w:r>
      <w:proofErr w:type="gramStart"/>
      <w:r>
        <w:rPr>
          <w:rFonts w:hint="eastAsia"/>
        </w:rPr>
        <w:t>医</w:t>
      </w:r>
      <w:proofErr w:type="gramEnd"/>
      <w:r>
        <w:rPr>
          <w:rFonts w:hint="eastAsia"/>
        </w:rPr>
        <w:t>保目录的创新药品和医疗器械产品，且销售税收结算在高新区内的，每个产品给予最高</w:t>
      </w:r>
      <w:r>
        <w:t>3</w:t>
      </w:r>
      <w:r>
        <w:rPr>
          <w:rFonts w:hint="eastAsia"/>
        </w:rPr>
        <w:t>0</w:t>
      </w:r>
      <w:r>
        <w:rPr>
          <w:rFonts w:hint="eastAsia"/>
        </w:rPr>
        <w:t>万元奖励。</w:t>
      </w:r>
      <w:bookmarkStart w:id="13" w:name="_Hlk109901811"/>
    </w:p>
    <w:p w:rsidR="006731D3" w:rsidRDefault="00CA064D">
      <w:pPr>
        <w:spacing w:line="600" w:lineRule="exact"/>
        <w:ind w:firstLine="643"/>
      </w:pPr>
      <w:bookmarkStart w:id="14" w:name="_Hlk110343376"/>
      <w:bookmarkEnd w:id="13"/>
      <w:r>
        <w:rPr>
          <w:rFonts w:ascii="楷体_GB2312" w:eastAsia="楷体_GB2312" w:hint="eastAsia"/>
          <w:b/>
          <w:bCs/>
        </w:rPr>
        <w:t>支持企业上市</w:t>
      </w:r>
      <w:bookmarkEnd w:id="14"/>
      <w:r>
        <w:rPr>
          <w:rFonts w:ascii="楷体_GB2312" w:eastAsia="楷体_GB2312" w:hint="eastAsia"/>
          <w:b/>
          <w:bCs/>
        </w:rPr>
        <w:t>。</w:t>
      </w:r>
      <w:r>
        <w:rPr>
          <w:rFonts w:hint="eastAsia"/>
        </w:rPr>
        <w:t>对在上海证券交易所、深圳证券交易所和北京证券交易所上市的企业，根据企业上市前后不同阶段累计给予最高</w:t>
      </w:r>
      <w:r>
        <w:rPr>
          <w:rFonts w:hint="eastAsia"/>
        </w:rPr>
        <w:t>2000</w:t>
      </w:r>
      <w:r>
        <w:rPr>
          <w:rFonts w:hint="eastAsia"/>
        </w:rPr>
        <w:t>万元资金支持。对在香港联合交易所成功上市企业给予一次性</w:t>
      </w:r>
      <w:r>
        <w:rPr>
          <w:rFonts w:hint="eastAsia"/>
        </w:rPr>
        <w:t>500</w:t>
      </w:r>
      <w:r>
        <w:rPr>
          <w:rFonts w:hint="eastAsia"/>
        </w:rPr>
        <w:t>万元支持，并提供“</w:t>
      </w:r>
      <w:proofErr w:type="gramStart"/>
      <w:r>
        <w:rPr>
          <w:rFonts w:hint="eastAsia"/>
        </w:rPr>
        <w:t>一</w:t>
      </w:r>
      <w:proofErr w:type="gramEnd"/>
      <w:r>
        <w:rPr>
          <w:rFonts w:hint="eastAsia"/>
        </w:rPr>
        <w:t>企一议”定制化服务。</w:t>
      </w:r>
    </w:p>
    <w:p w:rsidR="006731D3" w:rsidRDefault="00CA064D">
      <w:pPr>
        <w:pStyle w:val="1"/>
        <w:spacing w:line="600" w:lineRule="exact"/>
        <w:ind w:firstLine="640"/>
      </w:pPr>
      <w:r>
        <w:rPr>
          <w:rFonts w:hint="eastAsia"/>
        </w:rPr>
        <w:t>第五条</w:t>
      </w:r>
      <w:r>
        <w:rPr>
          <w:rFonts w:hint="eastAsia"/>
        </w:rPr>
        <w:t xml:space="preserve"> </w:t>
      </w:r>
      <w:r>
        <w:rPr>
          <w:rFonts w:hint="eastAsia"/>
        </w:rPr>
        <w:t>支持平台和机构发展</w:t>
      </w:r>
    </w:p>
    <w:p w:rsidR="006731D3" w:rsidRDefault="00CA064D">
      <w:pPr>
        <w:spacing w:line="600" w:lineRule="exact"/>
        <w:ind w:firstLine="643"/>
      </w:pPr>
      <w:bookmarkStart w:id="15" w:name="_Hlk110874478"/>
      <w:r>
        <w:rPr>
          <w:rFonts w:ascii="楷体_GB2312" w:eastAsia="楷体_GB2312" w:hint="eastAsia"/>
          <w:b/>
          <w:bCs/>
        </w:rPr>
        <w:t>支持重大创新平台建设</w:t>
      </w:r>
      <w:bookmarkEnd w:id="15"/>
      <w:r>
        <w:rPr>
          <w:rFonts w:ascii="楷体_GB2312" w:eastAsia="楷体_GB2312" w:hint="eastAsia"/>
          <w:b/>
          <w:bCs/>
        </w:rPr>
        <w:t>。</w:t>
      </w:r>
      <w:r>
        <w:rPr>
          <w:rFonts w:hint="eastAsia"/>
        </w:rPr>
        <w:t>对</w:t>
      </w:r>
      <w:bookmarkStart w:id="16" w:name="_Hlk110593930"/>
      <w:r>
        <w:rPr>
          <w:rFonts w:hint="eastAsia"/>
        </w:rPr>
        <w:t>获</w:t>
      </w:r>
      <w:proofErr w:type="gramStart"/>
      <w:r>
        <w:rPr>
          <w:rFonts w:hint="eastAsia"/>
        </w:rPr>
        <w:t>批国家</w:t>
      </w:r>
      <w:proofErr w:type="gramEnd"/>
      <w:r>
        <w:rPr>
          <w:rFonts w:hint="eastAsia"/>
        </w:rPr>
        <w:t>部委、市级相关部门等资质认定的国家、天津市</w:t>
      </w:r>
      <w:bookmarkEnd w:id="16"/>
      <w:r>
        <w:rPr>
          <w:rFonts w:hint="eastAsia"/>
        </w:rPr>
        <w:t>重大创新平台，按照不超过项目总投资额</w:t>
      </w:r>
      <w:r>
        <w:t>20</w:t>
      </w:r>
      <w:r>
        <w:rPr>
          <w:rFonts w:hint="eastAsia"/>
        </w:rPr>
        <w:t>%</w:t>
      </w:r>
      <w:r>
        <w:rPr>
          <w:rFonts w:hint="eastAsia"/>
        </w:rPr>
        <w:t>，给予最高</w:t>
      </w:r>
      <w:r>
        <w:t>1</w:t>
      </w:r>
      <w:r>
        <w:rPr>
          <w:rFonts w:hint="eastAsia"/>
        </w:rPr>
        <w:t>000</w:t>
      </w:r>
      <w:r>
        <w:rPr>
          <w:rFonts w:hint="eastAsia"/>
        </w:rPr>
        <w:t>万元资金支持。</w:t>
      </w:r>
      <w:bookmarkStart w:id="17" w:name="_Hlk108102113"/>
    </w:p>
    <w:p w:rsidR="006731D3" w:rsidRDefault="00CA064D">
      <w:pPr>
        <w:spacing w:line="600" w:lineRule="exact"/>
        <w:ind w:firstLine="643"/>
        <w:rPr>
          <w:rFonts w:ascii="楷体_GB2312" w:eastAsia="楷体_GB2312"/>
          <w:b/>
          <w:bCs/>
        </w:rPr>
      </w:pPr>
      <w:bookmarkStart w:id="18" w:name="_Hlk106827009"/>
      <w:bookmarkEnd w:id="17"/>
      <w:r>
        <w:rPr>
          <w:rFonts w:ascii="楷体_GB2312" w:eastAsia="楷体_GB2312" w:hint="eastAsia"/>
          <w:b/>
          <w:bCs/>
        </w:rPr>
        <w:t>支持第三</w:t>
      </w:r>
      <w:proofErr w:type="gramStart"/>
      <w:r>
        <w:rPr>
          <w:rFonts w:ascii="楷体_GB2312" w:eastAsia="楷体_GB2312" w:hint="eastAsia"/>
          <w:b/>
          <w:bCs/>
        </w:rPr>
        <w:t>方医疗</w:t>
      </w:r>
      <w:proofErr w:type="gramEnd"/>
      <w:r>
        <w:rPr>
          <w:rFonts w:ascii="楷体_GB2312" w:eastAsia="楷体_GB2312" w:hint="eastAsia"/>
          <w:b/>
          <w:bCs/>
        </w:rPr>
        <w:t>服务机构。</w:t>
      </w:r>
      <w:r>
        <w:rPr>
          <w:rFonts w:hint="eastAsia"/>
        </w:rPr>
        <w:t>对区内医学影像中心、医学检验实验室、病理诊断中心等第三</w:t>
      </w:r>
      <w:proofErr w:type="gramStart"/>
      <w:r>
        <w:rPr>
          <w:rFonts w:hint="eastAsia"/>
        </w:rPr>
        <w:t>方医疗</w:t>
      </w:r>
      <w:proofErr w:type="gramEnd"/>
      <w:r>
        <w:rPr>
          <w:rFonts w:hint="eastAsia"/>
        </w:rPr>
        <w:t>服务机构，按</w:t>
      </w:r>
      <w:r>
        <w:rPr>
          <w:rFonts w:hint="eastAsia"/>
        </w:rPr>
        <w:lastRenderedPageBreak/>
        <w:t>照较上年主营业务收入新增部分的</w:t>
      </w:r>
      <w:r>
        <w:t>3</w:t>
      </w:r>
      <w:r>
        <w:rPr>
          <w:rFonts w:hint="eastAsia"/>
        </w:rPr>
        <w:t>%</w:t>
      </w:r>
      <w:r>
        <w:rPr>
          <w:rFonts w:hint="eastAsia"/>
        </w:rPr>
        <w:t>，给予每年最高</w:t>
      </w:r>
      <w:r>
        <w:rPr>
          <w:rFonts w:hint="eastAsia"/>
        </w:rPr>
        <w:t>1</w:t>
      </w:r>
      <w:r>
        <w:t>00</w:t>
      </w:r>
      <w:r>
        <w:rPr>
          <w:rFonts w:hint="eastAsia"/>
        </w:rPr>
        <w:t>万元资金支持。单个服务机构支持期限不超过三年。</w:t>
      </w:r>
    </w:p>
    <w:bookmarkEnd w:id="18"/>
    <w:p w:rsidR="006731D3" w:rsidRDefault="00CA064D">
      <w:pPr>
        <w:spacing w:line="600" w:lineRule="exact"/>
        <w:ind w:firstLine="643"/>
      </w:pPr>
      <w:r>
        <w:rPr>
          <w:rFonts w:ascii="楷体_GB2312" w:eastAsia="楷体_GB2312" w:hint="eastAsia"/>
          <w:b/>
          <w:bCs/>
        </w:rPr>
        <w:t>支持专业服务机构。</w:t>
      </w:r>
      <w:r>
        <w:rPr>
          <w:rFonts w:hint="eastAsia"/>
        </w:rPr>
        <w:t>对于为区内生物医药企业提供</w:t>
      </w:r>
      <w:bookmarkStart w:id="19" w:name="_Hlk109394200"/>
      <w:r>
        <w:rPr>
          <w:rFonts w:hint="eastAsia"/>
        </w:rPr>
        <w:t>药品及医疗器械注册申报、检验检测、法规咨询、研究外包、临床评价</w:t>
      </w:r>
      <w:bookmarkEnd w:id="19"/>
      <w:r>
        <w:rPr>
          <w:rFonts w:hint="eastAsia"/>
        </w:rPr>
        <w:t>等服务的机构，按照年服务合同结算金额的</w:t>
      </w:r>
      <w:r>
        <w:t>3</w:t>
      </w:r>
      <w:r>
        <w:rPr>
          <w:rFonts w:hint="eastAsia"/>
        </w:rPr>
        <w:t>%</w:t>
      </w:r>
      <w:r>
        <w:rPr>
          <w:rFonts w:hint="eastAsia"/>
        </w:rPr>
        <w:t>，给予每年最高</w:t>
      </w:r>
      <w:r>
        <w:rPr>
          <w:rFonts w:hint="eastAsia"/>
        </w:rPr>
        <w:t>100</w:t>
      </w:r>
      <w:r>
        <w:rPr>
          <w:rFonts w:hint="eastAsia"/>
        </w:rPr>
        <w:t>万元资金支持。单个服务机构支持期限不超过三年。</w:t>
      </w:r>
      <w:bookmarkStart w:id="20" w:name="_Hlk110342138"/>
      <w:r>
        <w:rPr>
          <w:rFonts w:ascii="仿宋_GB2312" w:hAnsi="Calibri" w:cs="Calibri" w:hint="eastAsia"/>
        </w:rPr>
        <w:t>对区内新建特殊生物制品供应链平台项目，给予最高</w:t>
      </w:r>
      <w:r>
        <w:t>200</w:t>
      </w:r>
      <w:r>
        <w:rPr>
          <w:rFonts w:ascii="仿宋_GB2312" w:hAnsi="Calibri" w:cs="Calibri" w:hint="eastAsia"/>
        </w:rPr>
        <w:t>万元资金支持。</w:t>
      </w:r>
      <w:bookmarkEnd w:id="20"/>
    </w:p>
    <w:p w:rsidR="006731D3" w:rsidRDefault="00CA064D">
      <w:pPr>
        <w:pStyle w:val="1"/>
        <w:spacing w:line="600" w:lineRule="exact"/>
        <w:ind w:firstLine="640"/>
      </w:pPr>
      <w:r>
        <w:rPr>
          <w:rFonts w:hint="eastAsia"/>
        </w:rPr>
        <w:t>第六条</w:t>
      </w:r>
      <w:r>
        <w:rPr>
          <w:rFonts w:hint="eastAsia"/>
        </w:rPr>
        <w:t xml:space="preserve"> </w:t>
      </w:r>
      <w:r>
        <w:rPr>
          <w:rFonts w:hint="eastAsia"/>
        </w:rPr>
        <w:t>支持专业投资机构</w:t>
      </w:r>
    </w:p>
    <w:p w:rsidR="006731D3" w:rsidRDefault="00CA064D">
      <w:pPr>
        <w:spacing w:line="600" w:lineRule="exact"/>
        <w:ind w:firstLine="643"/>
      </w:pPr>
      <w:bookmarkStart w:id="21" w:name="_Hlk108354045"/>
      <w:r>
        <w:rPr>
          <w:rFonts w:ascii="楷体_GB2312" w:eastAsia="楷体_GB2312" w:hint="eastAsia"/>
          <w:b/>
          <w:bCs/>
        </w:rPr>
        <w:t>设立产业基金。</w:t>
      </w:r>
      <w:r>
        <w:rPr>
          <w:rFonts w:hint="eastAsia"/>
        </w:rPr>
        <w:t>积极设立生物医药产业基金，对优质生物医药企业提供股权融资服务。鼓励社会资本积极参与，为企业提供天使投资、股权投资、投后增值等多层次服务。</w:t>
      </w:r>
    </w:p>
    <w:p w:rsidR="006731D3" w:rsidRDefault="00CA064D">
      <w:pPr>
        <w:spacing w:line="600" w:lineRule="exact"/>
        <w:ind w:firstLine="643"/>
      </w:pPr>
      <w:bookmarkStart w:id="22" w:name="_Hlk110343416"/>
      <w:r>
        <w:rPr>
          <w:rFonts w:ascii="楷体_GB2312" w:eastAsia="楷体_GB2312" w:hint="eastAsia"/>
          <w:b/>
          <w:bCs/>
        </w:rPr>
        <w:t>支持专业投资基金</w:t>
      </w:r>
      <w:bookmarkEnd w:id="22"/>
      <w:r>
        <w:rPr>
          <w:rFonts w:ascii="楷体_GB2312" w:eastAsia="楷体_GB2312" w:hint="eastAsia"/>
          <w:b/>
          <w:bCs/>
        </w:rPr>
        <w:t>。</w:t>
      </w:r>
      <w:r>
        <w:rPr>
          <w:rFonts w:hint="eastAsia"/>
        </w:rPr>
        <w:t>对区内新设立的各</w:t>
      </w:r>
      <w:proofErr w:type="gramStart"/>
      <w:r>
        <w:rPr>
          <w:rFonts w:hint="eastAsia"/>
        </w:rPr>
        <w:t>类主投方向</w:t>
      </w:r>
      <w:proofErr w:type="gramEnd"/>
      <w:r>
        <w:rPr>
          <w:rFonts w:hint="eastAsia"/>
        </w:rPr>
        <w:t>为生物医药的市场化私募股权、创投基金，</w:t>
      </w:r>
      <w:bookmarkStart w:id="23" w:name="_Hlk108106098"/>
      <w:r>
        <w:rPr>
          <w:rFonts w:hint="eastAsia"/>
        </w:rPr>
        <w:t>按照实</w:t>
      </w:r>
      <w:proofErr w:type="gramStart"/>
      <w:r>
        <w:rPr>
          <w:rFonts w:hint="eastAsia"/>
        </w:rPr>
        <w:t>缴</w:t>
      </w:r>
      <w:proofErr w:type="gramEnd"/>
      <w:r>
        <w:rPr>
          <w:rFonts w:hint="eastAsia"/>
        </w:rPr>
        <w:t>注册资本的</w:t>
      </w:r>
      <w:r>
        <w:rPr>
          <w:rFonts w:hint="eastAsia"/>
        </w:rPr>
        <w:t>1</w:t>
      </w:r>
      <w:r>
        <w:rPr>
          <w:rFonts w:hint="eastAsia"/>
        </w:rPr>
        <w:t>‰给予资金支持。对基金、投资机构等在本办法有效期内投资区内生物医药企业和项目获得的收益，</w:t>
      </w:r>
      <w:bookmarkStart w:id="24" w:name="_Hlk108106142"/>
      <w:bookmarkEnd w:id="23"/>
      <w:r>
        <w:rPr>
          <w:rFonts w:hint="eastAsia"/>
        </w:rPr>
        <w:t>退出时按其形成收益部分的</w:t>
      </w:r>
      <w:r>
        <w:rPr>
          <w:rFonts w:hint="eastAsia"/>
        </w:rPr>
        <w:t>3%</w:t>
      </w:r>
      <w:r>
        <w:rPr>
          <w:rFonts w:hint="eastAsia"/>
        </w:rPr>
        <w:t>给予资金支持。</w:t>
      </w:r>
      <w:bookmarkEnd w:id="24"/>
      <w:r>
        <w:rPr>
          <w:rFonts w:hint="eastAsia"/>
        </w:rPr>
        <w:t>对成功引入股权融资的生物医药企业，按照实际获得股权融资额的</w:t>
      </w:r>
      <w:r>
        <w:rPr>
          <w:rFonts w:hint="eastAsia"/>
        </w:rPr>
        <w:t>2%</w:t>
      </w:r>
      <w:r>
        <w:rPr>
          <w:rFonts w:hint="eastAsia"/>
        </w:rPr>
        <w:t>给予奖励。</w:t>
      </w:r>
      <w:bookmarkEnd w:id="21"/>
    </w:p>
    <w:p w:rsidR="006731D3" w:rsidRDefault="00CA064D">
      <w:pPr>
        <w:pStyle w:val="1"/>
        <w:spacing w:line="600" w:lineRule="exact"/>
        <w:ind w:firstLine="640"/>
      </w:pPr>
      <w:r>
        <w:rPr>
          <w:rFonts w:hint="eastAsia"/>
        </w:rPr>
        <w:t>第七条</w:t>
      </w:r>
      <w:r>
        <w:rPr>
          <w:rFonts w:hint="eastAsia"/>
        </w:rPr>
        <w:t xml:space="preserve"> </w:t>
      </w:r>
      <w:r>
        <w:rPr>
          <w:rFonts w:hint="eastAsia"/>
        </w:rPr>
        <w:t>支持行业标准和认证</w:t>
      </w:r>
    </w:p>
    <w:p w:rsidR="006731D3" w:rsidRDefault="00CA064D">
      <w:pPr>
        <w:spacing w:line="600" w:lineRule="exact"/>
        <w:ind w:firstLine="643"/>
      </w:pPr>
      <w:r>
        <w:rPr>
          <w:rFonts w:ascii="楷体_GB2312" w:eastAsia="楷体_GB2312" w:hint="eastAsia"/>
          <w:b/>
          <w:bCs/>
        </w:rPr>
        <w:t>支持行业标准。</w:t>
      </w:r>
      <w:r>
        <w:rPr>
          <w:rFonts w:hint="eastAsia"/>
        </w:rPr>
        <w:t>对主导或参与制定国际标准、国家标准、行业标准、地方标准、团体标准的区内企业，分别给予最高每项</w:t>
      </w:r>
      <w:r>
        <w:t>200</w:t>
      </w:r>
      <w:r>
        <w:rPr>
          <w:rFonts w:hint="eastAsia"/>
        </w:rPr>
        <w:t>万、</w:t>
      </w:r>
      <w:r>
        <w:t>100</w:t>
      </w:r>
      <w:r>
        <w:rPr>
          <w:rFonts w:hint="eastAsia"/>
        </w:rPr>
        <w:t>万、</w:t>
      </w:r>
      <w:r>
        <w:t>50</w:t>
      </w:r>
      <w:r>
        <w:rPr>
          <w:rFonts w:hint="eastAsia"/>
        </w:rPr>
        <w:t>万、</w:t>
      </w:r>
      <w:r>
        <w:t>30</w:t>
      </w:r>
      <w:r>
        <w:rPr>
          <w:rFonts w:hint="eastAsia"/>
        </w:rPr>
        <w:t>万、</w:t>
      </w:r>
      <w:r>
        <w:rPr>
          <w:rFonts w:hint="eastAsia"/>
        </w:rPr>
        <w:t>2</w:t>
      </w:r>
      <w:r>
        <w:t>0</w:t>
      </w:r>
      <w:r>
        <w:rPr>
          <w:rFonts w:hint="eastAsia"/>
        </w:rPr>
        <w:t>万元奖励。</w:t>
      </w:r>
    </w:p>
    <w:p w:rsidR="00C006E3" w:rsidRDefault="00C006E3">
      <w:pPr>
        <w:spacing w:line="600" w:lineRule="exact"/>
        <w:ind w:firstLine="643"/>
        <w:rPr>
          <w:rFonts w:ascii="楷体_GB2312" w:eastAsia="楷体_GB2312"/>
          <w:b/>
          <w:bCs/>
        </w:rPr>
      </w:pPr>
    </w:p>
    <w:p w:rsidR="006731D3" w:rsidRDefault="00CA064D">
      <w:pPr>
        <w:spacing w:line="600" w:lineRule="exact"/>
        <w:ind w:firstLine="643"/>
      </w:pPr>
      <w:r>
        <w:rPr>
          <w:rFonts w:ascii="楷体_GB2312" w:eastAsia="楷体_GB2312" w:hint="eastAsia"/>
          <w:b/>
          <w:bCs/>
        </w:rPr>
        <w:lastRenderedPageBreak/>
        <w:t>支持行业认证。</w:t>
      </w:r>
      <w:r>
        <w:rPr>
          <w:rFonts w:hint="eastAsia"/>
        </w:rPr>
        <w:t>对于首次获得国际实验动物评估和认可委员会（</w:t>
      </w:r>
      <w:r>
        <w:rPr>
          <w:rFonts w:hint="eastAsia"/>
        </w:rPr>
        <w:t>AAALAC</w:t>
      </w:r>
      <w:r>
        <w:rPr>
          <w:rFonts w:hint="eastAsia"/>
        </w:rPr>
        <w:t>）、亚太地区伦理委员会（</w:t>
      </w:r>
      <w:r>
        <w:rPr>
          <w:rFonts w:hint="eastAsia"/>
        </w:rPr>
        <w:t>FERCAP/SIDCER</w:t>
      </w:r>
      <w:r>
        <w:rPr>
          <w:rFonts w:hint="eastAsia"/>
        </w:rPr>
        <w:t>）、药物非临床安全性评价规范（</w:t>
      </w:r>
      <w:r>
        <w:rPr>
          <w:rFonts w:hint="eastAsia"/>
        </w:rPr>
        <w:t>GLP</w:t>
      </w:r>
      <w:r>
        <w:rPr>
          <w:rFonts w:hint="eastAsia"/>
        </w:rPr>
        <w:t>）、中国合格评定国家认可委员会（</w:t>
      </w:r>
      <w:r>
        <w:rPr>
          <w:rFonts w:hint="eastAsia"/>
        </w:rPr>
        <w:t>CNAS</w:t>
      </w:r>
      <w:r>
        <w:rPr>
          <w:rFonts w:hint="eastAsia"/>
        </w:rPr>
        <w:t>）、中国计量认证（</w:t>
      </w:r>
      <w:r>
        <w:rPr>
          <w:rFonts w:hint="eastAsia"/>
        </w:rPr>
        <w:t>CMA</w:t>
      </w:r>
      <w:r>
        <w:rPr>
          <w:rFonts w:hint="eastAsia"/>
        </w:rPr>
        <w:t>）等资格认证的区内生物医药企业或机构，给予最高</w:t>
      </w:r>
      <w:r>
        <w:t>3</w:t>
      </w:r>
      <w:r>
        <w:rPr>
          <w:rFonts w:hint="eastAsia"/>
        </w:rPr>
        <w:t>00</w:t>
      </w:r>
      <w:r>
        <w:rPr>
          <w:rFonts w:hint="eastAsia"/>
        </w:rPr>
        <w:t>万元资金支持。单个企业同一类型认证只能获得一次支持。</w:t>
      </w:r>
    </w:p>
    <w:p w:rsidR="006731D3" w:rsidRDefault="00CA064D">
      <w:pPr>
        <w:spacing w:line="600" w:lineRule="exact"/>
        <w:ind w:firstLine="643"/>
        <w:rPr>
          <w:color w:val="FF0000"/>
        </w:rPr>
      </w:pPr>
      <w:r>
        <w:rPr>
          <w:rFonts w:ascii="楷体_GB2312" w:eastAsia="楷体_GB2312" w:hint="eastAsia"/>
          <w:b/>
          <w:bCs/>
        </w:rPr>
        <w:t>支持国际认证。</w:t>
      </w:r>
      <w:r>
        <w:rPr>
          <w:rFonts w:hint="eastAsia"/>
        </w:rPr>
        <w:t>对于首次获得美国食品药品监督局（</w:t>
      </w:r>
      <w:r>
        <w:rPr>
          <w:rFonts w:hint="eastAsia"/>
        </w:rPr>
        <w:t>FDA</w:t>
      </w:r>
      <w:r>
        <w:rPr>
          <w:rFonts w:hint="eastAsia"/>
        </w:rPr>
        <w:t>）、欧洲药品管理局（</w:t>
      </w:r>
      <w:r>
        <w:rPr>
          <w:rFonts w:hint="eastAsia"/>
        </w:rPr>
        <w:t>EMA</w:t>
      </w:r>
      <w:r>
        <w:rPr>
          <w:rFonts w:hint="eastAsia"/>
        </w:rPr>
        <w:t>）、日本药品医疗器械管理局（</w:t>
      </w:r>
      <w:r>
        <w:rPr>
          <w:rFonts w:hint="eastAsia"/>
        </w:rPr>
        <w:t>PMDA</w:t>
      </w:r>
      <w:r>
        <w:rPr>
          <w:rFonts w:hint="eastAsia"/>
        </w:rPr>
        <w:t>）等机构批准获得境外上市资质并在国际市场实现销售的药品和医疗器械，每个产品给予最高</w:t>
      </w:r>
      <w:r>
        <w:t>50</w:t>
      </w:r>
      <w:r>
        <w:rPr>
          <w:rFonts w:hint="eastAsia"/>
        </w:rPr>
        <w:t>万元资金支持，单个企业每年累计最高</w:t>
      </w:r>
      <w:r>
        <w:t>3</w:t>
      </w:r>
      <w:r>
        <w:rPr>
          <w:rFonts w:hint="eastAsia"/>
        </w:rPr>
        <w:t>00</w:t>
      </w:r>
      <w:r>
        <w:rPr>
          <w:rFonts w:hint="eastAsia"/>
        </w:rPr>
        <w:t>万元。</w:t>
      </w:r>
      <w:bookmarkStart w:id="25" w:name="_Hlk109901383"/>
    </w:p>
    <w:bookmarkEnd w:id="25"/>
    <w:p w:rsidR="006731D3" w:rsidRDefault="00CA064D">
      <w:pPr>
        <w:pStyle w:val="1"/>
        <w:spacing w:line="600" w:lineRule="exact"/>
        <w:ind w:firstLine="640"/>
      </w:pPr>
      <w:r>
        <w:rPr>
          <w:rFonts w:hint="eastAsia"/>
        </w:rPr>
        <w:t>第八条</w:t>
      </w:r>
      <w:r>
        <w:t xml:space="preserve"> </w:t>
      </w:r>
      <w:r>
        <w:rPr>
          <w:rFonts w:hint="eastAsia"/>
        </w:rPr>
        <w:t>支持产业生态营造</w:t>
      </w:r>
    </w:p>
    <w:p w:rsidR="006731D3" w:rsidRDefault="00CA064D">
      <w:pPr>
        <w:spacing w:line="600" w:lineRule="exact"/>
        <w:ind w:firstLine="643"/>
      </w:pPr>
      <w:r>
        <w:rPr>
          <w:rFonts w:ascii="楷体_GB2312" w:eastAsia="楷体_GB2312" w:hint="eastAsia"/>
          <w:b/>
          <w:bCs/>
        </w:rPr>
        <w:t>支持行业组织。</w:t>
      </w:r>
      <w:r>
        <w:rPr>
          <w:rFonts w:hint="eastAsia"/>
        </w:rPr>
        <w:t>对在区内成立的国家级、市级生物医药行业协会或联盟等组织，结合其后期运营成效，经评审后，每年分别给予最高</w:t>
      </w:r>
      <w:r>
        <w:t>30</w:t>
      </w:r>
      <w:r>
        <w:rPr>
          <w:rFonts w:hint="eastAsia"/>
        </w:rPr>
        <w:t>万元、</w:t>
      </w:r>
      <w:r>
        <w:rPr>
          <w:rFonts w:hint="eastAsia"/>
        </w:rPr>
        <w:t>2</w:t>
      </w:r>
      <w:r>
        <w:t>0</w:t>
      </w:r>
      <w:r>
        <w:rPr>
          <w:rFonts w:hint="eastAsia"/>
        </w:rPr>
        <w:t>万元资金支持。</w:t>
      </w:r>
    </w:p>
    <w:p w:rsidR="006731D3" w:rsidRDefault="00CA064D">
      <w:pPr>
        <w:spacing w:line="600" w:lineRule="exact"/>
        <w:ind w:firstLine="643"/>
      </w:pPr>
      <w:r>
        <w:rPr>
          <w:rFonts w:ascii="楷体_GB2312" w:eastAsia="楷体_GB2312" w:hint="eastAsia"/>
          <w:b/>
          <w:bCs/>
        </w:rPr>
        <w:t>支持举办活动。</w:t>
      </w:r>
      <w:r>
        <w:rPr>
          <w:rFonts w:hint="eastAsia"/>
        </w:rPr>
        <w:t>对区内举办生物医药产业相关的各类国家级论坛、会议、竞赛等活动，经评审后，按照不超过实际活动经费的</w:t>
      </w:r>
      <w:r>
        <w:rPr>
          <w:rFonts w:hint="eastAsia"/>
        </w:rPr>
        <w:t>30%</w:t>
      </w:r>
      <w:r>
        <w:rPr>
          <w:rFonts w:hint="eastAsia"/>
        </w:rPr>
        <w:t>，给予举办</w:t>
      </w:r>
      <w:proofErr w:type="gramStart"/>
      <w:r>
        <w:rPr>
          <w:rFonts w:hint="eastAsia"/>
        </w:rPr>
        <w:t>方最高</w:t>
      </w:r>
      <w:proofErr w:type="gramEnd"/>
      <w:r>
        <w:rPr>
          <w:rFonts w:hint="eastAsia"/>
        </w:rPr>
        <w:t>1</w:t>
      </w:r>
      <w:r>
        <w:t>00</w:t>
      </w:r>
      <w:r>
        <w:rPr>
          <w:rFonts w:hint="eastAsia"/>
        </w:rPr>
        <w:t>万元资金支持。单个组织支持期限不超过三年。</w:t>
      </w:r>
    </w:p>
    <w:p w:rsidR="006731D3" w:rsidRDefault="00CA064D">
      <w:pPr>
        <w:pStyle w:val="1"/>
        <w:spacing w:line="600" w:lineRule="exact"/>
        <w:ind w:firstLine="640"/>
      </w:pPr>
      <w:r>
        <w:rPr>
          <w:rFonts w:hint="eastAsia"/>
        </w:rPr>
        <w:t>第九条</w:t>
      </w:r>
      <w:r>
        <w:rPr>
          <w:rFonts w:hint="eastAsia"/>
        </w:rPr>
        <w:t xml:space="preserve"> </w:t>
      </w:r>
      <w:r>
        <w:rPr>
          <w:rFonts w:hint="eastAsia"/>
        </w:rPr>
        <w:t>附则</w:t>
      </w:r>
    </w:p>
    <w:p w:rsidR="006731D3" w:rsidRDefault="00CA064D">
      <w:pPr>
        <w:spacing w:line="600" w:lineRule="exact"/>
      </w:pPr>
      <w:r>
        <w:rPr>
          <w:rFonts w:hint="eastAsia"/>
        </w:rPr>
        <w:t>符合本办法规定的同一项目同时符合区内其它政策和上级政策规定的，按照“从优、从高、不重复”的原则予</w:t>
      </w:r>
      <w:r>
        <w:rPr>
          <w:rFonts w:hint="eastAsia"/>
        </w:rPr>
        <w:lastRenderedPageBreak/>
        <w:t>以支持。</w:t>
      </w:r>
      <w:bookmarkStart w:id="26" w:name="_Hlk109217119"/>
      <w:r>
        <w:rPr>
          <w:rFonts w:hint="eastAsia"/>
        </w:rPr>
        <w:t>本办法执行期自发布之日起至</w:t>
      </w:r>
      <w:r>
        <w:rPr>
          <w:rFonts w:hint="eastAsia"/>
        </w:rPr>
        <w:t>202</w:t>
      </w:r>
      <w:r>
        <w:t>7</w:t>
      </w:r>
      <w:r>
        <w:rPr>
          <w:rFonts w:hint="eastAsia"/>
        </w:rPr>
        <w:t>年</w:t>
      </w:r>
      <w:r>
        <w:t>12</w:t>
      </w:r>
      <w:r>
        <w:rPr>
          <w:rFonts w:hint="eastAsia"/>
        </w:rPr>
        <w:t>月</w:t>
      </w:r>
      <w:r>
        <w:t>31</w:t>
      </w:r>
      <w:r>
        <w:rPr>
          <w:rFonts w:hint="eastAsia"/>
        </w:rPr>
        <w:t>日。</w:t>
      </w:r>
      <w:bookmarkEnd w:id="26"/>
      <w:r>
        <w:rPr>
          <w:rFonts w:hint="eastAsia"/>
        </w:rPr>
        <w:t>本办法由天津滨海高新区管委会负责解释。</w:t>
      </w:r>
    </w:p>
    <w:sectPr w:rsidR="006731D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05" w:rsidRDefault="00750105">
      <w:pPr>
        <w:spacing w:line="240" w:lineRule="auto"/>
      </w:pPr>
      <w:r>
        <w:separator/>
      </w:r>
    </w:p>
  </w:endnote>
  <w:endnote w:type="continuationSeparator" w:id="0">
    <w:p w:rsidR="00750105" w:rsidRDefault="00750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129860"/>
      <w:docPartObj>
        <w:docPartGallery w:val="Page Numbers (Bottom of Page)"/>
        <w:docPartUnique/>
      </w:docPartObj>
    </w:sdtPr>
    <w:sdtEndPr>
      <w:rPr>
        <w:sz w:val="20"/>
        <w:szCs w:val="20"/>
      </w:rPr>
    </w:sdtEndPr>
    <w:sdtContent>
      <w:p w:rsidR="00115408" w:rsidRDefault="00115408">
        <w:pPr>
          <w:pStyle w:val="a4"/>
          <w:jc w:val="center"/>
        </w:pPr>
        <w:r w:rsidRPr="0068101F">
          <w:rPr>
            <w:sz w:val="20"/>
            <w:szCs w:val="20"/>
          </w:rPr>
          <w:fldChar w:fldCharType="begin"/>
        </w:r>
        <w:r w:rsidRPr="0068101F">
          <w:rPr>
            <w:sz w:val="20"/>
            <w:szCs w:val="20"/>
          </w:rPr>
          <w:instrText>PAGE   \* MERGEFORMAT</w:instrText>
        </w:r>
        <w:r w:rsidRPr="0068101F">
          <w:rPr>
            <w:sz w:val="20"/>
            <w:szCs w:val="20"/>
          </w:rPr>
          <w:fldChar w:fldCharType="separate"/>
        </w:r>
        <w:r w:rsidR="0068101F" w:rsidRPr="0068101F">
          <w:rPr>
            <w:noProof/>
            <w:sz w:val="20"/>
            <w:szCs w:val="20"/>
            <w:lang w:val="zh-CN"/>
          </w:rPr>
          <w:t>6</w:t>
        </w:r>
        <w:r w:rsidRPr="0068101F">
          <w:rPr>
            <w:sz w:val="20"/>
            <w:szCs w:val="20"/>
          </w:rPr>
          <w:fldChar w:fldCharType="end"/>
        </w:r>
      </w:p>
    </w:sdtContent>
  </w:sdt>
  <w:p w:rsidR="006731D3" w:rsidRDefault="006731D3">
    <w:pPr>
      <w:pStyle w:val="a4"/>
      <w:ind w:firstLineChars="0" w:firstLine="0"/>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05" w:rsidRDefault="00750105">
      <w:r>
        <w:separator/>
      </w:r>
    </w:p>
  </w:footnote>
  <w:footnote w:type="continuationSeparator" w:id="0">
    <w:p w:rsidR="00750105" w:rsidRDefault="00750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TkxYjQwMGRkOGE3NTJmYThlZDUxZWJmMWM4ZjEifQ=="/>
  </w:docVars>
  <w:rsids>
    <w:rsidRoot w:val="00F56875"/>
    <w:rsid w:val="000027E9"/>
    <w:rsid w:val="00011DB6"/>
    <w:rsid w:val="000123D0"/>
    <w:rsid w:val="0001398F"/>
    <w:rsid w:val="000202F3"/>
    <w:rsid w:val="00020DD0"/>
    <w:rsid w:val="00033519"/>
    <w:rsid w:val="00034843"/>
    <w:rsid w:val="00045CF9"/>
    <w:rsid w:val="000462CB"/>
    <w:rsid w:val="0004680F"/>
    <w:rsid w:val="0005784F"/>
    <w:rsid w:val="00057FA0"/>
    <w:rsid w:val="00060F4F"/>
    <w:rsid w:val="00061DDB"/>
    <w:rsid w:val="00064218"/>
    <w:rsid w:val="000667F8"/>
    <w:rsid w:val="0007117A"/>
    <w:rsid w:val="00077BA7"/>
    <w:rsid w:val="00090F82"/>
    <w:rsid w:val="000933DE"/>
    <w:rsid w:val="000974EA"/>
    <w:rsid w:val="000B39C9"/>
    <w:rsid w:val="000C5CCA"/>
    <w:rsid w:val="000C5D4B"/>
    <w:rsid w:val="000D44AF"/>
    <w:rsid w:val="000E36A6"/>
    <w:rsid w:val="000E38E9"/>
    <w:rsid w:val="000E4156"/>
    <w:rsid w:val="000E6DC3"/>
    <w:rsid w:val="000F3322"/>
    <w:rsid w:val="000F5B4C"/>
    <w:rsid w:val="000F61C1"/>
    <w:rsid w:val="00100AEA"/>
    <w:rsid w:val="00103D2B"/>
    <w:rsid w:val="00104988"/>
    <w:rsid w:val="00104BEF"/>
    <w:rsid w:val="00104EDD"/>
    <w:rsid w:val="00111869"/>
    <w:rsid w:val="00115408"/>
    <w:rsid w:val="0011790F"/>
    <w:rsid w:val="00117A2F"/>
    <w:rsid w:val="00117AFE"/>
    <w:rsid w:val="00117EBE"/>
    <w:rsid w:val="00125072"/>
    <w:rsid w:val="00125BDD"/>
    <w:rsid w:val="001311CD"/>
    <w:rsid w:val="00142FB7"/>
    <w:rsid w:val="00163552"/>
    <w:rsid w:val="00164348"/>
    <w:rsid w:val="001740B0"/>
    <w:rsid w:val="00181E48"/>
    <w:rsid w:val="0018222D"/>
    <w:rsid w:val="001823D0"/>
    <w:rsid w:val="00186933"/>
    <w:rsid w:val="00187548"/>
    <w:rsid w:val="001912E7"/>
    <w:rsid w:val="00191A7B"/>
    <w:rsid w:val="0019334D"/>
    <w:rsid w:val="00194D71"/>
    <w:rsid w:val="00194FD3"/>
    <w:rsid w:val="001A1960"/>
    <w:rsid w:val="001A5C8B"/>
    <w:rsid w:val="001A63D0"/>
    <w:rsid w:val="001A6B77"/>
    <w:rsid w:val="001A7915"/>
    <w:rsid w:val="001B030F"/>
    <w:rsid w:val="001B6C1E"/>
    <w:rsid w:val="001B7D56"/>
    <w:rsid w:val="001C2DB5"/>
    <w:rsid w:val="001C61FD"/>
    <w:rsid w:val="001C70C2"/>
    <w:rsid w:val="001C73B9"/>
    <w:rsid w:val="001D01F1"/>
    <w:rsid w:val="001D2E23"/>
    <w:rsid w:val="001D5E94"/>
    <w:rsid w:val="001F0CAC"/>
    <w:rsid w:val="001F1CB2"/>
    <w:rsid w:val="001F2658"/>
    <w:rsid w:val="001F4586"/>
    <w:rsid w:val="002000CC"/>
    <w:rsid w:val="0020105E"/>
    <w:rsid w:val="0020497E"/>
    <w:rsid w:val="00205611"/>
    <w:rsid w:val="002132D7"/>
    <w:rsid w:val="002166F3"/>
    <w:rsid w:val="00225F3B"/>
    <w:rsid w:val="002266B1"/>
    <w:rsid w:val="00233E57"/>
    <w:rsid w:val="002342D7"/>
    <w:rsid w:val="002348E3"/>
    <w:rsid w:val="00243DFE"/>
    <w:rsid w:val="002444C1"/>
    <w:rsid w:val="002464C5"/>
    <w:rsid w:val="0025216F"/>
    <w:rsid w:val="002631B6"/>
    <w:rsid w:val="00265AC7"/>
    <w:rsid w:val="002848DB"/>
    <w:rsid w:val="00284F22"/>
    <w:rsid w:val="00287741"/>
    <w:rsid w:val="002904C9"/>
    <w:rsid w:val="002907BE"/>
    <w:rsid w:val="00293728"/>
    <w:rsid w:val="0029482F"/>
    <w:rsid w:val="002A004D"/>
    <w:rsid w:val="002A3A5C"/>
    <w:rsid w:val="002A7465"/>
    <w:rsid w:val="002B1296"/>
    <w:rsid w:val="002C5544"/>
    <w:rsid w:val="002C67D6"/>
    <w:rsid w:val="002C6DE4"/>
    <w:rsid w:val="002D3658"/>
    <w:rsid w:val="002D7A0B"/>
    <w:rsid w:val="002E0C48"/>
    <w:rsid w:val="002E1820"/>
    <w:rsid w:val="002E28B9"/>
    <w:rsid w:val="002E79CD"/>
    <w:rsid w:val="002F06F7"/>
    <w:rsid w:val="002F0CD4"/>
    <w:rsid w:val="002F3AA9"/>
    <w:rsid w:val="002F43E7"/>
    <w:rsid w:val="002F4682"/>
    <w:rsid w:val="002F57E1"/>
    <w:rsid w:val="002F6908"/>
    <w:rsid w:val="002F7711"/>
    <w:rsid w:val="00302D8D"/>
    <w:rsid w:val="003040CE"/>
    <w:rsid w:val="003145BD"/>
    <w:rsid w:val="00315CCE"/>
    <w:rsid w:val="00321D31"/>
    <w:rsid w:val="003224C9"/>
    <w:rsid w:val="00327959"/>
    <w:rsid w:val="00327BD3"/>
    <w:rsid w:val="00330F3E"/>
    <w:rsid w:val="00332280"/>
    <w:rsid w:val="00342B29"/>
    <w:rsid w:val="00343834"/>
    <w:rsid w:val="003503CB"/>
    <w:rsid w:val="00350AC0"/>
    <w:rsid w:val="00351D39"/>
    <w:rsid w:val="0036043D"/>
    <w:rsid w:val="00361BDD"/>
    <w:rsid w:val="00363B34"/>
    <w:rsid w:val="003642C5"/>
    <w:rsid w:val="00370D21"/>
    <w:rsid w:val="00375C4C"/>
    <w:rsid w:val="00383225"/>
    <w:rsid w:val="0038388D"/>
    <w:rsid w:val="0038669A"/>
    <w:rsid w:val="003869BE"/>
    <w:rsid w:val="00391691"/>
    <w:rsid w:val="00391903"/>
    <w:rsid w:val="0039611D"/>
    <w:rsid w:val="003961A3"/>
    <w:rsid w:val="00396FB6"/>
    <w:rsid w:val="003A01BD"/>
    <w:rsid w:val="003A0CEE"/>
    <w:rsid w:val="003B18E3"/>
    <w:rsid w:val="003C07CF"/>
    <w:rsid w:val="003C7EE6"/>
    <w:rsid w:val="003D333D"/>
    <w:rsid w:val="003E40E4"/>
    <w:rsid w:val="003E4F90"/>
    <w:rsid w:val="003F3A58"/>
    <w:rsid w:val="003F57BF"/>
    <w:rsid w:val="00400868"/>
    <w:rsid w:val="0040187D"/>
    <w:rsid w:val="00406EF0"/>
    <w:rsid w:val="00410BEC"/>
    <w:rsid w:val="004141EF"/>
    <w:rsid w:val="0042565D"/>
    <w:rsid w:val="00425B27"/>
    <w:rsid w:val="004265A7"/>
    <w:rsid w:val="0042775F"/>
    <w:rsid w:val="0043406B"/>
    <w:rsid w:val="004413E9"/>
    <w:rsid w:val="0044202D"/>
    <w:rsid w:val="00443E08"/>
    <w:rsid w:val="00445DC5"/>
    <w:rsid w:val="0044692C"/>
    <w:rsid w:val="00451AD3"/>
    <w:rsid w:val="00453449"/>
    <w:rsid w:val="0045678C"/>
    <w:rsid w:val="00456D4F"/>
    <w:rsid w:val="0045747D"/>
    <w:rsid w:val="004609C2"/>
    <w:rsid w:val="00461B44"/>
    <w:rsid w:val="00463921"/>
    <w:rsid w:val="00464C88"/>
    <w:rsid w:val="00465C55"/>
    <w:rsid w:val="00467E7B"/>
    <w:rsid w:val="00475166"/>
    <w:rsid w:val="004752D5"/>
    <w:rsid w:val="004769D0"/>
    <w:rsid w:val="0048193E"/>
    <w:rsid w:val="00481A2D"/>
    <w:rsid w:val="00483E83"/>
    <w:rsid w:val="004A704E"/>
    <w:rsid w:val="004B1F0E"/>
    <w:rsid w:val="004B6E0C"/>
    <w:rsid w:val="004B78B0"/>
    <w:rsid w:val="004C3802"/>
    <w:rsid w:val="004C3CA4"/>
    <w:rsid w:val="004D2400"/>
    <w:rsid w:val="004F03A2"/>
    <w:rsid w:val="004F25FF"/>
    <w:rsid w:val="004F37DF"/>
    <w:rsid w:val="00501179"/>
    <w:rsid w:val="005113B6"/>
    <w:rsid w:val="00521B9E"/>
    <w:rsid w:val="005254DC"/>
    <w:rsid w:val="00525E15"/>
    <w:rsid w:val="00532F37"/>
    <w:rsid w:val="00535030"/>
    <w:rsid w:val="00537EB5"/>
    <w:rsid w:val="00540E89"/>
    <w:rsid w:val="005510D3"/>
    <w:rsid w:val="00553892"/>
    <w:rsid w:val="0056041B"/>
    <w:rsid w:val="005665DE"/>
    <w:rsid w:val="00576D0E"/>
    <w:rsid w:val="00583C8D"/>
    <w:rsid w:val="0058516F"/>
    <w:rsid w:val="00585F50"/>
    <w:rsid w:val="00587CA2"/>
    <w:rsid w:val="00592395"/>
    <w:rsid w:val="005A01C6"/>
    <w:rsid w:val="005A6366"/>
    <w:rsid w:val="005B2172"/>
    <w:rsid w:val="005B25D3"/>
    <w:rsid w:val="005B4A97"/>
    <w:rsid w:val="005B7DD5"/>
    <w:rsid w:val="005C52AC"/>
    <w:rsid w:val="005D1F78"/>
    <w:rsid w:val="005D4776"/>
    <w:rsid w:val="005E0D16"/>
    <w:rsid w:val="005E53CC"/>
    <w:rsid w:val="005F2F41"/>
    <w:rsid w:val="00601C70"/>
    <w:rsid w:val="006064BC"/>
    <w:rsid w:val="006101A7"/>
    <w:rsid w:val="00610370"/>
    <w:rsid w:val="00621347"/>
    <w:rsid w:val="00621C60"/>
    <w:rsid w:val="00624C23"/>
    <w:rsid w:val="00624FCD"/>
    <w:rsid w:val="00626951"/>
    <w:rsid w:val="00635628"/>
    <w:rsid w:val="00635732"/>
    <w:rsid w:val="00641A6D"/>
    <w:rsid w:val="006508CF"/>
    <w:rsid w:val="00656449"/>
    <w:rsid w:val="006613DD"/>
    <w:rsid w:val="0067212C"/>
    <w:rsid w:val="00672CFA"/>
    <w:rsid w:val="006731D3"/>
    <w:rsid w:val="006744DE"/>
    <w:rsid w:val="0067700B"/>
    <w:rsid w:val="0068101F"/>
    <w:rsid w:val="0068306F"/>
    <w:rsid w:val="006878B5"/>
    <w:rsid w:val="00692EA7"/>
    <w:rsid w:val="00695E21"/>
    <w:rsid w:val="006A1249"/>
    <w:rsid w:val="006A145A"/>
    <w:rsid w:val="006A4527"/>
    <w:rsid w:val="006A693A"/>
    <w:rsid w:val="006B2199"/>
    <w:rsid w:val="006C0C79"/>
    <w:rsid w:val="006C0F8B"/>
    <w:rsid w:val="006D02B9"/>
    <w:rsid w:val="006D1F2A"/>
    <w:rsid w:val="006D43DF"/>
    <w:rsid w:val="006D57C3"/>
    <w:rsid w:val="006F08DF"/>
    <w:rsid w:val="00713A5F"/>
    <w:rsid w:val="00713FA1"/>
    <w:rsid w:val="00714B8C"/>
    <w:rsid w:val="007219E4"/>
    <w:rsid w:val="00722DC8"/>
    <w:rsid w:val="007236AC"/>
    <w:rsid w:val="007336C3"/>
    <w:rsid w:val="00744F3E"/>
    <w:rsid w:val="00745550"/>
    <w:rsid w:val="0074668D"/>
    <w:rsid w:val="00750105"/>
    <w:rsid w:val="00752626"/>
    <w:rsid w:val="00754DF3"/>
    <w:rsid w:val="00766222"/>
    <w:rsid w:val="00767B87"/>
    <w:rsid w:val="00781F78"/>
    <w:rsid w:val="00787B01"/>
    <w:rsid w:val="00791210"/>
    <w:rsid w:val="007933AB"/>
    <w:rsid w:val="007A024B"/>
    <w:rsid w:val="007A1E0E"/>
    <w:rsid w:val="007A47D7"/>
    <w:rsid w:val="007A6CD2"/>
    <w:rsid w:val="007A7D0B"/>
    <w:rsid w:val="007A7E14"/>
    <w:rsid w:val="007B46B0"/>
    <w:rsid w:val="007B77EC"/>
    <w:rsid w:val="007B7F92"/>
    <w:rsid w:val="007C371A"/>
    <w:rsid w:val="007C4B7F"/>
    <w:rsid w:val="007C5631"/>
    <w:rsid w:val="007E6877"/>
    <w:rsid w:val="007F076F"/>
    <w:rsid w:val="007F181F"/>
    <w:rsid w:val="0080003A"/>
    <w:rsid w:val="00802934"/>
    <w:rsid w:val="00805BBA"/>
    <w:rsid w:val="00807D8B"/>
    <w:rsid w:val="00812669"/>
    <w:rsid w:val="00813005"/>
    <w:rsid w:val="00813EDC"/>
    <w:rsid w:val="00815579"/>
    <w:rsid w:val="0083070E"/>
    <w:rsid w:val="00831384"/>
    <w:rsid w:val="00833640"/>
    <w:rsid w:val="00836675"/>
    <w:rsid w:val="0083730E"/>
    <w:rsid w:val="008410BD"/>
    <w:rsid w:val="00844128"/>
    <w:rsid w:val="00844C0D"/>
    <w:rsid w:val="00845983"/>
    <w:rsid w:val="0084614C"/>
    <w:rsid w:val="00847392"/>
    <w:rsid w:val="008569FC"/>
    <w:rsid w:val="00857053"/>
    <w:rsid w:val="0085712A"/>
    <w:rsid w:val="00857CA2"/>
    <w:rsid w:val="008709F3"/>
    <w:rsid w:val="0087119C"/>
    <w:rsid w:val="0088336D"/>
    <w:rsid w:val="00893BEB"/>
    <w:rsid w:val="0089423D"/>
    <w:rsid w:val="008A52A0"/>
    <w:rsid w:val="008B2C1F"/>
    <w:rsid w:val="008B5365"/>
    <w:rsid w:val="008C445C"/>
    <w:rsid w:val="008C5671"/>
    <w:rsid w:val="008D0115"/>
    <w:rsid w:val="008E1F7A"/>
    <w:rsid w:val="008E22A4"/>
    <w:rsid w:val="008E604B"/>
    <w:rsid w:val="008F19CE"/>
    <w:rsid w:val="008F6E74"/>
    <w:rsid w:val="008F6EC2"/>
    <w:rsid w:val="008F740A"/>
    <w:rsid w:val="00900435"/>
    <w:rsid w:val="00901B1C"/>
    <w:rsid w:val="00912D0C"/>
    <w:rsid w:val="0091444F"/>
    <w:rsid w:val="00920833"/>
    <w:rsid w:val="00923753"/>
    <w:rsid w:val="00927051"/>
    <w:rsid w:val="00930B0F"/>
    <w:rsid w:val="00934DDE"/>
    <w:rsid w:val="00937EC9"/>
    <w:rsid w:val="00940A97"/>
    <w:rsid w:val="0094377D"/>
    <w:rsid w:val="009550B0"/>
    <w:rsid w:val="009574CF"/>
    <w:rsid w:val="00963945"/>
    <w:rsid w:val="0096476E"/>
    <w:rsid w:val="00966AA3"/>
    <w:rsid w:val="00966C1B"/>
    <w:rsid w:val="00967A9D"/>
    <w:rsid w:val="00970976"/>
    <w:rsid w:val="0097333C"/>
    <w:rsid w:val="00974A49"/>
    <w:rsid w:val="009754DE"/>
    <w:rsid w:val="009760A8"/>
    <w:rsid w:val="00977233"/>
    <w:rsid w:val="00980D1F"/>
    <w:rsid w:val="00980D96"/>
    <w:rsid w:val="00981DF3"/>
    <w:rsid w:val="00984FF0"/>
    <w:rsid w:val="00985894"/>
    <w:rsid w:val="009859C4"/>
    <w:rsid w:val="00986FC5"/>
    <w:rsid w:val="00987555"/>
    <w:rsid w:val="00996510"/>
    <w:rsid w:val="00996B46"/>
    <w:rsid w:val="009A070A"/>
    <w:rsid w:val="009A1F9E"/>
    <w:rsid w:val="009A282A"/>
    <w:rsid w:val="009A4D25"/>
    <w:rsid w:val="009A6BFF"/>
    <w:rsid w:val="009A74F5"/>
    <w:rsid w:val="009B5166"/>
    <w:rsid w:val="009B65FD"/>
    <w:rsid w:val="009B6652"/>
    <w:rsid w:val="009B716B"/>
    <w:rsid w:val="009C24F1"/>
    <w:rsid w:val="009D1642"/>
    <w:rsid w:val="009D19F1"/>
    <w:rsid w:val="009D4220"/>
    <w:rsid w:val="009D65AF"/>
    <w:rsid w:val="009D779B"/>
    <w:rsid w:val="009E5393"/>
    <w:rsid w:val="009E60E4"/>
    <w:rsid w:val="009F65E7"/>
    <w:rsid w:val="00A0045E"/>
    <w:rsid w:val="00A005CA"/>
    <w:rsid w:val="00A03FCF"/>
    <w:rsid w:val="00A05F21"/>
    <w:rsid w:val="00A1529B"/>
    <w:rsid w:val="00A22676"/>
    <w:rsid w:val="00A232FA"/>
    <w:rsid w:val="00A26DA2"/>
    <w:rsid w:val="00A30FE7"/>
    <w:rsid w:val="00A323F0"/>
    <w:rsid w:val="00A34DA4"/>
    <w:rsid w:val="00A3547A"/>
    <w:rsid w:val="00A35C57"/>
    <w:rsid w:val="00A4079D"/>
    <w:rsid w:val="00A4096E"/>
    <w:rsid w:val="00A419CC"/>
    <w:rsid w:val="00A46BD4"/>
    <w:rsid w:val="00A517CA"/>
    <w:rsid w:val="00A53333"/>
    <w:rsid w:val="00A5336E"/>
    <w:rsid w:val="00A53839"/>
    <w:rsid w:val="00A61893"/>
    <w:rsid w:val="00A65D13"/>
    <w:rsid w:val="00A66946"/>
    <w:rsid w:val="00A74FB6"/>
    <w:rsid w:val="00A75B56"/>
    <w:rsid w:val="00A76EB5"/>
    <w:rsid w:val="00A7758D"/>
    <w:rsid w:val="00A80518"/>
    <w:rsid w:val="00A81274"/>
    <w:rsid w:val="00AA1545"/>
    <w:rsid w:val="00AA543C"/>
    <w:rsid w:val="00AB0D2D"/>
    <w:rsid w:val="00AB28AD"/>
    <w:rsid w:val="00AB3652"/>
    <w:rsid w:val="00AB5BD5"/>
    <w:rsid w:val="00AB6402"/>
    <w:rsid w:val="00AC1C27"/>
    <w:rsid w:val="00AC243B"/>
    <w:rsid w:val="00AC367B"/>
    <w:rsid w:val="00AC41E3"/>
    <w:rsid w:val="00AC4BDF"/>
    <w:rsid w:val="00AC4FDB"/>
    <w:rsid w:val="00AC5075"/>
    <w:rsid w:val="00AC56DE"/>
    <w:rsid w:val="00AD0957"/>
    <w:rsid w:val="00AD0E26"/>
    <w:rsid w:val="00AD1877"/>
    <w:rsid w:val="00AF153D"/>
    <w:rsid w:val="00AF15A5"/>
    <w:rsid w:val="00AF35B6"/>
    <w:rsid w:val="00AF4061"/>
    <w:rsid w:val="00AF6E2E"/>
    <w:rsid w:val="00B076F1"/>
    <w:rsid w:val="00B07F68"/>
    <w:rsid w:val="00B100FC"/>
    <w:rsid w:val="00B11C72"/>
    <w:rsid w:val="00B14180"/>
    <w:rsid w:val="00B1485F"/>
    <w:rsid w:val="00B1536C"/>
    <w:rsid w:val="00B20303"/>
    <w:rsid w:val="00B31392"/>
    <w:rsid w:val="00B3433E"/>
    <w:rsid w:val="00B40AB6"/>
    <w:rsid w:val="00B46AA2"/>
    <w:rsid w:val="00B47B0D"/>
    <w:rsid w:val="00B523D9"/>
    <w:rsid w:val="00B53F43"/>
    <w:rsid w:val="00B55B06"/>
    <w:rsid w:val="00B56591"/>
    <w:rsid w:val="00B56CF7"/>
    <w:rsid w:val="00B67547"/>
    <w:rsid w:val="00B850E0"/>
    <w:rsid w:val="00B92B6B"/>
    <w:rsid w:val="00B94AE0"/>
    <w:rsid w:val="00B94DD1"/>
    <w:rsid w:val="00B96A68"/>
    <w:rsid w:val="00B97826"/>
    <w:rsid w:val="00BA72B8"/>
    <w:rsid w:val="00BA7CFA"/>
    <w:rsid w:val="00BB0ECC"/>
    <w:rsid w:val="00BB3CC4"/>
    <w:rsid w:val="00BC0883"/>
    <w:rsid w:val="00BC35FF"/>
    <w:rsid w:val="00BC4F34"/>
    <w:rsid w:val="00BD0120"/>
    <w:rsid w:val="00BD18C1"/>
    <w:rsid w:val="00BD30AA"/>
    <w:rsid w:val="00BD66CC"/>
    <w:rsid w:val="00BE1FBD"/>
    <w:rsid w:val="00BE24C5"/>
    <w:rsid w:val="00BF552E"/>
    <w:rsid w:val="00C006E3"/>
    <w:rsid w:val="00C00B6E"/>
    <w:rsid w:val="00C02767"/>
    <w:rsid w:val="00C07326"/>
    <w:rsid w:val="00C1184D"/>
    <w:rsid w:val="00C13CC9"/>
    <w:rsid w:val="00C15AE7"/>
    <w:rsid w:val="00C23E0E"/>
    <w:rsid w:val="00C27BCE"/>
    <w:rsid w:val="00C35D71"/>
    <w:rsid w:val="00C379CF"/>
    <w:rsid w:val="00C403ED"/>
    <w:rsid w:val="00C40D13"/>
    <w:rsid w:val="00C54092"/>
    <w:rsid w:val="00C54BEC"/>
    <w:rsid w:val="00C571CA"/>
    <w:rsid w:val="00C62C5C"/>
    <w:rsid w:val="00C6341A"/>
    <w:rsid w:val="00C7114D"/>
    <w:rsid w:val="00C761A6"/>
    <w:rsid w:val="00C807C8"/>
    <w:rsid w:val="00C838DF"/>
    <w:rsid w:val="00C86091"/>
    <w:rsid w:val="00C866F7"/>
    <w:rsid w:val="00C8733E"/>
    <w:rsid w:val="00C95798"/>
    <w:rsid w:val="00CA064D"/>
    <w:rsid w:val="00CA7E18"/>
    <w:rsid w:val="00CB2DED"/>
    <w:rsid w:val="00CC34C2"/>
    <w:rsid w:val="00CC6774"/>
    <w:rsid w:val="00CC686B"/>
    <w:rsid w:val="00CC6D8B"/>
    <w:rsid w:val="00CD1328"/>
    <w:rsid w:val="00CD195C"/>
    <w:rsid w:val="00CD1D81"/>
    <w:rsid w:val="00CE3A84"/>
    <w:rsid w:val="00CF221A"/>
    <w:rsid w:val="00CF393F"/>
    <w:rsid w:val="00D10EF6"/>
    <w:rsid w:val="00D121DA"/>
    <w:rsid w:val="00D1294B"/>
    <w:rsid w:val="00D239FB"/>
    <w:rsid w:val="00D26115"/>
    <w:rsid w:val="00D30420"/>
    <w:rsid w:val="00D322A5"/>
    <w:rsid w:val="00D346B5"/>
    <w:rsid w:val="00D35B5A"/>
    <w:rsid w:val="00D3765E"/>
    <w:rsid w:val="00D37A13"/>
    <w:rsid w:val="00D41866"/>
    <w:rsid w:val="00D54692"/>
    <w:rsid w:val="00D60534"/>
    <w:rsid w:val="00D61D9D"/>
    <w:rsid w:val="00D66BFC"/>
    <w:rsid w:val="00D67AE4"/>
    <w:rsid w:val="00D737C7"/>
    <w:rsid w:val="00D75EF0"/>
    <w:rsid w:val="00D764E1"/>
    <w:rsid w:val="00D84FB6"/>
    <w:rsid w:val="00D8515D"/>
    <w:rsid w:val="00D867B1"/>
    <w:rsid w:val="00D96ECC"/>
    <w:rsid w:val="00DA1E72"/>
    <w:rsid w:val="00DA28B8"/>
    <w:rsid w:val="00DA520A"/>
    <w:rsid w:val="00DA56AD"/>
    <w:rsid w:val="00DB25AE"/>
    <w:rsid w:val="00DC07F0"/>
    <w:rsid w:val="00DC1C0F"/>
    <w:rsid w:val="00DC6EF8"/>
    <w:rsid w:val="00DD1906"/>
    <w:rsid w:val="00DD4349"/>
    <w:rsid w:val="00DD557E"/>
    <w:rsid w:val="00DE480F"/>
    <w:rsid w:val="00DF72B4"/>
    <w:rsid w:val="00DF7ADD"/>
    <w:rsid w:val="00E04C73"/>
    <w:rsid w:val="00E14D39"/>
    <w:rsid w:val="00E14FF6"/>
    <w:rsid w:val="00E16090"/>
    <w:rsid w:val="00E161AA"/>
    <w:rsid w:val="00E179FD"/>
    <w:rsid w:val="00E23705"/>
    <w:rsid w:val="00E240EA"/>
    <w:rsid w:val="00E316EE"/>
    <w:rsid w:val="00E34C21"/>
    <w:rsid w:val="00E3517F"/>
    <w:rsid w:val="00E36255"/>
    <w:rsid w:val="00E42103"/>
    <w:rsid w:val="00E42FF1"/>
    <w:rsid w:val="00E43B8A"/>
    <w:rsid w:val="00E5372A"/>
    <w:rsid w:val="00E5495B"/>
    <w:rsid w:val="00E6083C"/>
    <w:rsid w:val="00E611BD"/>
    <w:rsid w:val="00E74329"/>
    <w:rsid w:val="00E75AD6"/>
    <w:rsid w:val="00E75EB6"/>
    <w:rsid w:val="00E767E2"/>
    <w:rsid w:val="00E960F5"/>
    <w:rsid w:val="00EA4627"/>
    <w:rsid w:val="00EB4133"/>
    <w:rsid w:val="00EB46B3"/>
    <w:rsid w:val="00EB52F6"/>
    <w:rsid w:val="00EB64E0"/>
    <w:rsid w:val="00EC05C7"/>
    <w:rsid w:val="00EC20E9"/>
    <w:rsid w:val="00EC4617"/>
    <w:rsid w:val="00EC4CB4"/>
    <w:rsid w:val="00EC6554"/>
    <w:rsid w:val="00EC6EA4"/>
    <w:rsid w:val="00ED775D"/>
    <w:rsid w:val="00EE270F"/>
    <w:rsid w:val="00EE2E83"/>
    <w:rsid w:val="00EF179C"/>
    <w:rsid w:val="00EF2CB9"/>
    <w:rsid w:val="00EF2D52"/>
    <w:rsid w:val="00EF559B"/>
    <w:rsid w:val="00EF7C87"/>
    <w:rsid w:val="00F04478"/>
    <w:rsid w:val="00F058BE"/>
    <w:rsid w:val="00F12071"/>
    <w:rsid w:val="00F15BE5"/>
    <w:rsid w:val="00F15DF3"/>
    <w:rsid w:val="00F162AF"/>
    <w:rsid w:val="00F174DE"/>
    <w:rsid w:val="00F209B6"/>
    <w:rsid w:val="00F44CDF"/>
    <w:rsid w:val="00F47057"/>
    <w:rsid w:val="00F47102"/>
    <w:rsid w:val="00F471F3"/>
    <w:rsid w:val="00F5152C"/>
    <w:rsid w:val="00F52580"/>
    <w:rsid w:val="00F5618A"/>
    <w:rsid w:val="00F56875"/>
    <w:rsid w:val="00F640B5"/>
    <w:rsid w:val="00F661AF"/>
    <w:rsid w:val="00F70759"/>
    <w:rsid w:val="00F7456D"/>
    <w:rsid w:val="00F75F9A"/>
    <w:rsid w:val="00F7645A"/>
    <w:rsid w:val="00F768EB"/>
    <w:rsid w:val="00F818DB"/>
    <w:rsid w:val="00F825C1"/>
    <w:rsid w:val="00F82BD4"/>
    <w:rsid w:val="00F851CC"/>
    <w:rsid w:val="00F8639E"/>
    <w:rsid w:val="00F87841"/>
    <w:rsid w:val="00F90842"/>
    <w:rsid w:val="00FA0C37"/>
    <w:rsid w:val="00FA447B"/>
    <w:rsid w:val="00FB2B7F"/>
    <w:rsid w:val="00FB6AC2"/>
    <w:rsid w:val="00FC0468"/>
    <w:rsid w:val="00FC0C9B"/>
    <w:rsid w:val="00FC1B65"/>
    <w:rsid w:val="00FC26EF"/>
    <w:rsid w:val="00FC37D9"/>
    <w:rsid w:val="00FC7419"/>
    <w:rsid w:val="00FD2644"/>
    <w:rsid w:val="00FD531C"/>
    <w:rsid w:val="00FD6553"/>
    <w:rsid w:val="00FD72C0"/>
    <w:rsid w:val="00FE1EFE"/>
    <w:rsid w:val="00FE6C25"/>
    <w:rsid w:val="00FF5717"/>
    <w:rsid w:val="12334F0B"/>
    <w:rsid w:val="37AC6F6A"/>
    <w:rsid w:val="456A0211"/>
    <w:rsid w:val="508D15EC"/>
    <w:rsid w:val="55C64BB3"/>
    <w:rsid w:val="666F2010"/>
    <w:rsid w:val="767F9015"/>
    <w:rsid w:val="7D4670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64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pPr>
      <w:keepNext/>
      <w:keepLines/>
      <w:ind w:firstLine="200"/>
      <w:outlineLvl w:val="0"/>
    </w:pPr>
    <w:rPr>
      <w:rFonts w:eastAsia="黑体"/>
      <w:bCs/>
      <w:kern w:val="44"/>
      <w:szCs w:val="44"/>
    </w:rPr>
  </w:style>
  <w:style w:type="paragraph" w:styleId="2">
    <w:name w:val="heading 2"/>
    <w:basedOn w:val="a"/>
    <w:next w:val="a"/>
    <w:link w:val="2Char"/>
    <w:uiPriority w:val="9"/>
    <w:unhideWhenUsed/>
    <w:qFormat/>
    <w:pPr>
      <w:keepNext/>
      <w:keepLines/>
      <w:ind w:firstLine="200"/>
      <w:outlineLvl w:val="1"/>
    </w:pPr>
    <w:rPr>
      <w:rFonts w:ascii="楷体_GB2312" w:eastAsia="楷体_GB2312" w:hAnsi="楷体_GB2312"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pacing w:line="240" w:lineRule="auto"/>
    </w:pPr>
  </w:style>
  <w:style w:type="paragraph" w:styleId="a5">
    <w:name w:val="header"/>
    <w:basedOn w:val="a"/>
    <w:link w:val="Char1"/>
    <w:uiPriority w:val="99"/>
    <w:unhideWhenUsed/>
    <w:qFormat/>
    <w:pPr>
      <w:tabs>
        <w:tab w:val="center" w:pos="4153"/>
        <w:tab w:val="right" w:pos="8306"/>
      </w:tabs>
      <w:spacing w:line="240" w:lineRule="auto"/>
    </w:p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Times New Roman" w:eastAsia="黑体" w:hAnsi="Times New Roman" w:cs="Times New Roman"/>
      <w:bCs/>
      <w:kern w:val="44"/>
      <w:sz w:val="32"/>
      <w:szCs w:val="44"/>
      <w:lang w:val="en-US"/>
    </w:rPr>
  </w:style>
  <w:style w:type="character" w:customStyle="1" w:styleId="2Char">
    <w:name w:val="标题 2 Char"/>
    <w:basedOn w:val="a0"/>
    <w:link w:val="2"/>
    <w:uiPriority w:val="9"/>
    <w:qFormat/>
    <w:rPr>
      <w:rFonts w:ascii="楷体_GB2312" w:eastAsia="楷体_GB2312" w:hAnsi="楷体_GB2312" w:cstheme="majorBidi"/>
      <w:b/>
      <w:bCs/>
      <w:kern w:val="2"/>
      <w:sz w:val="32"/>
      <w:szCs w:val="32"/>
      <w:lang w:val="en-US"/>
    </w:rPr>
  </w:style>
  <w:style w:type="character" w:customStyle="1" w:styleId="Char1">
    <w:name w:val="页眉 Char"/>
    <w:basedOn w:val="a0"/>
    <w:link w:val="a5"/>
    <w:uiPriority w:val="99"/>
    <w:qFormat/>
    <w:rPr>
      <w:rFonts w:ascii="Times New Roman" w:eastAsia="仿宋_GB2312" w:hAnsi="Times New Roman" w:cs="Times New Roman"/>
      <w:kern w:val="2"/>
      <w:sz w:val="32"/>
      <w:szCs w:val="24"/>
      <w:lang w:val="en-US"/>
    </w:rPr>
  </w:style>
  <w:style w:type="character" w:customStyle="1" w:styleId="Char0">
    <w:name w:val="页脚 Char"/>
    <w:basedOn w:val="a0"/>
    <w:link w:val="a4"/>
    <w:uiPriority w:val="99"/>
    <w:qFormat/>
    <w:rPr>
      <w:rFonts w:ascii="Times New Roman" w:eastAsia="仿宋_GB2312" w:hAnsi="Times New Roman" w:cs="Times New Roman"/>
      <w:kern w:val="2"/>
      <w:sz w:val="32"/>
      <w:szCs w:val="24"/>
      <w:lang w:val="en-US"/>
    </w:rPr>
  </w:style>
  <w:style w:type="paragraph" w:styleId="a8">
    <w:name w:val="List Paragraph"/>
    <w:basedOn w:val="a"/>
    <w:uiPriority w:val="34"/>
    <w:qFormat/>
    <w:pPr>
      <w:ind w:left="720"/>
      <w:contextualSpacing/>
    </w:p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lang w:val="en-US"/>
    </w:rPr>
  </w:style>
  <w:style w:type="character" w:customStyle="1" w:styleId="Char2">
    <w:name w:val="批注主题 Char"/>
    <w:basedOn w:val="Char"/>
    <w:link w:val="a6"/>
    <w:uiPriority w:val="99"/>
    <w:semiHidden/>
    <w:qFormat/>
    <w:rPr>
      <w:rFonts w:ascii="Times New Roman" w:eastAsia="仿宋_GB2312" w:hAnsi="Times New Roman" w:cs="Times New Roman"/>
      <w:b/>
      <w:bCs/>
      <w:kern w:val="2"/>
      <w:sz w:val="32"/>
      <w:szCs w:val="24"/>
      <w:lang w:val="en-US"/>
    </w:rPr>
  </w:style>
  <w:style w:type="paragraph" w:customStyle="1" w:styleId="10">
    <w:name w:val="修订1"/>
    <w:hidden/>
    <w:uiPriority w:val="99"/>
    <w:semiHidden/>
    <w:qFormat/>
    <w:rPr>
      <w:rFonts w:ascii="Times New Roman" w:eastAsia="仿宋_GB2312" w:hAnsi="Times New Roman" w:cs="Times New Roman"/>
      <w:kern w:val="2"/>
      <w:sz w:val="32"/>
      <w:szCs w:val="24"/>
    </w:rPr>
  </w:style>
  <w:style w:type="paragraph" w:customStyle="1" w:styleId="20">
    <w:name w:val="修订2"/>
    <w:hidden/>
    <w:uiPriority w:val="99"/>
    <w:semiHidden/>
    <w:qFormat/>
    <w:rPr>
      <w:rFonts w:ascii="Times New Roman" w:eastAsia="仿宋_GB2312" w:hAnsi="Times New Roman" w:cs="Times New Roman"/>
      <w:kern w:val="2"/>
      <w:sz w:val="32"/>
      <w:szCs w:val="24"/>
    </w:rPr>
  </w:style>
  <w:style w:type="paragraph" w:styleId="a9">
    <w:name w:val="Balloon Text"/>
    <w:basedOn w:val="a"/>
    <w:link w:val="Char3"/>
    <w:uiPriority w:val="99"/>
    <w:semiHidden/>
    <w:unhideWhenUsed/>
    <w:rsid w:val="00115408"/>
    <w:pPr>
      <w:spacing w:line="240" w:lineRule="auto"/>
    </w:pPr>
    <w:rPr>
      <w:sz w:val="18"/>
      <w:szCs w:val="18"/>
    </w:rPr>
  </w:style>
  <w:style w:type="character" w:customStyle="1" w:styleId="Char3">
    <w:name w:val="批注框文本 Char"/>
    <w:basedOn w:val="a0"/>
    <w:link w:val="a9"/>
    <w:uiPriority w:val="99"/>
    <w:semiHidden/>
    <w:rsid w:val="00115408"/>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64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pPr>
      <w:keepNext/>
      <w:keepLines/>
      <w:ind w:firstLine="200"/>
      <w:outlineLvl w:val="0"/>
    </w:pPr>
    <w:rPr>
      <w:rFonts w:eastAsia="黑体"/>
      <w:bCs/>
      <w:kern w:val="44"/>
      <w:szCs w:val="44"/>
    </w:rPr>
  </w:style>
  <w:style w:type="paragraph" w:styleId="2">
    <w:name w:val="heading 2"/>
    <w:basedOn w:val="a"/>
    <w:next w:val="a"/>
    <w:link w:val="2Char"/>
    <w:uiPriority w:val="9"/>
    <w:unhideWhenUsed/>
    <w:qFormat/>
    <w:pPr>
      <w:keepNext/>
      <w:keepLines/>
      <w:ind w:firstLine="200"/>
      <w:outlineLvl w:val="1"/>
    </w:pPr>
    <w:rPr>
      <w:rFonts w:ascii="楷体_GB2312" w:eastAsia="楷体_GB2312" w:hAnsi="楷体_GB2312"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pacing w:line="240" w:lineRule="auto"/>
    </w:pPr>
  </w:style>
  <w:style w:type="paragraph" w:styleId="a5">
    <w:name w:val="header"/>
    <w:basedOn w:val="a"/>
    <w:link w:val="Char1"/>
    <w:uiPriority w:val="99"/>
    <w:unhideWhenUsed/>
    <w:qFormat/>
    <w:pPr>
      <w:tabs>
        <w:tab w:val="center" w:pos="4153"/>
        <w:tab w:val="right" w:pos="8306"/>
      </w:tabs>
      <w:spacing w:line="240" w:lineRule="auto"/>
    </w:p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Times New Roman" w:eastAsia="黑体" w:hAnsi="Times New Roman" w:cs="Times New Roman"/>
      <w:bCs/>
      <w:kern w:val="44"/>
      <w:sz w:val="32"/>
      <w:szCs w:val="44"/>
      <w:lang w:val="en-US"/>
    </w:rPr>
  </w:style>
  <w:style w:type="character" w:customStyle="1" w:styleId="2Char">
    <w:name w:val="标题 2 Char"/>
    <w:basedOn w:val="a0"/>
    <w:link w:val="2"/>
    <w:uiPriority w:val="9"/>
    <w:qFormat/>
    <w:rPr>
      <w:rFonts w:ascii="楷体_GB2312" w:eastAsia="楷体_GB2312" w:hAnsi="楷体_GB2312" w:cstheme="majorBidi"/>
      <w:b/>
      <w:bCs/>
      <w:kern w:val="2"/>
      <w:sz w:val="32"/>
      <w:szCs w:val="32"/>
      <w:lang w:val="en-US"/>
    </w:rPr>
  </w:style>
  <w:style w:type="character" w:customStyle="1" w:styleId="Char1">
    <w:name w:val="页眉 Char"/>
    <w:basedOn w:val="a0"/>
    <w:link w:val="a5"/>
    <w:uiPriority w:val="99"/>
    <w:qFormat/>
    <w:rPr>
      <w:rFonts w:ascii="Times New Roman" w:eastAsia="仿宋_GB2312" w:hAnsi="Times New Roman" w:cs="Times New Roman"/>
      <w:kern w:val="2"/>
      <w:sz w:val="32"/>
      <w:szCs w:val="24"/>
      <w:lang w:val="en-US"/>
    </w:rPr>
  </w:style>
  <w:style w:type="character" w:customStyle="1" w:styleId="Char0">
    <w:name w:val="页脚 Char"/>
    <w:basedOn w:val="a0"/>
    <w:link w:val="a4"/>
    <w:uiPriority w:val="99"/>
    <w:qFormat/>
    <w:rPr>
      <w:rFonts w:ascii="Times New Roman" w:eastAsia="仿宋_GB2312" w:hAnsi="Times New Roman" w:cs="Times New Roman"/>
      <w:kern w:val="2"/>
      <w:sz w:val="32"/>
      <w:szCs w:val="24"/>
      <w:lang w:val="en-US"/>
    </w:rPr>
  </w:style>
  <w:style w:type="paragraph" w:styleId="a8">
    <w:name w:val="List Paragraph"/>
    <w:basedOn w:val="a"/>
    <w:uiPriority w:val="34"/>
    <w:qFormat/>
    <w:pPr>
      <w:ind w:left="720"/>
      <w:contextualSpacing/>
    </w:p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lang w:val="en-US"/>
    </w:rPr>
  </w:style>
  <w:style w:type="character" w:customStyle="1" w:styleId="Char2">
    <w:name w:val="批注主题 Char"/>
    <w:basedOn w:val="Char"/>
    <w:link w:val="a6"/>
    <w:uiPriority w:val="99"/>
    <w:semiHidden/>
    <w:qFormat/>
    <w:rPr>
      <w:rFonts w:ascii="Times New Roman" w:eastAsia="仿宋_GB2312" w:hAnsi="Times New Roman" w:cs="Times New Roman"/>
      <w:b/>
      <w:bCs/>
      <w:kern w:val="2"/>
      <w:sz w:val="32"/>
      <w:szCs w:val="24"/>
      <w:lang w:val="en-US"/>
    </w:rPr>
  </w:style>
  <w:style w:type="paragraph" w:customStyle="1" w:styleId="10">
    <w:name w:val="修订1"/>
    <w:hidden/>
    <w:uiPriority w:val="99"/>
    <w:semiHidden/>
    <w:qFormat/>
    <w:rPr>
      <w:rFonts w:ascii="Times New Roman" w:eastAsia="仿宋_GB2312" w:hAnsi="Times New Roman" w:cs="Times New Roman"/>
      <w:kern w:val="2"/>
      <w:sz w:val="32"/>
      <w:szCs w:val="24"/>
    </w:rPr>
  </w:style>
  <w:style w:type="paragraph" w:customStyle="1" w:styleId="20">
    <w:name w:val="修订2"/>
    <w:hidden/>
    <w:uiPriority w:val="99"/>
    <w:semiHidden/>
    <w:qFormat/>
    <w:rPr>
      <w:rFonts w:ascii="Times New Roman" w:eastAsia="仿宋_GB2312" w:hAnsi="Times New Roman" w:cs="Times New Roman"/>
      <w:kern w:val="2"/>
      <w:sz w:val="32"/>
      <w:szCs w:val="24"/>
    </w:rPr>
  </w:style>
  <w:style w:type="paragraph" w:styleId="a9">
    <w:name w:val="Balloon Text"/>
    <w:basedOn w:val="a"/>
    <w:link w:val="Char3"/>
    <w:uiPriority w:val="99"/>
    <w:semiHidden/>
    <w:unhideWhenUsed/>
    <w:rsid w:val="00115408"/>
    <w:pPr>
      <w:spacing w:line="240" w:lineRule="auto"/>
    </w:pPr>
    <w:rPr>
      <w:sz w:val="18"/>
      <w:szCs w:val="18"/>
    </w:rPr>
  </w:style>
  <w:style w:type="character" w:customStyle="1" w:styleId="Char3">
    <w:name w:val="批注框文本 Char"/>
    <w:basedOn w:val="a0"/>
    <w:link w:val="a9"/>
    <w:uiPriority w:val="99"/>
    <w:semiHidden/>
    <w:rsid w:val="00115408"/>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1106</Words>
  <Characters>1517</Characters>
  <Application>Microsoft Office Word</Application>
  <DocSecurity>0</DocSecurity>
  <Lines>758</Lines>
  <Paragraphs>262</Paragraphs>
  <ScaleCrop>false</ScaleCrop>
  <Company>P R C</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Shirley (BJ/DA)</dc:creator>
  <cp:lastModifiedBy>Windows User</cp:lastModifiedBy>
  <cp:revision>34</cp:revision>
  <cp:lastPrinted>2022-08-17T15:10:00Z</cp:lastPrinted>
  <dcterms:created xsi:type="dcterms:W3CDTF">2022-07-26T17:54:00Z</dcterms:created>
  <dcterms:modified xsi:type="dcterms:W3CDTF">2022-10-20T01:57:00Z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8F2055E8071F4CB7A9B004831C311513</vt:lpwstr>
  </property>
</Properties>
</file>