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仿宋_GB2312" w:hAnsi="仿宋_GB2312" w:eastAsia="仿宋_GB2312" w:cs="仿宋_GB2312"/>
          <w:color w:val="auto"/>
          <w:sz w:val="36"/>
          <w:szCs w:val="36"/>
          <w:lang w:val="en-US" w:eastAsia="zh-CN"/>
        </w:rPr>
      </w:pPr>
      <w:bookmarkStart w:id="6" w:name="_GoBack"/>
      <w:r>
        <w:rPr>
          <w:rFonts w:hint="eastAsia" w:ascii="仿宋_GB2312" w:hAnsi="仿宋_GB2312" w:eastAsia="仿宋_GB2312" w:cs="仿宋_GB2312"/>
          <w:color w:val="auto"/>
          <w:sz w:val="36"/>
          <w:szCs w:val="36"/>
          <w:lang w:val="en-US" w:eastAsia="zh-CN"/>
        </w:rPr>
        <w:t xml:space="preserve"> </w:t>
      </w:r>
    </w:p>
    <w:p>
      <w:pPr>
        <w:rPr>
          <w:rFonts w:ascii="仿宋_GB2312" w:hAnsi="仿宋_GB2312" w:eastAsia="仿宋_GB2312" w:cs="仿宋_GB2312"/>
          <w:color w:val="auto"/>
          <w:sz w:val="36"/>
          <w:szCs w:val="36"/>
        </w:rPr>
      </w:pPr>
      <w:r>
        <w:rPr>
          <w:rFonts w:hint="eastAsia" w:ascii="仿宋_GB2312" w:hAnsi="仿宋_GB2312" w:eastAsia="仿宋_GB2312" w:cs="仿宋_GB2312"/>
          <w:color w:val="auto"/>
          <w:sz w:val="36"/>
          <w:szCs w:val="36"/>
          <w:lang w:val="en-US" w:eastAsia="zh-CN"/>
        </w:rPr>
        <w:t xml:space="preserve">         </w:t>
      </w:r>
    </w:p>
    <w:p>
      <w:pPr>
        <w:rPr>
          <w:rFonts w:hint="eastAsia" w:ascii="仿宋_GB2312" w:hAnsi="仿宋_GB2312" w:eastAsia="仿宋_GB2312" w:cs="仿宋_GB2312"/>
          <w:color w:val="auto"/>
          <w:sz w:val="36"/>
          <w:szCs w:val="36"/>
        </w:rPr>
      </w:pP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pPr>
        <w:bidi w:val="0"/>
        <w:rPr>
          <w:rFonts w:ascii="华文仿宋" w:hAnsi="华文仿宋" w:eastAsia="华文仿宋" w:cs="华文仿宋"/>
          <w:color w:val="auto"/>
          <w:kern w:val="44"/>
          <w:sz w:val="44"/>
          <w:szCs w:val="44"/>
        </w:rPr>
      </w:pPr>
    </w:p>
    <w:p>
      <w:pPr>
        <w:pStyle w:val="38"/>
        <w:rPr>
          <w:color w:val="auto"/>
        </w:rPr>
      </w:pPr>
    </w:p>
    <w:p>
      <w:pPr>
        <w:adjustRightInd w:val="0"/>
        <w:snapToGrid w:val="0"/>
        <w:spacing w:line="288" w:lineRule="auto"/>
        <w:jc w:val="center"/>
        <w:outlineLvl w:val="0"/>
        <w:rPr>
          <w:rFonts w:ascii="华文仿宋" w:hAnsi="华文仿宋" w:eastAsia="华文仿宋" w:cs="华文仿宋"/>
          <w:color w:val="auto"/>
          <w:kern w:val="44"/>
          <w:sz w:val="44"/>
          <w:szCs w:val="44"/>
        </w:rPr>
      </w:pPr>
    </w:p>
    <w:p>
      <w:pPr>
        <w:jc w:val="center"/>
        <w:rPr>
          <w:rFonts w:eastAsia="仿宋"/>
          <w:color w:val="auto"/>
          <w:sz w:val="52"/>
          <w:szCs w:val="52"/>
        </w:rPr>
      </w:pPr>
    </w:p>
    <w:p>
      <w:pPr>
        <w:pStyle w:val="38"/>
        <w:ind w:left="0" w:leftChars="0" w:firstLine="0" w:firstLineChars="0"/>
        <w:rPr>
          <w:rFonts w:eastAsia="仿宋"/>
          <w:color w:val="auto"/>
          <w:sz w:val="52"/>
          <w:szCs w:val="52"/>
        </w:rPr>
      </w:pPr>
    </w:p>
    <w:p>
      <w:pPr>
        <w:ind w:left="0" w:leftChars="0" w:firstLine="0" w:firstLineChars="0"/>
        <w:rPr>
          <w:rFonts w:eastAsia="仿宋"/>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288" w:lineRule="auto"/>
        <w:ind w:firstLine="640" w:firstLineChars="200"/>
        <w:textAlignment w:val="auto"/>
        <w:rPr>
          <w:rFonts w:hint="eastAsia" w:ascii="仿宋_GB2312" w:eastAsia="仿宋_GB2312"/>
          <w:color w:val="auto"/>
          <w:sz w:val="32"/>
          <w:szCs w:val="32"/>
          <w:u w:val="single"/>
        </w:rPr>
      </w:pPr>
      <w:r>
        <w:rPr>
          <w:rFonts w:hint="eastAsia" w:ascii="仿宋_GB2312" w:eastAsia="仿宋_GB2312"/>
          <w:color w:val="auto"/>
          <w:sz w:val="32"/>
          <w:szCs w:val="32"/>
        </w:rPr>
        <w:t>项目名称：</w:t>
      </w:r>
      <w:r>
        <w:rPr>
          <w:rFonts w:hint="eastAsia" w:ascii="仿宋_GB2312" w:eastAsia="仿宋_GB2312"/>
          <w:color w:val="auto"/>
          <w:sz w:val="32"/>
          <w:szCs w:val="32"/>
          <w:u w:val="single"/>
          <w:lang w:val="en-US" w:eastAsia="zh-CN"/>
        </w:rPr>
        <w:t xml:space="preserve">                 津科生物新建实验室              </w:t>
      </w:r>
    </w:p>
    <w:p>
      <w:pPr>
        <w:keepNext w:val="0"/>
        <w:keepLines w:val="0"/>
        <w:pageBreakBefore w:val="0"/>
        <w:widowControl w:val="0"/>
        <w:kinsoku/>
        <w:wordWrap/>
        <w:overflowPunct/>
        <w:topLinePunct w:val="0"/>
        <w:autoSpaceDE/>
        <w:autoSpaceDN/>
        <w:bidi w:val="0"/>
        <w:adjustRightInd w:val="0"/>
        <w:snapToGrid w:val="0"/>
        <w:spacing w:line="288" w:lineRule="auto"/>
        <w:ind w:firstLine="640" w:firstLineChars="200"/>
        <w:textAlignment w:val="auto"/>
        <w:rPr>
          <w:rFonts w:hint="eastAsia" w:ascii="仿宋_GB2312" w:eastAsia="仿宋_GB2312"/>
          <w:color w:val="auto"/>
          <w:sz w:val="32"/>
          <w:szCs w:val="32"/>
          <w:u w:val="single"/>
          <w:lang w:val="en-US" w:eastAsia="zh-CN"/>
        </w:rPr>
      </w:pPr>
      <w:r>
        <w:rPr>
          <w:rFonts w:hint="eastAsia" w:ascii="仿宋_GB2312" w:eastAsia="仿宋_GB2312"/>
          <w:color w:val="auto"/>
          <w:sz w:val="32"/>
          <w:szCs w:val="32"/>
        </w:rPr>
        <w:t>建设单位（盖章）：</w:t>
      </w:r>
      <w:r>
        <w:rPr>
          <w:rFonts w:hint="eastAsia" w:ascii="仿宋_GB2312" w:eastAsia="仿宋_GB2312"/>
          <w:color w:val="auto"/>
          <w:sz w:val="32"/>
          <w:szCs w:val="32"/>
          <w:u w:val="single"/>
          <w:lang w:val="en-US" w:eastAsia="zh-CN"/>
        </w:rPr>
        <w:t xml:space="preserve">     天津津科生物科技有限责任公司      </w:t>
      </w:r>
    </w:p>
    <w:p>
      <w:pPr>
        <w:keepNext w:val="0"/>
        <w:keepLines w:val="0"/>
        <w:pageBreakBefore w:val="0"/>
        <w:widowControl w:val="0"/>
        <w:kinsoku/>
        <w:wordWrap/>
        <w:overflowPunct/>
        <w:topLinePunct w:val="0"/>
        <w:autoSpaceDE/>
        <w:autoSpaceDN/>
        <w:bidi w:val="0"/>
        <w:adjustRightInd w:val="0"/>
        <w:snapToGrid w:val="0"/>
        <w:spacing w:line="288" w:lineRule="auto"/>
        <w:ind w:firstLine="640" w:firstLineChars="200"/>
        <w:textAlignment w:val="auto"/>
        <w:rPr>
          <w:rFonts w:hint="eastAsia" w:ascii="仿宋_GB2312" w:eastAsia="仿宋_GB2312"/>
          <w:color w:val="auto"/>
          <w:sz w:val="32"/>
          <w:szCs w:val="32"/>
          <w:u w:val="single"/>
        </w:rPr>
      </w:pPr>
      <w:r>
        <w:rPr>
          <w:rFonts w:hint="eastAsia" w:ascii="仿宋_GB2312" w:eastAsia="仿宋_GB2312"/>
          <w:color w:val="auto"/>
          <w:sz w:val="32"/>
          <w:szCs w:val="32"/>
        </w:rPr>
        <w:t>编制日期：</w:t>
      </w:r>
      <w:r>
        <w:rPr>
          <w:rFonts w:hint="eastAsia" w:ascii="仿宋_GB2312" w:eastAsia="仿宋_GB2312"/>
          <w:color w:val="auto"/>
          <w:sz w:val="32"/>
          <w:szCs w:val="32"/>
          <w:u w:val="single"/>
          <w:lang w:val="en-US" w:eastAsia="zh-CN"/>
        </w:rPr>
        <w:t xml:space="preserve">               </w:t>
      </w:r>
      <w:r>
        <w:rPr>
          <w:rFonts w:hint="default" w:ascii="仿宋_GB2312" w:eastAsia="仿宋_GB2312"/>
          <w:color w:val="auto"/>
          <w:sz w:val="32"/>
          <w:szCs w:val="32"/>
          <w:u w:val="single"/>
          <w:lang w:val="en-US" w:eastAsia="zh-CN"/>
        </w:rPr>
        <w:t>202</w:t>
      </w:r>
      <w:r>
        <w:rPr>
          <w:rFonts w:hint="eastAsia" w:ascii="仿宋_GB2312" w:eastAsia="仿宋_GB2312"/>
          <w:color w:val="auto"/>
          <w:sz w:val="32"/>
          <w:szCs w:val="32"/>
          <w:u w:val="single"/>
          <w:lang w:val="en-US" w:eastAsia="zh-CN"/>
        </w:rPr>
        <w:t>3</w:t>
      </w:r>
      <w:r>
        <w:rPr>
          <w:rFonts w:hint="default" w:ascii="仿宋_GB2312" w:eastAsia="仿宋_GB2312"/>
          <w:color w:val="auto"/>
          <w:sz w:val="32"/>
          <w:szCs w:val="32"/>
          <w:u w:val="single"/>
          <w:lang w:val="en-US" w:eastAsia="zh-CN"/>
        </w:rPr>
        <w:t>年</w:t>
      </w:r>
      <w:r>
        <w:rPr>
          <w:rFonts w:hint="eastAsia" w:ascii="仿宋_GB2312" w:eastAsia="仿宋_GB2312"/>
          <w:color w:val="auto"/>
          <w:sz w:val="32"/>
          <w:szCs w:val="32"/>
          <w:u w:val="single"/>
          <w:lang w:val="en-US" w:eastAsia="zh-CN"/>
        </w:rPr>
        <w:t>3</w:t>
      </w:r>
      <w:r>
        <w:rPr>
          <w:rFonts w:hint="default" w:ascii="仿宋_GB2312" w:eastAsia="仿宋_GB2312"/>
          <w:color w:val="auto"/>
          <w:sz w:val="32"/>
          <w:szCs w:val="32"/>
          <w:u w:val="single"/>
          <w:lang w:val="en-US" w:eastAsia="zh-CN"/>
        </w:rPr>
        <w:t xml:space="preserve">月 </w:t>
      </w:r>
      <w:r>
        <w:rPr>
          <w:rFonts w:hint="eastAsia" w:ascii="仿宋_GB2312" w:eastAsia="仿宋_GB2312"/>
          <w:color w:val="auto"/>
          <w:sz w:val="32"/>
          <w:szCs w:val="32"/>
          <w:u w:val="single"/>
          <w:lang w:val="en-US" w:eastAsia="zh-CN"/>
        </w:rPr>
        <w:t xml:space="preserve">              </w:t>
      </w:r>
    </w:p>
    <w:p>
      <w:pPr>
        <w:adjustRightInd w:val="0"/>
        <w:snapToGrid w:val="0"/>
        <w:spacing w:line="288" w:lineRule="auto"/>
        <w:ind w:firstLine="1040"/>
        <w:rPr>
          <w:rFonts w:hint="eastAsia" w:ascii="仿宋_GB2312" w:eastAsia="仿宋_GB2312"/>
          <w:color w:val="auto"/>
          <w:sz w:val="36"/>
          <w:szCs w:val="36"/>
          <w:u w:val="single"/>
          <w:lang w:val="en-US" w:eastAsia="zh-CN"/>
        </w:rPr>
      </w:pPr>
      <w:bookmarkStart w:id="0" w:name="_Hlk57884087"/>
    </w:p>
    <w:p>
      <w:pPr>
        <w:adjustRightInd w:val="0"/>
        <w:snapToGrid w:val="0"/>
        <w:spacing w:line="288" w:lineRule="auto"/>
        <w:ind w:firstLine="1040"/>
        <w:rPr>
          <w:rFonts w:hint="eastAsia" w:ascii="仿宋_GB2312" w:eastAsia="仿宋_GB2312"/>
          <w:color w:val="auto"/>
          <w:sz w:val="36"/>
          <w:szCs w:val="36"/>
          <w:lang w:eastAsia="zh-CN"/>
        </w:rPr>
      </w:pPr>
      <w:r>
        <w:rPr>
          <w:rFonts w:hint="eastAsia" w:ascii="仿宋_GB2312" w:eastAsia="仿宋_GB2312"/>
          <w:color w:val="auto"/>
          <w:sz w:val="36"/>
          <w:szCs w:val="36"/>
          <w:lang w:val="en-US" w:eastAsia="zh-CN"/>
        </w:rPr>
        <w:t xml:space="preserve"> </w:t>
      </w:r>
    </w:p>
    <w:p>
      <w:pPr>
        <w:adjustRightInd w:val="0"/>
        <w:snapToGrid w:val="0"/>
        <w:spacing w:line="288" w:lineRule="auto"/>
        <w:ind w:firstLine="1040"/>
        <w:rPr>
          <w:rFonts w:hint="eastAsia" w:ascii="仿宋_GB2312" w:eastAsia="仿宋_GB2312"/>
          <w:color w:val="auto"/>
          <w:sz w:val="36"/>
          <w:szCs w:val="36"/>
        </w:rPr>
      </w:pPr>
    </w:p>
    <w:bookmarkEnd w:id="0"/>
    <w:p>
      <w:pPr>
        <w:adjustRightInd w:val="0"/>
        <w:snapToGrid w:val="0"/>
        <w:spacing w:line="288" w:lineRule="auto"/>
        <w:jc w:val="center"/>
        <w:rPr>
          <w:rFonts w:hint="eastAsia" w:ascii="楷体_GB2312" w:eastAsia="楷体_GB2312"/>
          <w:color w:val="auto"/>
          <w:sz w:val="36"/>
          <w:szCs w:val="36"/>
        </w:rPr>
      </w:pPr>
      <w:r>
        <w:rPr>
          <w:rFonts w:hint="eastAsia" w:ascii="楷体_GB2312" w:eastAsia="楷体_GB2312"/>
          <w:color w:val="auto"/>
          <w:sz w:val="36"/>
          <w:szCs w:val="36"/>
        </w:rPr>
        <w:t>中华人民共和国生态环境部制</w:t>
      </w:r>
    </w:p>
    <w:p>
      <w:pPr>
        <w:adjustRightInd w:val="0"/>
        <w:snapToGrid w:val="0"/>
        <w:spacing w:line="288" w:lineRule="auto"/>
        <w:ind w:firstLine="1040"/>
        <w:rPr>
          <w:rFonts w:ascii="仿宋_GB2312" w:eastAsia="仿宋_GB2312"/>
          <w:color w:val="auto"/>
          <w:sz w:val="36"/>
          <w:szCs w:val="36"/>
        </w:rPr>
        <w:sectPr>
          <w:footerReference r:id="rId5" w:type="default"/>
          <w:footerReference r:id="rId6"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6"/>
        <w:keepNext w:val="0"/>
        <w:keepLines w:val="0"/>
        <w:pageBreakBefore w:val="0"/>
        <w:widowControl/>
        <w:numPr>
          <w:ilvl w:val="0"/>
          <w:numId w:val="2"/>
        </w:numPr>
        <w:kinsoku/>
        <w:wordWrap/>
        <w:overflowPunct/>
        <w:topLinePunct w:val="0"/>
        <w:autoSpaceDE/>
        <w:autoSpaceDN/>
        <w:bidi w:val="0"/>
        <w:adjustRightInd/>
        <w:snapToGrid/>
        <w:spacing w:before="313" w:beforeLines="100" w:beforeAutospacing="0" w:after="313" w:afterLines="100" w:afterAutospacing="0" w:line="240" w:lineRule="auto"/>
        <w:ind w:left="0" w:leftChars="0" w:firstLine="600" w:firstLineChars="200"/>
        <w:jc w:val="left"/>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rPr>
        <w:t>建设项目基本情况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68"/>
        <w:gridCol w:w="2551"/>
        <w:gridCol w:w="1880"/>
        <w:gridCol w:w="297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建设项目名称</w:t>
            </w:r>
          </w:p>
        </w:tc>
        <w:tc>
          <w:tcPr>
            <w:tcW w:w="7402" w:type="dxa"/>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lang w:eastAsia="zh-CN"/>
              </w:rPr>
            </w:pPr>
            <w:r>
              <w:rPr>
                <w:rFonts w:hint="eastAsia" w:cs="宋体"/>
                <w:color w:val="auto"/>
                <w:sz w:val="24"/>
                <w:szCs w:val="24"/>
                <w:lang w:eastAsia="zh-CN"/>
              </w:rPr>
              <w:t>津科生物新建实验室项目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项目代码</w:t>
            </w:r>
          </w:p>
        </w:tc>
        <w:tc>
          <w:tcPr>
            <w:tcW w:w="7402" w:type="dxa"/>
            <w:gridSpan w:val="3"/>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2</w:t>
            </w:r>
            <w:r>
              <w:rPr>
                <w:rFonts w:hint="eastAsia" w:cs="宋体"/>
                <w:color w:val="auto"/>
                <w:sz w:val="24"/>
                <w:szCs w:val="24"/>
                <w:lang w:val="en-US" w:eastAsia="zh-CN"/>
              </w:rPr>
              <w:t>212</w:t>
            </w:r>
            <w:r>
              <w:rPr>
                <w:rFonts w:hint="eastAsia" w:ascii="Times New Roman" w:hAnsi="Times New Roman" w:eastAsia="宋体" w:cs="宋体"/>
                <w:color w:val="auto"/>
                <w:sz w:val="24"/>
                <w:szCs w:val="24"/>
              </w:rPr>
              <w:t>-120</w:t>
            </w:r>
            <w:r>
              <w:rPr>
                <w:rFonts w:hint="eastAsia" w:cs="宋体"/>
                <w:color w:val="auto"/>
                <w:sz w:val="24"/>
                <w:szCs w:val="24"/>
                <w:lang w:val="en-US" w:eastAsia="zh-CN"/>
              </w:rPr>
              <w:t>318</w:t>
            </w:r>
            <w:r>
              <w:rPr>
                <w:rFonts w:hint="eastAsia" w:ascii="Times New Roman" w:hAnsi="Times New Roman" w:eastAsia="宋体" w:cs="宋体"/>
                <w:color w:val="auto"/>
                <w:sz w:val="24"/>
                <w:szCs w:val="24"/>
              </w:rPr>
              <w:t>-8</w:t>
            </w:r>
            <w:r>
              <w:rPr>
                <w:rFonts w:hint="eastAsia" w:cs="宋体"/>
                <w:color w:val="auto"/>
                <w:sz w:val="24"/>
                <w:szCs w:val="24"/>
                <w:lang w:val="en-US" w:eastAsia="zh-CN"/>
              </w:rPr>
              <w:t>9</w:t>
            </w:r>
            <w:r>
              <w:rPr>
                <w:rFonts w:hint="eastAsia" w:ascii="Times New Roman" w:hAnsi="Times New Roman" w:eastAsia="宋体" w:cs="宋体"/>
                <w:color w:val="auto"/>
                <w:sz w:val="24"/>
                <w:szCs w:val="24"/>
              </w:rPr>
              <w:t>-0</w:t>
            </w:r>
            <w:r>
              <w:rPr>
                <w:rFonts w:hint="eastAsia" w:cs="宋体"/>
                <w:color w:val="auto"/>
                <w:sz w:val="24"/>
                <w:szCs w:val="24"/>
                <w:lang w:val="en-US" w:eastAsia="zh-CN"/>
              </w:rPr>
              <w:t>5</w:t>
            </w:r>
            <w:r>
              <w:rPr>
                <w:rFonts w:hint="eastAsia" w:ascii="Times New Roman" w:hAnsi="Times New Roman" w:eastAsia="宋体" w:cs="宋体"/>
                <w:color w:val="auto"/>
                <w:sz w:val="24"/>
                <w:szCs w:val="24"/>
              </w:rPr>
              <w:t>-</w:t>
            </w:r>
            <w:r>
              <w:rPr>
                <w:rFonts w:hint="eastAsia" w:cs="宋体"/>
                <w:color w:val="auto"/>
                <w:sz w:val="24"/>
                <w:szCs w:val="24"/>
                <w:lang w:val="en-US" w:eastAsia="zh-CN"/>
              </w:rPr>
              <w:t>133237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建设单位联系人</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薛邦凯</w:t>
            </w:r>
          </w:p>
        </w:tc>
        <w:tc>
          <w:tcPr>
            <w:tcW w:w="188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联系方式</w:t>
            </w:r>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18002076299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建设地点</w:t>
            </w:r>
          </w:p>
        </w:tc>
        <w:tc>
          <w:tcPr>
            <w:tcW w:w="7402" w:type="dxa"/>
            <w:gridSpan w:val="3"/>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宋体"/>
                <w:color w:val="auto"/>
                <w:sz w:val="24"/>
                <w:szCs w:val="24"/>
                <w:lang w:val="en-US"/>
              </w:rPr>
            </w:pPr>
            <w:r>
              <w:rPr>
                <w:rFonts w:hint="eastAsia"/>
                <w:color w:val="auto"/>
                <w:szCs w:val="21"/>
                <w:lang w:val="en-US" w:eastAsia="zh-CN"/>
              </w:rPr>
              <w:t>天津滨海高新区华苑产业区（环外）海泰华科八路6号5层E区512~514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5"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地理坐标</w:t>
            </w:r>
          </w:p>
        </w:tc>
        <w:tc>
          <w:tcPr>
            <w:tcW w:w="7402" w:type="dxa"/>
            <w:gridSpan w:val="3"/>
            <w:noWrap w:val="0"/>
            <w:vAlign w:val="center"/>
          </w:tcPr>
          <w:p>
            <w:pPr>
              <w:keepNext w:val="0"/>
              <w:keepLines w:val="0"/>
              <w:pageBreakBefore w:val="0"/>
              <w:widowControl w:val="0"/>
              <w:kinsoku/>
              <w:wordWrap/>
              <w:overflowPunct/>
              <w:topLinePunct w:val="0"/>
              <w:bidi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w:t>
            </w:r>
            <w:r>
              <w:rPr>
                <w:rFonts w:hint="eastAsia" w:cs="宋体"/>
                <w:color w:val="auto"/>
                <w:sz w:val="24"/>
                <w:szCs w:val="24"/>
                <w:lang w:val="en-US" w:eastAsia="zh-CN"/>
              </w:rPr>
              <w:t>东经</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u w:val="single"/>
              </w:rPr>
              <w:t>11</w:t>
            </w:r>
            <w:r>
              <w:rPr>
                <w:rFonts w:hint="eastAsia" w:cs="宋体"/>
                <w:color w:val="auto"/>
                <w:sz w:val="24"/>
                <w:szCs w:val="24"/>
                <w:u w:val="single"/>
                <w:lang w:val="en-US" w:eastAsia="zh-CN"/>
              </w:rPr>
              <w:t>6</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rPr>
              <w:t>度</w:t>
            </w:r>
            <w:r>
              <w:rPr>
                <w:rFonts w:ascii="Times New Roman" w:hAnsi="Times New Roman" w:eastAsia="宋体" w:cs="宋体"/>
                <w:color w:val="auto"/>
                <w:sz w:val="24"/>
                <w:szCs w:val="24"/>
                <w:u w:val="single"/>
              </w:rPr>
              <w:t xml:space="preserve"> </w:t>
            </w:r>
            <w:r>
              <w:rPr>
                <w:rFonts w:hint="eastAsia" w:cs="宋体"/>
                <w:color w:val="auto"/>
                <w:sz w:val="24"/>
                <w:szCs w:val="24"/>
                <w:u w:val="single"/>
                <w:lang w:val="en-US" w:eastAsia="zh-CN"/>
              </w:rPr>
              <w:t>50</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rPr>
              <w:t>分</w:t>
            </w:r>
            <w:r>
              <w:rPr>
                <w:rFonts w:ascii="Times New Roman" w:hAnsi="Times New Roman" w:eastAsia="宋体" w:cs="宋体"/>
                <w:color w:val="auto"/>
                <w:sz w:val="24"/>
                <w:szCs w:val="24"/>
                <w:u w:val="single"/>
              </w:rPr>
              <w:t xml:space="preserve"> </w:t>
            </w:r>
            <w:r>
              <w:rPr>
                <w:rFonts w:hint="eastAsia" w:cs="宋体"/>
                <w:color w:val="auto"/>
                <w:sz w:val="24"/>
                <w:szCs w:val="24"/>
                <w:u w:val="single"/>
                <w:lang w:val="en-US" w:eastAsia="zh-CN"/>
              </w:rPr>
              <w:t>31.771</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rPr>
              <w:t>秒，</w:t>
            </w:r>
            <w:r>
              <w:rPr>
                <w:rFonts w:hint="eastAsia" w:cs="宋体"/>
                <w:color w:val="auto"/>
                <w:sz w:val="24"/>
                <w:szCs w:val="24"/>
                <w:lang w:val="en-US" w:eastAsia="zh-CN"/>
              </w:rPr>
              <w:t>北纬</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u w:val="single"/>
                <w:lang w:val="en-US" w:eastAsia="zh-CN"/>
              </w:rPr>
              <w:t>3</w:t>
            </w:r>
            <w:r>
              <w:rPr>
                <w:rFonts w:hint="eastAsia" w:cs="宋体"/>
                <w:color w:val="auto"/>
                <w:sz w:val="24"/>
                <w:szCs w:val="24"/>
                <w:u w:val="single"/>
                <w:lang w:val="en-US" w:eastAsia="zh-CN"/>
              </w:rPr>
              <w:t>9</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rPr>
              <w:t>度</w:t>
            </w:r>
            <w:r>
              <w:rPr>
                <w:rFonts w:ascii="Times New Roman" w:hAnsi="Times New Roman" w:eastAsia="宋体" w:cs="宋体"/>
                <w:color w:val="auto"/>
                <w:sz w:val="24"/>
                <w:szCs w:val="24"/>
                <w:u w:val="single"/>
              </w:rPr>
              <w:t xml:space="preserve"> </w:t>
            </w:r>
            <w:r>
              <w:rPr>
                <w:rFonts w:hint="eastAsia" w:cs="宋体"/>
                <w:color w:val="auto"/>
                <w:sz w:val="24"/>
                <w:szCs w:val="24"/>
                <w:u w:val="single"/>
                <w:lang w:val="en-US" w:eastAsia="zh-CN"/>
              </w:rPr>
              <w:t>27</w:t>
            </w:r>
            <w:r>
              <w:rPr>
                <w:rFonts w:hint="eastAsia" w:ascii="Times New Roman" w:hAnsi="Times New Roman" w:eastAsia="宋体" w:cs="宋体"/>
                <w:color w:val="auto"/>
                <w:sz w:val="24"/>
                <w:szCs w:val="24"/>
                <w:u w:val="single"/>
                <w:lang w:val="en-US" w:eastAsia="zh-CN"/>
              </w:rPr>
              <w:t xml:space="preserve"> </w:t>
            </w:r>
            <w:r>
              <w:rPr>
                <w:rFonts w:hint="eastAsia" w:ascii="Times New Roman" w:hAnsi="Times New Roman" w:eastAsia="宋体" w:cs="宋体"/>
                <w:color w:val="auto"/>
                <w:sz w:val="24"/>
                <w:szCs w:val="24"/>
              </w:rPr>
              <w:t>分</w:t>
            </w:r>
            <w:r>
              <w:rPr>
                <w:rFonts w:ascii="Times New Roman" w:hAnsi="Times New Roman" w:eastAsia="宋体" w:cs="宋体"/>
                <w:color w:val="auto"/>
                <w:sz w:val="24"/>
                <w:szCs w:val="24"/>
                <w:u w:val="single"/>
              </w:rPr>
              <w:t xml:space="preserve"> </w:t>
            </w:r>
            <w:r>
              <w:rPr>
                <w:rFonts w:hint="eastAsia" w:cs="宋体"/>
                <w:color w:val="auto"/>
                <w:sz w:val="24"/>
                <w:szCs w:val="24"/>
                <w:u w:val="single"/>
                <w:lang w:val="en-US" w:eastAsia="zh-CN"/>
              </w:rPr>
              <w:t>17.642</w:t>
            </w:r>
            <w:r>
              <w:rPr>
                <w:rFonts w:ascii="Times New Roman" w:hAnsi="Times New Roman" w:eastAsia="宋体" w:cs="宋体"/>
                <w:color w:val="auto"/>
                <w:sz w:val="24"/>
                <w:szCs w:val="24"/>
                <w:u w:val="single"/>
              </w:rPr>
              <w:t xml:space="preserve"> </w:t>
            </w:r>
            <w:r>
              <w:rPr>
                <w:rFonts w:hint="eastAsia" w:ascii="Times New Roman" w:hAnsi="Times New Roman" w:eastAsia="宋体" w:cs="宋体"/>
                <w:color w:val="auto"/>
                <w:sz w:val="24"/>
                <w:szCs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3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国民经济</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行业类别</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default" w:ascii="Times New Roman" w:hAnsi="Times New Roman" w:eastAsia="宋体" w:cs="宋体"/>
                <w:color w:val="auto"/>
                <w:sz w:val="24"/>
                <w:szCs w:val="24"/>
                <w:lang w:val="en-US" w:eastAsia="zh-CN"/>
              </w:rPr>
              <w:t>M7340医学研究和试验发展</w:t>
            </w:r>
          </w:p>
        </w:tc>
        <w:tc>
          <w:tcPr>
            <w:tcW w:w="188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bookmarkStart w:id="1" w:name="_Hlk49843745"/>
            <w:r>
              <w:rPr>
                <w:rFonts w:hint="eastAsia" w:ascii="Times New Roman" w:hAnsi="Times New Roman" w:eastAsia="宋体" w:cs="宋体"/>
                <w:color w:val="auto"/>
                <w:sz w:val="24"/>
                <w:szCs w:val="24"/>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行业类别</w:t>
            </w:r>
            <w:bookmarkEnd w:id="1"/>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四十五</w:t>
            </w:r>
            <w:r>
              <w:rPr>
                <w:rFonts w:hint="default" w:ascii="Times New Roman" w:hAnsi="Times New Roman" w:eastAsia="宋体" w:cs="宋体"/>
                <w:color w:val="auto"/>
                <w:sz w:val="24"/>
                <w:szCs w:val="24"/>
                <w:lang w:val="en-US" w:eastAsia="zh-CN"/>
              </w:rPr>
              <w:t>、</w:t>
            </w:r>
            <w:r>
              <w:rPr>
                <w:rFonts w:hint="eastAsia" w:cs="宋体"/>
                <w:color w:val="auto"/>
                <w:sz w:val="24"/>
                <w:szCs w:val="24"/>
                <w:lang w:val="en-US" w:eastAsia="zh-CN"/>
              </w:rPr>
              <w:t>研究和试验发展</w:t>
            </w:r>
            <w:r>
              <w:rPr>
                <w:rFonts w:hint="default" w:ascii="Times New Roman" w:hAnsi="Times New Roman" w:eastAsia="宋体" w:cs="宋体"/>
                <w:color w:val="auto"/>
                <w:sz w:val="24"/>
                <w:szCs w:val="24"/>
                <w:lang w:val="en-US" w:eastAsia="zh-CN"/>
              </w:rPr>
              <w:t xml:space="preserve"> </w:t>
            </w:r>
            <w:r>
              <w:rPr>
                <w:rFonts w:hint="eastAsia" w:cs="宋体"/>
                <w:color w:val="auto"/>
                <w:sz w:val="24"/>
                <w:szCs w:val="24"/>
                <w:lang w:val="en-US" w:eastAsia="zh-CN"/>
              </w:rPr>
              <w:t>-98专业实验室、研发（试验）基地-</w:t>
            </w:r>
            <w:r>
              <w:rPr>
                <w:rFonts w:hint="default" w:ascii="Times New Roman" w:hAnsi="Times New Roman" w:eastAsia="宋体" w:cs="宋体"/>
                <w:color w:val="auto"/>
                <w:sz w:val="24"/>
                <w:szCs w:val="24"/>
                <w:lang w:val="en-US" w:eastAsia="zh-CN"/>
              </w:rPr>
              <w:t>其他</w:t>
            </w:r>
            <w:r>
              <w:rPr>
                <w:rFonts w:hint="eastAsia" w:cs="宋体"/>
                <w:color w:val="auto"/>
                <w:sz w:val="24"/>
                <w:szCs w:val="24"/>
                <w:lang w:val="en-US" w:eastAsia="zh-CN"/>
              </w:rPr>
              <w:t>（不产生实验废气、废水、危险废物的除外）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建设性质</w:t>
            </w:r>
          </w:p>
        </w:tc>
        <w:tc>
          <w:tcPr>
            <w:tcW w:w="2551" w:type="dxa"/>
            <w:noWrap w:val="0"/>
            <w:vAlign w:val="center"/>
          </w:tcPr>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52"/>
            </w:r>
            <w:r>
              <w:rPr>
                <w:rFonts w:hint="eastAsia" w:ascii="Times New Roman" w:hAnsi="Times New Roman" w:eastAsia="宋体" w:cs="宋体"/>
                <w:color w:val="auto"/>
                <w:sz w:val="24"/>
                <w:szCs w:val="24"/>
              </w:rPr>
              <w:t>新建（迁建）</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改建</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扩建</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□技术改造</w:t>
            </w:r>
          </w:p>
        </w:tc>
        <w:tc>
          <w:tcPr>
            <w:tcW w:w="188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申报情形</w:t>
            </w:r>
          </w:p>
        </w:tc>
        <w:tc>
          <w:tcPr>
            <w:tcW w:w="2971" w:type="dxa"/>
            <w:noWrap w:val="0"/>
            <w:vAlign w:val="center"/>
          </w:tcPr>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52"/>
            </w:r>
            <w:r>
              <w:rPr>
                <w:rFonts w:hint="eastAsia" w:ascii="Times New Roman" w:hAnsi="Times New Roman" w:eastAsia="宋体" w:cs="宋体"/>
                <w:color w:val="auto"/>
                <w:sz w:val="24"/>
                <w:szCs w:val="24"/>
              </w:rPr>
              <w:t>首次申报项目</w:t>
            </w:r>
            <w:r>
              <w:rPr>
                <w:rFonts w:ascii="Times New Roman" w:hAnsi="Times New Roman" w:eastAsia="宋体" w:cs="宋体"/>
                <w:color w:val="auto"/>
                <w:sz w:val="24"/>
                <w:szCs w:val="24"/>
              </w:rPr>
              <w:t xml:space="preserve">             </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不予批准后再次申报项目</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超五年重新审核项目</w:t>
            </w:r>
            <w:r>
              <w:rPr>
                <w:rFonts w:ascii="Times New Roman" w:hAnsi="Times New Roman" w:eastAsia="宋体" w:cs="宋体"/>
                <w:color w:val="auto"/>
                <w:sz w:val="24"/>
                <w:szCs w:val="24"/>
              </w:rPr>
              <w:t xml:space="preserve">     </w:t>
            </w:r>
          </w:p>
          <w:p>
            <w:pPr>
              <w:keepNext w:val="0"/>
              <w:keepLines w:val="0"/>
              <w:pageBreakBefore w:val="0"/>
              <w:widowControl w:val="0"/>
              <w:kinsoku/>
              <w:wordWrap/>
              <w:overflowPunct/>
              <w:topLinePunct w:val="0"/>
              <w:bidi w:val="0"/>
              <w:snapToGrid w:val="0"/>
              <w:spacing w:line="240" w:lineRule="auto"/>
              <w:ind w:firstLine="0" w:firstLineChars="0"/>
              <w:jc w:val="left"/>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项目审批（核准</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备案）部门</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（选填）</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default" w:ascii="Times New Roman"/>
                <w:color w:val="auto"/>
                <w:szCs w:val="24"/>
              </w:rPr>
              <w:t>天津市</w:t>
            </w:r>
            <w:r>
              <w:rPr>
                <w:rFonts w:hint="eastAsia"/>
                <w:color w:val="auto"/>
                <w:szCs w:val="24"/>
                <w:lang w:val="en-US" w:eastAsia="zh-CN"/>
              </w:rPr>
              <w:t>滨海高新技术产业开发</w:t>
            </w:r>
            <w:r>
              <w:rPr>
                <w:rFonts w:hint="default" w:ascii="Times New Roman"/>
                <w:color w:val="auto"/>
                <w:szCs w:val="24"/>
              </w:rPr>
              <w:t>区行政审批局</w:t>
            </w:r>
          </w:p>
        </w:tc>
        <w:tc>
          <w:tcPr>
            <w:tcW w:w="1880"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项目审批（核准</w:t>
            </w:r>
            <w:r>
              <w:rPr>
                <w:rFonts w:ascii="Times New Roman" w:hAnsi="Times New Roman" w:eastAsia="宋体" w:cs="宋体"/>
                <w:color w:val="auto"/>
                <w:sz w:val="24"/>
                <w:szCs w:val="24"/>
              </w:rPr>
              <w:t>/</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备案）文号（选填）</w:t>
            </w:r>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lang w:eastAsia="zh-CN"/>
              </w:rPr>
            </w:pPr>
            <w:r>
              <w:rPr>
                <w:rFonts w:hint="eastAsia" w:cs="宋体"/>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总投资（万元）</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100</w:t>
            </w:r>
          </w:p>
        </w:tc>
        <w:tc>
          <w:tcPr>
            <w:tcW w:w="1880"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环保投资（万元）</w:t>
            </w:r>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环保投资占比（</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15.0</w:t>
            </w:r>
          </w:p>
        </w:tc>
        <w:tc>
          <w:tcPr>
            <w:tcW w:w="1880"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施工工期</w:t>
            </w:r>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2023年4月~2023年5月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68"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是否开工建设</w:t>
            </w:r>
          </w:p>
        </w:tc>
        <w:tc>
          <w:tcPr>
            <w:tcW w:w="255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52"/>
            </w:r>
            <w:r>
              <w:rPr>
                <w:rFonts w:hint="eastAsia" w:ascii="Times New Roman" w:hAnsi="Times New Roman" w:eastAsia="宋体" w:cs="宋体"/>
                <w:color w:val="auto"/>
                <w:sz w:val="24"/>
                <w:szCs w:val="24"/>
              </w:rPr>
              <w:t>否</w:t>
            </w:r>
          </w:p>
          <w:p>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sym w:font="Wingdings 2" w:char="00A3"/>
            </w:r>
            <w:r>
              <w:rPr>
                <w:rFonts w:hint="eastAsia" w:ascii="Times New Roman" w:hAnsi="Times New Roman" w:eastAsia="宋体" w:cs="宋体"/>
                <w:color w:val="auto"/>
                <w:sz w:val="24"/>
                <w:szCs w:val="24"/>
              </w:rPr>
              <w:t>是：</w:t>
            </w:r>
            <w:r>
              <w:rPr>
                <w:rFonts w:hint="eastAsia" w:ascii="Times New Roman" w:hAnsi="Times New Roman" w:eastAsia="宋体" w:cs="宋体"/>
                <w:color w:val="auto"/>
                <w:sz w:val="24"/>
                <w:szCs w:val="24"/>
                <w:u w:val="single"/>
              </w:rPr>
              <w:t xml:space="preserve">          </w:t>
            </w:r>
          </w:p>
        </w:tc>
        <w:tc>
          <w:tcPr>
            <w:tcW w:w="1880" w:type="dxa"/>
            <w:noWrap w:val="0"/>
            <w:tcMar>
              <w:top w:w="16" w:type="dxa"/>
              <w:left w:w="16" w:type="dxa"/>
              <w:right w:w="16" w:type="dxa"/>
            </w:tcMar>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ascii="Times New Roman" w:hAnsi="Times New Roman" w:eastAsia="宋体" w:cs="宋体"/>
                <w:color w:val="auto"/>
                <w:spacing w:val="-6"/>
                <w:sz w:val="24"/>
                <w:szCs w:val="24"/>
              </w:rPr>
            </w:pPr>
            <w:r>
              <w:rPr>
                <w:rFonts w:hint="eastAsia" w:ascii="Times New Roman" w:hAnsi="Times New Roman" w:eastAsia="宋体" w:cs="宋体"/>
                <w:color w:val="auto"/>
                <w:spacing w:val="-6"/>
                <w:sz w:val="24"/>
                <w:szCs w:val="24"/>
              </w:rPr>
              <w:t>用地（用海）</w:t>
            </w:r>
          </w:p>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pacing w:val="-6"/>
                <w:sz w:val="24"/>
                <w:szCs w:val="24"/>
              </w:rPr>
              <w:t>面积（</w:t>
            </w:r>
            <w:r>
              <w:rPr>
                <w:rFonts w:ascii="Times New Roman" w:hAnsi="Times New Roman" w:eastAsia="宋体" w:cs="宋体"/>
                <w:color w:val="auto"/>
                <w:spacing w:val="-6"/>
                <w:sz w:val="24"/>
                <w:szCs w:val="24"/>
              </w:rPr>
              <w:t>m</w:t>
            </w:r>
            <w:r>
              <w:rPr>
                <w:rFonts w:ascii="Times New Roman" w:hAnsi="Times New Roman" w:eastAsia="宋体" w:cs="宋体"/>
                <w:color w:val="auto"/>
                <w:spacing w:val="-6"/>
                <w:sz w:val="24"/>
                <w:szCs w:val="24"/>
                <w:vertAlign w:val="superscript"/>
              </w:rPr>
              <w:t>2</w:t>
            </w:r>
            <w:r>
              <w:rPr>
                <w:rFonts w:hint="eastAsia" w:ascii="Times New Roman" w:hAnsi="Times New Roman" w:eastAsia="宋体" w:cs="宋体"/>
                <w:color w:val="auto"/>
                <w:spacing w:val="-6"/>
                <w:sz w:val="24"/>
                <w:szCs w:val="24"/>
              </w:rPr>
              <w:t>）</w:t>
            </w:r>
          </w:p>
        </w:tc>
        <w:tc>
          <w:tcPr>
            <w:tcW w:w="2971"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宋体"/>
                <w:color w:val="auto"/>
                <w:sz w:val="24"/>
                <w:szCs w:val="24"/>
                <w:lang w:val="en-US" w:eastAsia="zh-CN"/>
              </w:rPr>
            </w:pPr>
            <w:r>
              <w:rPr>
                <w:rFonts w:hint="eastAsia" w:cs="宋体"/>
                <w:color w:val="auto"/>
                <w:sz w:val="24"/>
                <w:szCs w:val="24"/>
                <w:lang w:val="en-US" w:eastAsia="zh-CN"/>
              </w:rPr>
              <w:t>1829.44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146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专项评价设置情况</w:t>
            </w:r>
          </w:p>
        </w:tc>
        <w:tc>
          <w:tcPr>
            <w:tcW w:w="7402" w:type="dxa"/>
            <w:gridSpan w:val="3"/>
            <w:noWrap w:val="0"/>
            <w:vAlign w:val="center"/>
          </w:tcPr>
          <w:p>
            <w:pPr>
              <w:pStyle w:val="8"/>
              <w:bidi w:val="0"/>
              <w:ind w:left="0" w:leftChars="0" w:firstLine="0" w:firstLineChars="0"/>
              <w:rPr>
                <w:rFonts w:hint="default"/>
                <w:color w:val="auto"/>
                <w:sz w:val="24"/>
                <w:szCs w:val="24"/>
                <w:lang w:val="en-US" w:eastAsia="zh-CN"/>
              </w:rPr>
            </w:pPr>
            <w:r>
              <w:rPr>
                <w:rFonts w:hint="default"/>
                <w:b/>
                <w:bCs/>
                <w:color w:val="auto"/>
                <w:sz w:val="24"/>
                <w:szCs w:val="24"/>
                <w:lang w:val="en-US" w:eastAsia="zh-CN"/>
              </w:rPr>
              <w:t>大气：</w:t>
            </w:r>
            <w:r>
              <w:rPr>
                <w:rFonts w:hint="default"/>
                <w:color w:val="auto"/>
                <w:sz w:val="24"/>
                <w:szCs w:val="24"/>
                <w:lang w:val="en-US" w:eastAsia="zh-CN"/>
              </w:rPr>
              <w:t>本项目</w:t>
            </w:r>
            <w:r>
              <w:rPr>
                <w:rFonts w:hint="eastAsia"/>
                <w:color w:val="auto"/>
                <w:sz w:val="24"/>
                <w:szCs w:val="24"/>
                <w:lang w:val="en-US" w:eastAsia="zh-CN"/>
              </w:rPr>
              <w:t>排放废气不</w:t>
            </w:r>
            <w:r>
              <w:rPr>
                <w:rFonts w:hint="default"/>
                <w:color w:val="auto"/>
                <w:sz w:val="24"/>
                <w:szCs w:val="24"/>
                <w:lang w:val="en-US" w:eastAsia="zh-CN"/>
              </w:rPr>
              <w:t>涉及有毒有害污染物</w:t>
            </w:r>
            <w:r>
              <w:rPr>
                <w:rFonts w:hint="eastAsia"/>
                <w:color w:val="auto"/>
                <w:sz w:val="24"/>
                <w:szCs w:val="24"/>
                <w:lang w:val="en-US" w:eastAsia="zh-CN"/>
              </w:rPr>
              <w:t>、</w:t>
            </w:r>
            <w:r>
              <w:rPr>
                <w:rFonts w:hint="default"/>
                <w:color w:val="auto"/>
                <w:sz w:val="24"/>
                <w:szCs w:val="24"/>
                <w:lang w:val="en-US" w:eastAsia="zh-CN"/>
              </w:rPr>
              <w:t>1、二噁英、苯并[a]芘、氰化物、氯气</w:t>
            </w:r>
            <w:r>
              <w:rPr>
                <w:rFonts w:hint="eastAsia"/>
                <w:color w:val="auto"/>
                <w:sz w:val="24"/>
                <w:szCs w:val="24"/>
                <w:lang w:val="en-US" w:eastAsia="zh-CN"/>
              </w:rPr>
              <w:t>等</w:t>
            </w:r>
            <w:r>
              <w:rPr>
                <w:rFonts w:hint="default"/>
                <w:color w:val="auto"/>
                <w:sz w:val="24"/>
                <w:szCs w:val="24"/>
                <w:lang w:val="en-US" w:eastAsia="zh-CN"/>
              </w:rPr>
              <w:t>，无需设置大气环境影响专项评价。</w:t>
            </w:r>
          </w:p>
          <w:p>
            <w:pPr>
              <w:pStyle w:val="8"/>
              <w:bidi w:val="0"/>
              <w:ind w:left="0" w:leftChars="0" w:firstLine="0" w:firstLineChars="0"/>
              <w:rPr>
                <w:rFonts w:hint="default"/>
                <w:color w:val="auto"/>
                <w:sz w:val="24"/>
                <w:szCs w:val="24"/>
                <w:lang w:val="en-US" w:eastAsia="zh-CN"/>
              </w:rPr>
            </w:pPr>
            <w:r>
              <w:rPr>
                <w:rFonts w:hint="default"/>
                <w:b/>
                <w:bCs/>
                <w:color w:val="auto"/>
                <w:sz w:val="24"/>
                <w:szCs w:val="24"/>
                <w:lang w:val="en-US" w:eastAsia="zh-CN"/>
              </w:rPr>
              <w:t>地表水：</w:t>
            </w:r>
            <w:r>
              <w:rPr>
                <w:rFonts w:hint="default"/>
                <w:color w:val="auto"/>
                <w:sz w:val="24"/>
                <w:szCs w:val="24"/>
                <w:lang w:val="en-US" w:eastAsia="zh-CN"/>
              </w:rPr>
              <w:t>本项目产生的废水间接排放，无需设置地表水专项评价。</w:t>
            </w:r>
          </w:p>
          <w:p>
            <w:pPr>
              <w:pStyle w:val="8"/>
              <w:bidi w:val="0"/>
              <w:ind w:left="0" w:leftChars="0" w:firstLine="0" w:firstLineChars="0"/>
              <w:rPr>
                <w:rFonts w:hint="default"/>
                <w:color w:val="auto"/>
                <w:sz w:val="24"/>
                <w:szCs w:val="24"/>
                <w:lang w:val="en-US" w:eastAsia="zh-CN"/>
              </w:rPr>
            </w:pPr>
            <w:r>
              <w:rPr>
                <w:rFonts w:hint="default"/>
                <w:b/>
                <w:bCs/>
                <w:color w:val="auto"/>
                <w:sz w:val="24"/>
                <w:szCs w:val="24"/>
                <w:lang w:val="en-US" w:eastAsia="zh-CN"/>
              </w:rPr>
              <w:t>环境风险：</w:t>
            </w:r>
            <w:r>
              <w:rPr>
                <w:rFonts w:hint="default"/>
                <w:color w:val="auto"/>
                <w:sz w:val="24"/>
                <w:szCs w:val="24"/>
                <w:lang w:val="en-US" w:eastAsia="zh-CN"/>
              </w:rPr>
              <w:t>本项目有毒有害和易燃易爆危险物质存储量未超过临界量，无需设置环境风险专项评价。</w:t>
            </w:r>
          </w:p>
          <w:p>
            <w:pPr>
              <w:pStyle w:val="8"/>
              <w:bidi w:val="0"/>
              <w:ind w:left="0" w:leftChars="0" w:firstLine="0" w:firstLineChars="0"/>
              <w:rPr>
                <w:rFonts w:hint="default"/>
                <w:color w:val="auto"/>
                <w:lang w:val="en-US" w:eastAsia="zh-CN"/>
              </w:rPr>
            </w:pPr>
            <w:r>
              <w:rPr>
                <w:rFonts w:hint="default"/>
                <w:b/>
                <w:bCs/>
                <w:color w:val="auto"/>
                <w:sz w:val="24"/>
                <w:szCs w:val="24"/>
                <w:lang w:val="en-US" w:eastAsia="zh-CN"/>
              </w:rPr>
              <w:t>地下水</w:t>
            </w:r>
            <w:r>
              <w:rPr>
                <w:rFonts w:hint="eastAsia"/>
                <w:b/>
                <w:bCs/>
                <w:color w:val="auto"/>
                <w:sz w:val="24"/>
                <w:szCs w:val="24"/>
                <w:lang w:val="en-US" w:eastAsia="zh-CN"/>
              </w:rPr>
              <w:t>：</w:t>
            </w:r>
            <w:r>
              <w:rPr>
                <w:rFonts w:hint="eastAsia"/>
                <w:b w:val="0"/>
                <w:bCs w:val="0"/>
                <w:color w:val="auto"/>
                <w:sz w:val="24"/>
                <w:szCs w:val="24"/>
                <w:lang w:val="en-US" w:eastAsia="zh-CN"/>
              </w:rPr>
              <w:t>不涉及集中式饮用水水源和热水、矿泉水、温泉等特殊地下水资源保护区的开展地下水专项评价工作。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46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规划情况</w:t>
            </w:r>
          </w:p>
        </w:tc>
        <w:tc>
          <w:tcPr>
            <w:tcW w:w="7402" w:type="dxa"/>
            <w:gridSpan w:val="3"/>
            <w:noWrap w:val="0"/>
            <w:vAlign w:val="center"/>
          </w:tcPr>
          <w:p>
            <w:pPr>
              <w:pStyle w:val="8"/>
              <w:bidi w:val="0"/>
              <w:rPr>
                <w:rFonts w:hint="eastAsia"/>
                <w:color w:val="auto"/>
                <w:sz w:val="24"/>
                <w:szCs w:val="24"/>
                <w:lang w:eastAsia="zh-CN"/>
              </w:rPr>
            </w:pPr>
            <w:r>
              <w:rPr>
                <w:rFonts w:hint="eastAsia"/>
                <w:color w:val="auto"/>
                <w:sz w:val="24"/>
                <w:szCs w:val="24"/>
              </w:rPr>
              <w:t>规划文件的名称</w:t>
            </w:r>
            <w:r>
              <w:rPr>
                <w:rFonts w:hint="eastAsia"/>
                <w:color w:val="auto"/>
                <w:sz w:val="24"/>
                <w:szCs w:val="24"/>
                <w:lang w:eastAsia="zh-CN"/>
              </w:rPr>
              <w:t>：《天津华苑产业区（环外部分）总体规划修改（2016-203</w:t>
            </w:r>
            <w:r>
              <w:rPr>
                <w:rFonts w:hint="eastAsia"/>
                <w:color w:val="auto"/>
                <w:sz w:val="24"/>
                <w:szCs w:val="24"/>
                <w:lang w:val="en-US" w:eastAsia="zh-CN"/>
              </w:rPr>
              <w:t>5</w:t>
            </w:r>
            <w:r>
              <w:rPr>
                <w:rFonts w:hint="eastAsia"/>
                <w:color w:val="auto"/>
                <w:sz w:val="24"/>
                <w:szCs w:val="24"/>
                <w:lang w:eastAsia="zh-CN"/>
              </w:rPr>
              <w:t>年）》；</w:t>
            </w:r>
          </w:p>
          <w:p>
            <w:pPr>
              <w:pStyle w:val="8"/>
              <w:bidi w:val="0"/>
              <w:rPr>
                <w:rFonts w:hint="eastAsia"/>
                <w:color w:val="auto"/>
                <w:sz w:val="24"/>
                <w:szCs w:val="24"/>
                <w:lang w:val="en-US" w:eastAsia="zh-CN"/>
              </w:rPr>
            </w:pPr>
            <w:r>
              <w:rPr>
                <w:rFonts w:hint="eastAsia"/>
                <w:color w:val="auto"/>
                <w:sz w:val="24"/>
                <w:szCs w:val="24"/>
                <w:lang w:val="en-US" w:eastAsia="zh-CN"/>
              </w:rPr>
              <w:t>审批</w:t>
            </w:r>
            <w:r>
              <w:rPr>
                <w:rFonts w:hint="eastAsia"/>
                <w:color w:val="auto"/>
                <w:sz w:val="24"/>
                <w:szCs w:val="24"/>
              </w:rPr>
              <w:t>机关：天津市</w:t>
            </w:r>
            <w:r>
              <w:rPr>
                <w:rFonts w:hint="eastAsia"/>
                <w:color w:val="auto"/>
                <w:sz w:val="24"/>
                <w:szCs w:val="24"/>
                <w:lang w:val="en-US" w:eastAsia="zh-CN"/>
              </w:rPr>
              <w:t>人民政府；</w:t>
            </w:r>
          </w:p>
          <w:p>
            <w:pPr>
              <w:pStyle w:val="8"/>
              <w:bidi w:val="0"/>
              <w:rPr>
                <w:rFonts w:hint="eastAsia" w:eastAsia="宋体"/>
                <w:color w:val="auto"/>
                <w:lang w:val="en-US" w:eastAsia="zh-CN"/>
              </w:rPr>
            </w:pPr>
            <w:r>
              <w:rPr>
                <w:rFonts w:hint="eastAsia"/>
                <w:color w:val="auto"/>
                <w:sz w:val="24"/>
                <w:szCs w:val="24"/>
                <w:lang w:val="en-US" w:eastAsia="zh-CN"/>
              </w:rPr>
              <w:t>审批</w:t>
            </w:r>
            <w:r>
              <w:rPr>
                <w:rFonts w:hint="eastAsia"/>
                <w:color w:val="auto"/>
                <w:sz w:val="24"/>
                <w:szCs w:val="24"/>
              </w:rPr>
              <w:t>文件名称和文号：《关于天津华苑产业区（环外部分）总体规划修改（2016-2035年）的批复》（津政函[2019]35号）</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68" w:type="dxa"/>
            <w:noWrap w:val="0"/>
            <w:vAlign w:val="center"/>
          </w:tcPr>
          <w:p>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eastAsia" w:ascii="Times New Roman" w:hAnsi="Times New Roman" w:eastAsia="宋体" w:cs="宋体"/>
                <w:color w:val="auto"/>
                <w:kern w:val="0"/>
                <w:sz w:val="24"/>
                <w:szCs w:val="24"/>
              </w:rPr>
            </w:pPr>
            <w:r>
              <w:rPr>
                <w:rFonts w:hint="eastAsia" w:ascii="Times New Roman" w:hAnsi="Times New Roman" w:eastAsia="宋体" w:cs="宋体"/>
                <w:color w:val="auto"/>
                <w:sz w:val="24"/>
                <w:szCs w:val="24"/>
              </w:rPr>
              <w:t>规划环境影响评价情况</w:t>
            </w:r>
          </w:p>
        </w:tc>
        <w:tc>
          <w:tcPr>
            <w:tcW w:w="7402" w:type="dxa"/>
            <w:gridSpan w:val="3"/>
            <w:noWrap w:val="0"/>
            <w:vAlign w:val="center"/>
          </w:tcPr>
          <w:p>
            <w:pPr>
              <w:pStyle w:val="8"/>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Times New Roman" w:hAnsi="Times New Roman" w:eastAsia="宋体"/>
                <w:color w:val="auto"/>
                <w:kern w:val="2"/>
                <w:szCs w:val="21"/>
                <w:lang w:val="en-US" w:eastAsia="zh-CN" w:bidi="ar-SA"/>
              </w:rPr>
            </w:pPr>
            <w:r>
              <w:rPr>
                <w:rFonts w:hint="eastAsia"/>
                <w:color w:val="auto"/>
              </w:rPr>
              <w:t>规划环境影响评价文件的名称：</w:t>
            </w:r>
            <w:r>
              <w:rPr>
                <w:rFonts w:hint="eastAsia" w:ascii="Times New Roman" w:hAnsi="Times New Roman" w:eastAsia="宋体"/>
                <w:color w:val="auto"/>
                <w:kern w:val="2"/>
                <w:szCs w:val="21"/>
                <w:lang w:val="en-US" w:eastAsia="zh-CN" w:bidi="ar-SA"/>
              </w:rPr>
              <w:t>《天津华苑产业</w:t>
            </w:r>
            <w:r>
              <w:rPr>
                <w:rFonts w:hint="eastAsia"/>
                <w:color w:val="auto"/>
                <w:kern w:val="2"/>
                <w:szCs w:val="21"/>
                <w:lang w:val="en-US" w:eastAsia="zh-CN" w:bidi="ar-SA"/>
              </w:rPr>
              <w:t>园</w:t>
            </w:r>
            <w:r>
              <w:rPr>
                <w:rFonts w:hint="eastAsia" w:ascii="Times New Roman" w:hAnsi="Times New Roman" w:eastAsia="宋体"/>
                <w:color w:val="auto"/>
                <w:kern w:val="2"/>
                <w:szCs w:val="21"/>
                <w:lang w:val="en-US" w:eastAsia="zh-CN" w:bidi="ar-SA"/>
              </w:rPr>
              <w:t>（环外）总体规划修改（2016-2035</w:t>
            </w:r>
            <w:r>
              <w:rPr>
                <w:rFonts w:hint="eastAsia"/>
                <w:color w:val="auto"/>
                <w:sz w:val="24"/>
                <w:szCs w:val="24"/>
              </w:rPr>
              <w:t>年</w:t>
            </w:r>
            <w:r>
              <w:rPr>
                <w:rFonts w:hint="eastAsia" w:ascii="Times New Roman" w:hAnsi="Times New Roman" w:eastAsia="宋体"/>
                <w:color w:val="auto"/>
                <w:kern w:val="2"/>
                <w:szCs w:val="21"/>
                <w:lang w:val="en-US" w:eastAsia="zh-CN" w:bidi="ar-SA"/>
              </w:rPr>
              <w:t>）环境影响报告书》；</w:t>
            </w:r>
          </w:p>
          <w:p>
            <w:pPr>
              <w:pStyle w:val="8"/>
              <w:keepNext w:val="0"/>
              <w:keepLines w:val="0"/>
              <w:pageBreakBefore w:val="0"/>
              <w:widowControl w:val="0"/>
              <w:kinsoku/>
              <w:wordWrap/>
              <w:overflowPunct/>
              <w:topLinePunct w:val="0"/>
              <w:autoSpaceDE/>
              <w:autoSpaceDN/>
              <w:bidi w:val="0"/>
              <w:adjustRightInd/>
              <w:snapToGrid w:val="0"/>
              <w:ind w:firstLine="480" w:firstLineChars="200"/>
              <w:textAlignment w:val="auto"/>
              <w:rPr>
                <w:color w:val="auto"/>
              </w:rPr>
            </w:pPr>
            <w:r>
              <w:rPr>
                <w:rFonts w:hint="eastAsia"/>
                <w:color w:val="auto"/>
              </w:rPr>
              <w:t>审查机关：</w:t>
            </w:r>
            <w:r>
              <w:rPr>
                <w:rFonts w:hint="eastAsia" w:ascii="Times New Roman" w:hAnsi="Times New Roman" w:eastAsia="宋体"/>
                <w:color w:val="auto"/>
                <w:kern w:val="2"/>
                <w:szCs w:val="21"/>
                <w:lang w:val="en-US" w:eastAsia="zh-CN" w:bidi="ar-SA"/>
              </w:rPr>
              <w:t>天津市生态环境局</w:t>
            </w:r>
            <w:r>
              <w:rPr>
                <w:rFonts w:hint="eastAsia"/>
                <w:color w:val="auto"/>
              </w:rPr>
              <w:t>；</w:t>
            </w:r>
          </w:p>
          <w:p>
            <w:pPr>
              <w:pStyle w:val="8"/>
              <w:keepNext w:val="0"/>
              <w:keepLines w:val="0"/>
              <w:pageBreakBefore w:val="0"/>
              <w:widowControl w:val="0"/>
              <w:kinsoku/>
              <w:wordWrap/>
              <w:overflowPunct/>
              <w:topLinePunct w:val="0"/>
              <w:autoSpaceDE/>
              <w:autoSpaceDN/>
              <w:bidi w:val="0"/>
              <w:adjustRightInd/>
              <w:snapToGrid w:val="0"/>
              <w:ind w:left="0" w:leftChars="0" w:firstLine="480" w:firstLineChars="200"/>
              <w:textAlignment w:val="auto"/>
              <w:rPr>
                <w:rFonts w:hint="eastAsia" w:ascii="Times New Roman" w:hAnsi="Times New Roman" w:eastAsia="宋体"/>
                <w:color w:val="auto"/>
                <w:kern w:val="2"/>
                <w:szCs w:val="21"/>
                <w:lang w:val="en-US" w:eastAsia="zh-CN" w:bidi="ar-SA"/>
              </w:rPr>
            </w:pPr>
            <w:r>
              <w:rPr>
                <w:rFonts w:hint="eastAsia"/>
                <w:color w:val="auto"/>
              </w:rPr>
              <w:t>审查文件名称和文号：</w:t>
            </w:r>
            <w:r>
              <w:rPr>
                <w:rFonts w:hint="eastAsia" w:ascii="Times New Roman" w:hAnsi="Times New Roman" w:eastAsia="宋体"/>
                <w:color w:val="auto"/>
                <w:kern w:val="2"/>
                <w:szCs w:val="21"/>
                <w:lang w:val="en-US" w:eastAsia="zh-CN" w:bidi="ar-SA"/>
              </w:rPr>
              <w:t>《天津华苑产业</w:t>
            </w:r>
            <w:r>
              <w:rPr>
                <w:rFonts w:hint="eastAsia"/>
                <w:color w:val="auto"/>
                <w:kern w:val="2"/>
                <w:szCs w:val="21"/>
                <w:lang w:val="en-US" w:eastAsia="zh-CN" w:bidi="ar-SA"/>
              </w:rPr>
              <w:t>园</w:t>
            </w:r>
            <w:r>
              <w:rPr>
                <w:rFonts w:hint="eastAsia" w:ascii="Times New Roman" w:hAnsi="Times New Roman" w:eastAsia="宋体"/>
                <w:color w:val="auto"/>
                <w:kern w:val="2"/>
                <w:szCs w:val="21"/>
                <w:lang w:val="en-US" w:eastAsia="zh-CN" w:bidi="ar-SA"/>
              </w:rPr>
              <w:t>（环外）总体规划修改（2016-2035</w:t>
            </w:r>
            <w:r>
              <w:rPr>
                <w:rFonts w:hint="eastAsia"/>
                <w:color w:val="auto"/>
                <w:kern w:val="2"/>
                <w:szCs w:val="21"/>
                <w:lang w:val="en-US" w:eastAsia="zh-CN" w:bidi="ar-SA"/>
              </w:rPr>
              <w:t>年</w:t>
            </w:r>
            <w:r>
              <w:rPr>
                <w:rFonts w:hint="eastAsia" w:ascii="Times New Roman" w:hAnsi="Times New Roman" w:eastAsia="宋体"/>
                <w:color w:val="auto"/>
                <w:kern w:val="2"/>
                <w:szCs w:val="21"/>
                <w:lang w:val="en-US" w:eastAsia="zh-CN" w:bidi="ar-SA"/>
              </w:rPr>
              <w:t>）环境影响报告书审查意见》（津环保环评函[2018]391号）。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ascii="Times New Roman" w:hAnsi="Times New Roman" w:eastAsia="宋体" w:cs="宋体"/>
                <w:color w:val="auto"/>
                <w:kern w:val="0"/>
                <w:sz w:val="24"/>
                <w:szCs w:val="24"/>
              </w:rPr>
            </w:pPr>
            <w:r>
              <w:rPr>
                <w:rFonts w:hint="eastAsia" w:ascii="Times New Roman" w:hAnsi="Times New Roman" w:eastAsia="宋体" w:cs="宋体"/>
                <w:color w:val="auto"/>
                <w:kern w:val="0"/>
                <w:sz w:val="24"/>
                <w:szCs w:val="24"/>
              </w:rPr>
              <w:t>规划及规划环境影响评价符合性分析</w:t>
            </w:r>
          </w:p>
        </w:tc>
        <w:tc>
          <w:tcPr>
            <w:tcW w:w="7402" w:type="dxa"/>
            <w:gridSpan w:val="3"/>
            <w:noWrap w:val="0"/>
            <w:vAlign w:val="center"/>
          </w:tcPr>
          <w:p>
            <w:pPr>
              <w:pStyle w:val="4"/>
              <w:bidi w:val="0"/>
              <w:rPr>
                <w:rFonts w:hint="eastAsia"/>
                <w:color w:val="auto"/>
                <w:lang w:val="en-US" w:eastAsia="zh-CN"/>
              </w:rPr>
            </w:pPr>
            <w:r>
              <w:rPr>
                <w:rFonts w:hint="eastAsia"/>
                <w:color w:val="auto"/>
                <w:lang w:val="en-US" w:eastAsia="zh-CN"/>
              </w:rPr>
              <w:t>1.规划及规划环评符合性分析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根据</w:t>
            </w:r>
            <w:r>
              <w:rPr>
                <w:rFonts w:hint="eastAsia"/>
                <w:color w:val="auto"/>
                <w:sz w:val="24"/>
                <w:szCs w:val="24"/>
                <w:lang w:eastAsia="zh-CN"/>
              </w:rPr>
              <w:t>《天津华苑产业区（环外部分）总体规划修改（2016-203</w:t>
            </w:r>
            <w:r>
              <w:rPr>
                <w:rFonts w:hint="eastAsia"/>
                <w:color w:val="auto"/>
                <w:sz w:val="24"/>
                <w:szCs w:val="24"/>
                <w:lang w:val="en-US" w:eastAsia="zh-CN"/>
              </w:rPr>
              <w:t>5</w:t>
            </w:r>
            <w:r>
              <w:rPr>
                <w:rFonts w:hint="eastAsia"/>
                <w:color w:val="auto"/>
                <w:sz w:val="24"/>
                <w:szCs w:val="24"/>
                <w:lang w:eastAsia="zh-CN"/>
              </w:rPr>
              <w:t>年）》，</w:t>
            </w:r>
            <w:r>
              <w:rPr>
                <w:rFonts w:hint="eastAsia" w:ascii="宋体" w:hAnsi="宋体" w:eastAsia="宋体" w:cs="宋体"/>
                <w:color w:val="auto"/>
                <w:kern w:val="0"/>
                <w:sz w:val="24"/>
                <w:szCs w:val="24"/>
                <w:lang w:val="en-US" w:eastAsia="zh-CN" w:bidi="ar"/>
              </w:rPr>
              <w:t>规划范围为：东至津沧快速路、海泰南北大街，南至海泰南道，西至海泰西路，北至海泰北道、津静路，用地总面积</w:t>
            </w:r>
            <w:r>
              <w:rPr>
                <w:rFonts w:hint="default" w:ascii="Times New Roman" w:hAnsi="Times New Roman" w:eastAsia="宋体" w:cs="Times New Roman"/>
                <w:color w:val="auto"/>
                <w:kern w:val="0"/>
                <w:sz w:val="24"/>
                <w:szCs w:val="24"/>
                <w:lang w:val="en-US" w:eastAsia="zh-CN" w:bidi="ar"/>
              </w:rPr>
              <w:t>9.58</w:t>
            </w:r>
            <w:r>
              <w:rPr>
                <w:rFonts w:hint="eastAsia" w:ascii="宋体" w:hAnsi="宋体" w:eastAsia="宋体" w:cs="宋体"/>
                <w:color w:val="auto"/>
                <w:kern w:val="0"/>
                <w:sz w:val="24"/>
                <w:szCs w:val="24"/>
                <w:lang w:val="en-US" w:eastAsia="zh-CN" w:bidi="ar"/>
              </w:rPr>
              <w:t>平方千米。园区发展定位为：立足天津中心城区，服务天津，面向京津冀乃至北方地区，努力打造国际化创新型产业生态新城，即“生态新城区、科技商务城”</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发展战略为：立足国际视野，建设世界一流产城融合示范区，发挥区位和品牌优势，整合资源，实现与周边城市功能联动发展，落实国家关于开发区向城市综合功能区转型的相关政策；产业定位为：以高端化、融合化、智能化与研发型、总部型、服务型相结合的“三化三型”为导向，构建以生产性服务业和新一代信息技术产业为特色产业，以生活性服务业为支撑的“</w:t>
            </w:r>
            <w:r>
              <w:rPr>
                <w:rFonts w:hint="default" w:ascii="Times New Roman" w:hAnsi="Times New Roman" w:eastAsia="宋体" w:cs="Times New Roman"/>
                <w:color w:val="auto"/>
                <w:kern w:val="0"/>
                <w:sz w:val="24"/>
                <w:szCs w:val="24"/>
                <w:lang w:val="en-US" w:eastAsia="zh-CN" w:bidi="ar"/>
              </w:rPr>
              <w:t>2+1</w:t>
            </w:r>
            <w:r>
              <w:rPr>
                <w:rFonts w:hint="eastAsia" w:ascii="宋体" w:hAnsi="宋体" w:eastAsia="宋体" w:cs="宋体"/>
                <w:color w:val="auto"/>
                <w:kern w:val="0"/>
                <w:sz w:val="24"/>
                <w:szCs w:val="24"/>
                <w:lang w:val="en-US" w:eastAsia="zh-CN" w:bidi="ar"/>
              </w:rPr>
              <w:t>”产业体系。</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根据</w:t>
            </w:r>
            <w:r>
              <w:rPr>
                <w:rFonts w:hint="eastAsia" w:ascii="Times New Roman" w:hAnsi="Times New Roman" w:eastAsia="宋体"/>
                <w:color w:val="auto"/>
                <w:kern w:val="2"/>
                <w:szCs w:val="21"/>
                <w:lang w:val="en-US" w:eastAsia="zh-CN" w:bidi="ar-SA"/>
              </w:rPr>
              <w:t>《天津华苑产业</w:t>
            </w:r>
            <w:r>
              <w:rPr>
                <w:rFonts w:hint="eastAsia"/>
                <w:color w:val="auto"/>
                <w:kern w:val="2"/>
                <w:szCs w:val="21"/>
                <w:lang w:val="en-US" w:eastAsia="zh-CN" w:bidi="ar-SA"/>
              </w:rPr>
              <w:t>园</w:t>
            </w:r>
            <w:r>
              <w:rPr>
                <w:rFonts w:hint="eastAsia" w:ascii="Times New Roman" w:hAnsi="Times New Roman" w:eastAsia="宋体"/>
                <w:color w:val="auto"/>
                <w:kern w:val="2"/>
                <w:szCs w:val="21"/>
                <w:lang w:val="en-US" w:eastAsia="zh-CN" w:bidi="ar-SA"/>
              </w:rPr>
              <w:t>（环外）总体规划修改（2016-2035</w:t>
            </w:r>
            <w:r>
              <w:rPr>
                <w:rFonts w:hint="eastAsia"/>
                <w:color w:val="auto"/>
                <w:kern w:val="2"/>
                <w:szCs w:val="21"/>
                <w:lang w:val="en-US" w:eastAsia="zh-CN" w:bidi="ar-SA"/>
              </w:rPr>
              <w:t>年</w:t>
            </w:r>
            <w:r>
              <w:rPr>
                <w:rFonts w:hint="eastAsia" w:ascii="Times New Roman" w:hAnsi="Times New Roman" w:eastAsia="宋体"/>
                <w:color w:val="auto"/>
                <w:kern w:val="2"/>
                <w:szCs w:val="21"/>
                <w:lang w:val="en-US" w:eastAsia="zh-CN" w:bidi="ar-SA"/>
              </w:rPr>
              <w:t>）环境影响报告书审查意见》</w:t>
            </w:r>
            <w:r>
              <w:rPr>
                <w:rFonts w:hint="eastAsia"/>
                <w:color w:val="auto"/>
                <w:kern w:val="2"/>
                <w:szCs w:val="21"/>
                <w:lang w:val="en-US" w:eastAsia="zh-CN" w:bidi="ar-SA"/>
              </w:rPr>
              <w:t>，园区产业规划为可用于研发、办公、检验。</w:t>
            </w:r>
            <w:r>
              <w:rPr>
                <w:rFonts w:hint="eastAsia" w:ascii="宋体" w:hAnsi="宋体" w:eastAsia="宋体" w:cs="宋体"/>
                <w:color w:val="auto"/>
                <w:kern w:val="0"/>
                <w:sz w:val="24"/>
                <w:szCs w:val="24"/>
                <w:lang w:val="en-US" w:eastAsia="zh-CN" w:bidi="ar"/>
              </w:rPr>
              <w:t>本项目位于</w:t>
            </w:r>
            <w:r>
              <w:rPr>
                <w:rFonts w:hint="eastAsia"/>
                <w:color w:val="auto"/>
                <w:szCs w:val="21"/>
                <w:lang w:val="en-US" w:eastAsia="zh-CN"/>
              </w:rPr>
              <w:t>天津滨海高新区华苑产业区（环外）海泰华科八路6号5层</w:t>
            </w:r>
            <w:r>
              <w:rPr>
                <w:rFonts w:hint="eastAsia" w:ascii="宋体" w:hAnsi="宋体" w:eastAsia="宋体" w:cs="宋体"/>
                <w:color w:val="auto"/>
                <w:kern w:val="0"/>
                <w:sz w:val="24"/>
                <w:szCs w:val="24"/>
                <w:lang w:val="en-US" w:eastAsia="zh-CN" w:bidi="ar"/>
              </w:rPr>
              <w:t>，本项目</w:t>
            </w:r>
            <w:r>
              <w:rPr>
                <w:rFonts w:hint="eastAsia" w:ascii="宋体" w:hAnsi="宋体" w:cs="宋体"/>
                <w:color w:val="auto"/>
                <w:kern w:val="0"/>
                <w:sz w:val="24"/>
                <w:szCs w:val="24"/>
                <w:lang w:val="en-US" w:eastAsia="zh-CN" w:bidi="ar"/>
              </w:rPr>
              <w:t>属于</w:t>
            </w:r>
            <w:r>
              <w:rPr>
                <w:rFonts w:hint="default" w:ascii="Times New Roman" w:hAnsi="Times New Roman" w:eastAsia="宋体" w:cs="宋体"/>
                <w:color w:val="auto"/>
                <w:sz w:val="24"/>
                <w:szCs w:val="24"/>
                <w:lang w:val="en-US" w:eastAsia="zh-CN"/>
              </w:rPr>
              <w:t>M7340医学研究和试验发展</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符合</w:t>
            </w:r>
            <w:r>
              <w:rPr>
                <w:rFonts w:hint="eastAsia" w:ascii="宋体" w:hAnsi="宋体" w:eastAsia="宋体" w:cs="宋体"/>
                <w:color w:val="auto"/>
                <w:kern w:val="0"/>
                <w:sz w:val="24"/>
                <w:szCs w:val="24"/>
                <w:lang w:val="en-US" w:eastAsia="zh-CN" w:bidi="ar"/>
              </w:rPr>
              <w:t>园区产业定位。</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eastAsia" w:ascii="宋体" w:hAnsi="宋体" w:cs="宋体"/>
                <w:color w:val="auto"/>
                <w:kern w:val="0"/>
                <w:sz w:val="24"/>
                <w:szCs w:val="24"/>
                <w:lang w:val="en-US" w:eastAsia="zh-CN" w:bidi="ar"/>
              </w:rPr>
              <w:t>规划环评中提出园区规划在实施过程中严格执行空间管制区划，</w:t>
            </w:r>
            <w:r>
              <w:rPr>
                <w:rFonts w:hint="eastAsia" w:ascii="宋体" w:hAnsi="宋体" w:eastAsia="宋体" w:cs="宋体"/>
                <w:color w:val="auto"/>
                <w:kern w:val="0"/>
                <w:sz w:val="24"/>
                <w:szCs w:val="24"/>
                <w:lang w:val="en-US" w:eastAsia="zh-CN" w:bidi="ar"/>
              </w:rPr>
              <w:t>禁止对禁止建设区的开发建设，并将占用交通干线防护林带的现状建设用地逐步调出。本项目用地为工业用地，不属于禁止建设区，</w:t>
            </w:r>
            <w:r>
              <w:rPr>
                <w:rFonts w:hint="eastAsia" w:ascii="宋体" w:hAnsi="宋体" w:cs="宋体"/>
                <w:color w:val="auto"/>
                <w:kern w:val="0"/>
                <w:sz w:val="24"/>
                <w:szCs w:val="24"/>
                <w:lang w:val="en-US" w:eastAsia="zh-CN" w:bidi="ar"/>
              </w:rPr>
              <w:t>未占用</w:t>
            </w:r>
            <w:r>
              <w:rPr>
                <w:rFonts w:hint="eastAsia" w:ascii="宋体" w:hAnsi="宋体" w:eastAsia="宋体" w:cs="宋体"/>
                <w:color w:val="auto"/>
                <w:kern w:val="0"/>
                <w:sz w:val="24"/>
                <w:szCs w:val="24"/>
                <w:lang w:val="en-US" w:eastAsia="zh-CN" w:bidi="ar"/>
              </w:rPr>
              <w:t>交通干线防护林带的现状建设用地</w:t>
            </w:r>
            <w:r>
              <w:rPr>
                <w:rFonts w:hint="eastAsia" w:ascii="宋体" w:hAnsi="宋体" w:cs="宋体"/>
                <w:color w:val="auto"/>
                <w:kern w:val="0"/>
                <w:sz w:val="24"/>
                <w:szCs w:val="24"/>
                <w:lang w:val="en-US" w:eastAsia="zh-CN" w:bidi="ar"/>
              </w:rPr>
              <w:t>，</w:t>
            </w:r>
            <w:r>
              <w:rPr>
                <w:rFonts w:hint="eastAsia" w:ascii="宋体" w:hAnsi="宋体" w:eastAsia="宋体" w:cs="宋体"/>
                <w:color w:val="auto"/>
                <w:kern w:val="0"/>
                <w:sz w:val="24"/>
                <w:szCs w:val="24"/>
                <w:lang w:val="en-US" w:eastAsia="zh-CN" w:bidi="ar"/>
              </w:rPr>
              <w:t>符合规划</w:t>
            </w:r>
            <w:r>
              <w:rPr>
                <w:rFonts w:hint="eastAsia" w:ascii="宋体" w:hAnsi="宋体" w:cs="宋体"/>
                <w:color w:val="auto"/>
                <w:kern w:val="0"/>
                <w:sz w:val="24"/>
                <w:szCs w:val="24"/>
                <w:lang w:val="en-US" w:eastAsia="zh-CN" w:bidi="ar"/>
              </w:rPr>
              <w:t>及规划</w:t>
            </w:r>
            <w:r>
              <w:rPr>
                <w:rFonts w:hint="eastAsia" w:ascii="宋体" w:hAnsi="宋体" w:eastAsia="宋体" w:cs="宋体"/>
                <w:color w:val="auto"/>
                <w:kern w:val="0"/>
                <w:sz w:val="24"/>
                <w:szCs w:val="24"/>
                <w:lang w:val="en-US" w:eastAsia="zh-CN" w:bidi="ar"/>
              </w:rPr>
              <w:t>环境影响评价</w:t>
            </w:r>
            <w:r>
              <w:rPr>
                <w:rFonts w:hint="eastAsia" w:ascii="宋体" w:hAnsi="宋体" w:cs="宋体"/>
                <w:color w:val="auto"/>
                <w:kern w:val="0"/>
                <w:sz w:val="24"/>
                <w:szCs w:val="24"/>
                <w:lang w:val="en-US" w:eastAsia="zh-CN" w:bidi="ar"/>
              </w:rPr>
              <w:t>相关</w:t>
            </w:r>
            <w:r>
              <w:rPr>
                <w:rFonts w:hint="eastAsia" w:ascii="宋体" w:hAnsi="宋体" w:eastAsia="宋体" w:cs="宋体"/>
                <w:color w:val="auto"/>
                <w:kern w:val="0"/>
                <w:sz w:val="24"/>
                <w:szCs w:val="24"/>
                <w:lang w:val="en-US" w:eastAsia="zh-CN" w:bidi="ar"/>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468" w:type="dxa"/>
            <w:noWrap w:val="0"/>
            <w:vAlign w:val="center"/>
          </w:tcPr>
          <w:p>
            <w:pPr>
              <w:keepNext w:val="0"/>
              <w:keepLines w:val="0"/>
              <w:pageBreakBefore w:val="0"/>
              <w:kinsoku/>
              <w:overflowPunct/>
              <w:topLinePunct w:val="0"/>
              <w:autoSpaceDE w:val="0"/>
              <w:autoSpaceDN w:val="0"/>
              <w:bidi w:val="0"/>
              <w:adjustRightInd w:val="0"/>
              <w:snapToGrid w:val="0"/>
              <w:ind w:firstLine="0" w:firstLineChars="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其他符合性分析</w:t>
            </w:r>
          </w:p>
        </w:tc>
        <w:tc>
          <w:tcPr>
            <w:tcW w:w="7402" w:type="dxa"/>
            <w:gridSpan w:val="3"/>
            <w:noWrap w:val="0"/>
            <w:vAlign w:val="center"/>
          </w:tcPr>
          <w:p>
            <w:pPr>
              <w:pStyle w:val="4"/>
              <w:bidi w:val="0"/>
              <w:rPr>
                <w:rFonts w:hint="eastAsia"/>
                <w:color w:val="auto"/>
                <w:lang w:val="en-US" w:eastAsia="zh-CN"/>
              </w:rPr>
            </w:pPr>
            <w:r>
              <w:rPr>
                <w:rFonts w:hint="eastAsia"/>
                <w:color w:val="auto"/>
                <w:lang w:val="en-US" w:eastAsia="zh-CN"/>
              </w:rPr>
              <w:t>1.1用地性质</w:t>
            </w:r>
            <w:r>
              <w:rPr>
                <w:rFonts w:hint="eastAsia"/>
                <w:color w:val="auto"/>
              </w:rPr>
              <w:t>合理性分析</w:t>
            </w:r>
          </w:p>
          <w:p>
            <w:pPr>
              <w:pStyle w:val="8"/>
              <w:ind w:firstLine="480"/>
              <w:rPr>
                <w:rFonts w:hint="eastAsia" w:eastAsia="宋体"/>
                <w:color w:val="auto"/>
                <w:lang w:val="en-US" w:eastAsia="zh-CN"/>
              </w:rPr>
            </w:pPr>
            <w:r>
              <w:rPr>
                <w:rFonts w:hint="eastAsia"/>
                <w:color w:val="auto"/>
              </w:rPr>
              <w:t>根据</w:t>
            </w:r>
            <w:r>
              <w:rPr>
                <w:rFonts w:hint="eastAsia"/>
                <w:color w:val="auto"/>
                <w:lang w:eastAsia="zh-CN"/>
              </w:rPr>
              <w:t>天津津科生物科技有限责任公司</w:t>
            </w:r>
            <w:r>
              <w:rPr>
                <w:rFonts w:hint="eastAsia"/>
                <w:color w:val="auto"/>
                <w:lang w:val="en-US" w:eastAsia="zh-CN"/>
              </w:rPr>
              <w:t>租赁天津滨海高新区资产管理有限公司房屋</w:t>
            </w:r>
            <w:r>
              <w:rPr>
                <w:rFonts w:hint="eastAsia"/>
                <w:color w:val="auto"/>
              </w:rPr>
              <w:t>房地证津</w:t>
            </w:r>
            <w:r>
              <w:rPr>
                <w:rFonts w:hint="eastAsia"/>
                <w:color w:val="auto"/>
                <w:lang w:eastAsia="zh-CN"/>
              </w:rPr>
              <w:t>（</w:t>
            </w:r>
            <w:r>
              <w:rPr>
                <w:rFonts w:hint="eastAsia"/>
                <w:color w:val="auto"/>
                <w:lang w:val="en-US" w:eastAsia="zh-CN"/>
              </w:rPr>
              <w:t>2016</w:t>
            </w:r>
            <w:r>
              <w:rPr>
                <w:rFonts w:hint="eastAsia"/>
                <w:color w:val="auto"/>
                <w:lang w:eastAsia="zh-CN"/>
              </w:rPr>
              <w:t>）</w:t>
            </w:r>
            <w:r>
              <w:rPr>
                <w:rFonts w:hint="eastAsia"/>
                <w:color w:val="auto"/>
              </w:rPr>
              <w:t>字</w:t>
            </w:r>
            <w:r>
              <w:rPr>
                <w:rFonts w:hint="eastAsia"/>
                <w:color w:val="auto"/>
                <w:lang w:eastAsia="zh-CN"/>
              </w:rPr>
              <w:t>滨海高新区不动产权</w:t>
            </w:r>
            <w:r>
              <w:rPr>
                <w:rFonts w:hint="eastAsia"/>
                <w:color w:val="auto"/>
              </w:rPr>
              <w:t>第1</w:t>
            </w:r>
            <w:r>
              <w:rPr>
                <w:rFonts w:hint="eastAsia"/>
                <w:color w:val="auto"/>
                <w:lang w:val="en-US" w:eastAsia="zh-CN"/>
              </w:rPr>
              <w:t>002305</w:t>
            </w:r>
            <w:r>
              <w:rPr>
                <w:rFonts w:hint="eastAsia"/>
                <w:color w:val="auto"/>
              </w:rPr>
              <w:t>号，项目用地为</w:t>
            </w:r>
            <w:r>
              <w:rPr>
                <w:rFonts w:hint="eastAsia"/>
                <w:color w:val="auto"/>
                <w:lang w:val="en-US" w:eastAsia="zh-CN"/>
              </w:rPr>
              <w:t>工业用地</w:t>
            </w:r>
            <w:r>
              <w:rPr>
                <w:rFonts w:hint="eastAsia"/>
                <w:color w:val="auto"/>
              </w:rPr>
              <w:t>，土地性质证明详见附件。本项目所在地为工业用地，不属于《限制用地项目目录（2012年本）》和《禁止用地项目目录（2012年本）》中的限制用地和禁止用地范围。故本项目选址</w:t>
            </w:r>
            <w:r>
              <w:rPr>
                <w:rFonts w:hint="eastAsia"/>
                <w:color w:val="auto"/>
                <w:lang w:eastAsia="zh-CN"/>
              </w:rPr>
              <w:t>合理</w:t>
            </w:r>
            <w:r>
              <w:rPr>
                <w:rFonts w:hint="eastAsia"/>
                <w:color w:val="auto"/>
              </w:rPr>
              <w:t>。</w:t>
            </w:r>
          </w:p>
          <w:p>
            <w:pPr>
              <w:pStyle w:val="4"/>
              <w:bidi w:val="0"/>
              <w:rPr>
                <w:rFonts w:hint="eastAsia"/>
                <w:b/>
                <w:bCs/>
                <w:color w:val="auto"/>
                <w:lang w:val="en-US" w:eastAsia="zh-CN"/>
              </w:rPr>
            </w:pPr>
            <w:r>
              <w:rPr>
                <w:rFonts w:hint="eastAsia"/>
                <w:b/>
                <w:bCs/>
                <w:color w:val="auto"/>
                <w:lang w:val="en-US" w:eastAsia="zh-CN"/>
              </w:rPr>
              <w:t>1.2与</w:t>
            </w:r>
            <w:r>
              <w:rPr>
                <w:color w:val="auto"/>
              </w:rPr>
              <w:t>《天津市人民政府关于实施“三线一单”生态环境分区管控的意见》</w:t>
            </w:r>
            <w:r>
              <w:rPr>
                <w:rFonts w:hint="eastAsia"/>
                <w:b/>
                <w:bCs/>
                <w:color w:val="auto"/>
                <w:lang w:val="en-US" w:eastAsia="zh-CN"/>
              </w:rPr>
              <w:t>符合性分析</w:t>
            </w:r>
          </w:p>
          <w:p>
            <w:pPr>
              <w:ind w:firstLine="480" w:firstLineChars="200"/>
              <w:rPr>
                <w:color w:val="auto"/>
              </w:rPr>
            </w:pPr>
            <w:r>
              <w:rPr>
                <w:color w:val="auto"/>
              </w:rPr>
              <w:t>根据《天津市人民政府关于实施“三线一单”生态环境分区管控的意见》（津政规[2020]9号），本项目</w:t>
            </w:r>
            <w:r>
              <w:rPr>
                <w:rFonts w:hint="eastAsia"/>
                <w:color w:val="auto"/>
                <w:lang w:eastAsia="zh-CN"/>
              </w:rPr>
              <w:t>位于</w:t>
            </w:r>
            <w:r>
              <w:rPr>
                <w:rFonts w:hint="eastAsia"/>
                <w:color w:val="auto"/>
                <w:sz w:val="24"/>
                <w:szCs w:val="24"/>
                <w:lang w:eastAsia="zh-CN"/>
              </w:rPr>
              <w:t>天津华苑产业区（环外部分），</w:t>
            </w:r>
            <w:r>
              <w:rPr>
                <w:color w:val="auto"/>
              </w:rPr>
              <w:t>所在位置属于</w:t>
            </w:r>
            <w:r>
              <w:rPr>
                <w:rFonts w:hint="eastAsia"/>
                <w:color w:val="auto"/>
                <w:lang w:eastAsia="zh-CN"/>
              </w:rPr>
              <w:t>“</w:t>
            </w:r>
            <w:r>
              <w:rPr>
                <w:color w:val="auto"/>
              </w:rPr>
              <w:t>重点管控单元-工业园区</w:t>
            </w:r>
            <w:r>
              <w:rPr>
                <w:rFonts w:hint="eastAsia"/>
                <w:color w:val="auto"/>
                <w:lang w:eastAsia="zh-CN"/>
              </w:rPr>
              <w:t>”</w:t>
            </w:r>
            <w:r>
              <w:rPr>
                <w:color w:val="auto"/>
              </w:rPr>
              <w:t>，主要管控要求：以产业高质量发展和环境污染治理为主，加强污染物排放控制和环境风险防控，进一步提升资源利用效率。其中，产业园区严格落实天津市及各区工业园区（集聚区）围城问题治理工作实施方案，以及</w:t>
            </w:r>
            <w:r>
              <w:rPr>
                <w:rFonts w:hint="eastAsia"/>
                <w:color w:val="auto"/>
                <w:lang w:eastAsia="zh-CN"/>
              </w:rPr>
              <w:t>“</w:t>
            </w:r>
            <w:r>
              <w:rPr>
                <w:color w:val="auto"/>
              </w:rPr>
              <w:t>散乱污</w:t>
            </w:r>
            <w:r>
              <w:rPr>
                <w:rFonts w:hint="eastAsia"/>
                <w:color w:val="auto"/>
                <w:lang w:eastAsia="zh-CN"/>
              </w:rPr>
              <w:t>”</w:t>
            </w:r>
            <w:r>
              <w:rPr>
                <w:color w:val="auto"/>
              </w:rPr>
              <w:t>企业治理工作要求，按期完成工业园区及</w:t>
            </w:r>
            <w:r>
              <w:rPr>
                <w:rFonts w:hint="eastAsia"/>
                <w:color w:val="auto"/>
                <w:lang w:eastAsia="zh-CN"/>
              </w:rPr>
              <w:t>“</w:t>
            </w:r>
            <w:r>
              <w:rPr>
                <w:color w:val="auto"/>
              </w:rPr>
              <w:t>散乱污</w:t>
            </w:r>
            <w:r>
              <w:rPr>
                <w:rFonts w:hint="eastAsia"/>
                <w:color w:val="auto"/>
                <w:lang w:eastAsia="zh-CN"/>
              </w:rPr>
              <w:t>”</w:t>
            </w:r>
            <w:r>
              <w:rPr>
                <w:color w:val="auto"/>
              </w:rPr>
              <w:t>企业整治工作；持续推动产业机构优化，淘汰落后产能，严格执行污水排放标准。沿海区域要严格产业准入，统筹优化区域产业与人口布局；强化园区及港区环境风险防控；严格岸线开发与自然岸线保护。</w:t>
            </w:r>
          </w:p>
          <w:p>
            <w:pPr>
              <w:pStyle w:val="8"/>
              <w:bidi w:val="0"/>
              <w:rPr>
                <w:color w:val="auto"/>
              </w:rPr>
            </w:pPr>
            <w:r>
              <w:rPr>
                <w:color w:val="auto"/>
              </w:rPr>
              <w:t>根据本评价后续分析预测章节可知，本项目运营期间产生的废气、废水、噪声均能实现达标排放，固体废物能够得到妥善处置，上述环境因子均不会对周边环境产生较大影响，同时本评价针对项目存在的环境风险进行了详细分析，并在此基础上提出了相应的风险防范措施，项目环境风险可</w:t>
            </w:r>
            <w:r>
              <w:rPr>
                <w:rFonts w:hint="eastAsia"/>
                <w:color w:val="auto"/>
              </w:rPr>
              <w:t>防</w:t>
            </w:r>
            <w:r>
              <w:rPr>
                <w:color w:val="auto"/>
              </w:rPr>
              <w:t>控。</w:t>
            </w:r>
          </w:p>
          <w:p>
            <w:pPr>
              <w:pStyle w:val="8"/>
              <w:bidi w:val="0"/>
              <w:rPr>
                <w:rFonts w:hint="default" w:eastAsia="宋体"/>
                <w:color w:val="auto"/>
                <w:lang w:val="en-US" w:eastAsia="zh-CN"/>
              </w:rPr>
            </w:pPr>
            <w:r>
              <w:rPr>
                <w:color w:val="auto"/>
              </w:rPr>
              <w:t>综上所述，本项目建设符合《天津市人民政府关于实施“三线一单”生态环境分区管控的意见》（津政规[2020]9号）</w:t>
            </w:r>
            <w:r>
              <w:rPr>
                <w:rFonts w:hint="eastAsia"/>
                <w:color w:val="auto"/>
                <w:lang w:val="en-US" w:eastAsia="zh-CN"/>
              </w:rPr>
              <w:t>中的相关要求。</w:t>
            </w:r>
          </w:p>
          <w:p>
            <w:pPr>
              <w:pStyle w:val="4"/>
              <w:bidi w:val="0"/>
              <w:rPr>
                <w:rFonts w:hint="eastAsia"/>
                <w:color w:val="auto"/>
                <w:lang w:val="en-US" w:eastAsia="zh-CN"/>
              </w:rPr>
            </w:pPr>
            <w:r>
              <w:rPr>
                <w:rFonts w:hint="eastAsia"/>
                <w:color w:val="auto"/>
                <w:lang w:val="en-US" w:eastAsia="zh-CN"/>
              </w:rPr>
              <w:t>1.3与《天津市滨海新区人民政府关于印发实施“三线一单”生态环境分区管控的意见的通知》符合性分析</w:t>
            </w:r>
          </w:p>
          <w:p>
            <w:pPr>
              <w:pStyle w:val="8"/>
              <w:bidi w:val="0"/>
              <w:rPr>
                <w:rFonts w:hint="eastAsia"/>
                <w:color w:val="auto"/>
                <w:lang w:val="en-US" w:eastAsia="zh-CN"/>
              </w:rPr>
            </w:pPr>
            <w:r>
              <w:rPr>
                <w:rFonts w:hint="eastAsia"/>
                <w:color w:val="auto"/>
                <w:lang w:val="en-US" w:eastAsia="zh-CN"/>
              </w:rPr>
              <w:t>根据《天津市滨海新区人民政府关于印发实施“三线一单”生态环境分区管控的意见的通知》</w:t>
            </w:r>
            <w:r>
              <w:rPr>
                <w:rFonts w:hint="eastAsia"/>
                <w:color w:val="auto"/>
                <w:lang w:eastAsia="zh-CN"/>
              </w:rPr>
              <w:t>（津滨政发〔2021〕21号），</w:t>
            </w:r>
            <w:r>
              <w:rPr>
                <w:color w:val="auto"/>
              </w:rPr>
              <w:t>本项目所在位置属于重点管控单元，</w:t>
            </w:r>
            <w:r>
              <w:rPr>
                <w:rFonts w:hint="eastAsia"/>
                <w:color w:val="auto"/>
              </w:rPr>
              <w:t>重点管控单元以产业高质量发展、环境污染治理为主，认真落实碳达峰、碳中和目标要求，加强污染物排放控制和环境风险防控，进一步提升资源利用效率。产业集聚类重点管控单元主要包括开发区、产业集聚区和部分街镇单元；严格产业准入要求，优化居住和工业空间布局，完善环境基础设施建设，强化重点行业减污降碳协同治理，通过绿色工厂、绿色园区等建设提升低碳发展水平，加强土壤污染风险防控，完善园区突发环境事件应急预案，提升环境风险防控及应急处置能力。</w:t>
            </w:r>
            <w:r>
              <w:rPr>
                <w:rFonts w:hint="eastAsia"/>
                <w:color w:val="auto"/>
                <w:lang w:val="en-US" w:eastAsia="zh-CN"/>
              </w:rPr>
              <w:t>生态环境单元管控要求见下表。</w:t>
            </w:r>
          </w:p>
          <w:p>
            <w:pPr>
              <w:pStyle w:val="83"/>
              <w:numPr>
                <w:ilvl w:val="0"/>
                <w:numId w:val="0"/>
              </w:numPr>
              <w:bidi w:val="0"/>
              <w:jc w:val="center"/>
              <w:rPr>
                <w:color w:val="auto"/>
              </w:rPr>
            </w:pPr>
            <w:r>
              <w:rPr>
                <w:rFonts w:hint="eastAsia"/>
                <w:color w:val="auto"/>
                <w:lang w:val="en-US" w:eastAsia="zh-CN"/>
              </w:rPr>
              <w:t>表1-1  与</w:t>
            </w:r>
            <w:r>
              <w:rPr>
                <w:rFonts w:hint="eastAsia"/>
                <w:color w:val="auto"/>
              </w:rPr>
              <w:t>滨海高新区</w:t>
            </w:r>
            <w:r>
              <w:rPr>
                <w:rFonts w:hint="eastAsia"/>
                <w:color w:val="auto"/>
                <w:lang w:val="en-US" w:eastAsia="zh-CN"/>
              </w:rPr>
              <w:t>生态环境准入清单</w:t>
            </w:r>
            <w:r>
              <w:rPr>
                <w:color w:val="auto"/>
              </w:rPr>
              <w:t>符合性分析</w:t>
            </w:r>
          </w:p>
          <w:tbl>
            <w:tblPr>
              <w:tblStyle w:val="29"/>
              <w:tblW w:w="7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3516"/>
              <w:gridCol w:w="2187"/>
              <w:gridCol w:w="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86" w:type="dxa"/>
                  <w:gridSpan w:val="2"/>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要求</w:t>
                  </w:r>
                </w:p>
              </w:tc>
              <w:tc>
                <w:tcPr>
                  <w:tcW w:w="2187"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本项目情况</w:t>
                  </w:r>
                </w:p>
              </w:tc>
              <w:tc>
                <w:tcPr>
                  <w:tcW w:w="703"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eastAsia="zh-CN"/>
                    </w:rPr>
                    <w:t>总体要求</w:t>
                  </w: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严格执行《中华人民共和国环境保护法》、《中华人民共和国大气污染防治法》、《中华人民共和国水污染防治法》、《中华人民共和国土壤污染防治法》、《中华人民共和国固体废物污染环境防治法》、《中华人民共和国清洁生产促进法》、《中华人民共和国循环经济促进法》、《天津市大气污染防治条例》、《天津市水污染防治条例》、《天津市土壤污染防治条例》等。</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本项目建设严格按照各项环保法律、条例执行</w:t>
                  </w:r>
                  <w:r>
                    <w:rPr>
                      <w:rFonts w:hint="eastAsia" w:cs="Times New Roman"/>
                      <w:bCs/>
                      <w:color w:val="auto"/>
                      <w:sz w:val="21"/>
                      <w:szCs w:val="21"/>
                      <w:lang w:val="en-US" w:eastAsia="zh-CN"/>
                    </w:rPr>
                    <w:t>。</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cs="Times New Roman"/>
                      <w:bCs/>
                      <w:color w:val="auto"/>
                      <w:sz w:val="21"/>
                      <w:szCs w:val="21"/>
                      <w:lang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严格执行《中华人民共和国自然保护区条例》、《关于划定并严守生态保护红线的若干意见》、《关于在国土空间规划中统筹划定落实三条控制线的指导意见》、《饮用水水源保护区污染防治管理规定》、《国家级森林公园管理办法》、《森林公园管理办法》、 《国家湿地公园管理办法》、《城市湿地公园管理办法》、《湿地 保护管理规定》、《自然生态空间用途管制办法（试行）》、《天津市河道管理条例》、《天津市湿地保护条例》、《天津市市管水库管理和保护范围规定》、《天津市永久性保护生态区域管理规定》、《天津市公园条例》、《天津市绿化条例》、《天津市规划控制线管理规定》、《天津市盐业管理条例》、《天津市绿色生态屏障管控地区管理若干规定》、 《天津市蓄滞洪区管理条例》、 《天津古海岸与湿地国家级自然保护区管理办法》、《天津市北大港湿地自然保护区管理办法》 等。</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eastAsia="zh-CN"/>
                    </w:rPr>
                    <w:t>本项目选址不涉及自然保护区、生态保护红线、永久性保护生态区域、公园、湿地、饮用水水源保护区等</w:t>
                  </w:r>
                  <w:r>
                    <w:rPr>
                      <w:rFonts w:hint="eastAsia" w:cs="Times New Roman"/>
                      <w:bCs/>
                      <w:color w:val="auto"/>
                      <w:sz w:val="21"/>
                      <w:szCs w:val="21"/>
                      <w:lang w:eastAsia="zh-CN"/>
                    </w:rPr>
                    <w:t>。</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cs="Times New Roman"/>
                      <w:bCs/>
                      <w:color w:val="auto"/>
                      <w:sz w:val="21"/>
                      <w:szCs w:val="21"/>
                      <w:lang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严格执行《产业结构调整指导目录（2019 年本）》、《产业发展与转移指导目录（2018 年本）》、《市场准入负面清单（2020年版）》、鼓励外商投资产业目录（2020 年版）》、《天津市人民政府办公厅关于印发天津石化产业调结构促转型增效益实施方案的通知》（津政办函〔2017〕129 号）、《石化产业规划布局方案（修订）》等。</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依据《产业结构调整指导目录（2019年本）》（2021年12 月27日修订），本项目为允许类。</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空间布局约束</w:t>
                  </w: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严格执行国家产业政策和准入标准，实行生态环境准入清单制度，禁止新建、扩建高污染工业项目。</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本项目不属于高污染的工业项目</w:t>
                  </w:r>
                  <w:r>
                    <w:rPr>
                      <w:rFonts w:hint="eastAsia" w:ascii="Times New Roman" w:hAnsi="Times New Roman" w:eastAsia="宋体" w:cs="Times New Roman"/>
                      <w:bCs/>
                      <w:color w:val="auto"/>
                      <w:sz w:val="21"/>
                      <w:szCs w:val="21"/>
                      <w:lang w:val="en-US" w:eastAsia="zh-CN"/>
                    </w:rPr>
                    <w:t>。</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color w:val="auto"/>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严格执行国家关于淘汰严重污染生态环境的产品、工艺、设备的规定，推动落后产能退出。</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本项目不涉及严重污染生态环境的工艺、设备。</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新建排放重点大气污染物的工业项目，应当按照有利于减排、资源循环利用和集中治理的原则，集中安排在工业园区建设。</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本项目位于天津</w:t>
                  </w:r>
                  <w:r>
                    <w:rPr>
                      <w:rFonts w:hint="eastAsia" w:cs="Times New Roman"/>
                      <w:bCs/>
                      <w:color w:val="auto"/>
                      <w:sz w:val="21"/>
                      <w:szCs w:val="21"/>
                      <w:lang w:val="en-US" w:eastAsia="zh-CN"/>
                    </w:rPr>
                    <w:t>滨海</w:t>
                  </w:r>
                  <w:r>
                    <w:rPr>
                      <w:rFonts w:hint="eastAsia" w:ascii="Times New Roman" w:hAnsi="Times New Roman" w:eastAsia="宋体" w:cs="Times New Roman"/>
                      <w:bCs/>
                      <w:color w:val="auto"/>
                      <w:sz w:val="21"/>
                      <w:szCs w:val="21"/>
                      <w:lang w:val="en-US" w:eastAsia="zh-CN"/>
                    </w:rPr>
                    <w:t>高新区华苑</w:t>
                  </w:r>
                  <w:r>
                    <w:rPr>
                      <w:rFonts w:hint="eastAsia" w:cs="Times New Roman"/>
                      <w:bCs/>
                      <w:color w:val="auto"/>
                      <w:sz w:val="21"/>
                      <w:szCs w:val="21"/>
                      <w:lang w:val="en-US" w:eastAsia="zh-CN"/>
                    </w:rPr>
                    <w:t>产业区</w:t>
                  </w:r>
                  <w:r>
                    <w:rPr>
                      <w:rFonts w:hint="eastAsia" w:ascii="Times New Roman" w:hAnsi="Times New Roman" w:eastAsia="宋体" w:cs="Times New Roman"/>
                      <w:bCs/>
                      <w:color w:val="auto"/>
                      <w:sz w:val="21"/>
                      <w:szCs w:val="21"/>
                      <w:lang w:val="en-US" w:eastAsia="zh-CN"/>
                    </w:rPr>
                    <w:t>（环外），位于工业园区内。</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新建、扩建“两高”项目应采用先进适用的工艺技术和装备，单位产品物耗、能耗、水耗等达到清洁生产先进水平，依法制定并严格落实防治土壤与地下水污染的措施。</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本项目非“两高”项目。</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推进园区外企业向工业园区聚集，原则上不再审批工业园区外 新建、改建、扩建新增水污染物的工业项目。</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本项目位于天津</w:t>
                  </w:r>
                  <w:r>
                    <w:rPr>
                      <w:rFonts w:hint="eastAsia" w:cs="Times New Roman"/>
                      <w:bCs/>
                      <w:color w:val="auto"/>
                      <w:sz w:val="21"/>
                      <w:szCs w:val="21"/>
                      <w:lang w:val="en-US" w:eastAsia="zh-CN"/>
                    </w:rPr>
                    <w:t>滨海</w:t>
                  </w:r>
                  <w:r>
                    <w:rPr>
                      <w:rFonts w:hint="eastAsia" w:ascii="Times New Roman" w:hAnsi="Times New Roman" w:eastAsia="宋体" w:cs="Times New Roman"/>
                      <w:bCs/>
                      <w:color w:val="auto"/>
                      <w:sz w:val="21"/>
                      <w:szCs w:val="21"/>
                      <w:lang w:val="en-US" w:eastAsia="zh-CN"/>
                    </w:rPr>
                    <w:t>高新区华苑</w:t>
                  </w:r>
                  <w:r>
                    <w:rPr>
                      <w:rFonts w:hint="eastAsia" w:cs="Times New Roman"/>
                      <w:bCs/>
                      <w:color w:val="auto"/>
                      <w:sz w:val="21"/>
                      <w:szCs w:val="21"/>
                      <w:lang w:val="en-US" w:eastAsia="zh-CN"/>
                    </w:rPr>
                    <w:t>产业区</w:t>
                  </w:r>
                  <w:r>
                    <w:rPr>
                      <w:rFonts w:hint="eastAsia" w:ascii="Times New Roman" w:hAnsi="Times New Roman" w:eastAsia="宋体" w:cs="Times New Roman"/>
                      <w:bCs/>
                      <w:color w:val="auto"/>
                      <w:sz w:val="21"/>
                      <w:szCs w:val="21"/>
                      <w:lang w:val="en-US" w:eastAsia="zh-CN"/>
                    </w:rPr>
                    <w:t>（环外），位于工业园区内。</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严守生态红线，在红线区域内严格实施土地用途管制和产业退出制度。</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本项目选址不涉及占压生态红线。</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cs="Times New Roman"/>
                      <w:bCs/>
                      <w:color w:val="auto"/>
                      <w:sz w:val="21"/>
                      <w:szCs w:val="21"/>
                      <w:lang w:val="en-US" w:eastAsia="zh-CN"/>
                    </w:rPr>
                  </w:pP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污染物排饭管控</w:t>
                  </w: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新改</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扩建项目必须严格执行污染物排放等量或倍量替代，严格落实国家大气污染物特别排放限值要求。</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olor w:val="auto"/>
                      <w:kern w:val="0"/>
                      <w:sz w:val="21"/>
                      <w:szCs w:val="21"/>
                      <w:lang w:eastAsia="zh-CN" w:bidi="ar"/>
                    </w:rPr>
                    <w:t>本项目属于新建项目，根据</w:t>
                  </w:r>
                  <w:r>
                    <w:rPr>
                      <w:rFonts w:hint="eastAsia"/>
                      <w:color w:val="auto"/>
                      <w:kern w:val="0"/>
                      <w:sz w:val="21"/>
                      <w:szCs w:val="21"/>
                      <w:lang w:eastAsia="zh-CN" w:bidi="ar"/>
                    </w:rPr>
                    <w:t>《天津市人民政府办公厅关于印发天津市重点污染物排放总量控制管理办法（试行）的通知》（津政办规〔2023〕1号）</w:t>
                  </w:r>
                  <w:r>
                    <w:rPr>
                      <w:rFonts w:hint="eastAsia"/>
                      <w:color w:val="auto"/>
                      <w:kern w:val="0"/>
                      <w:sz w:val="21"/>
                      <w:szCs w:val="21"/>
                      <w:lang w:eastAsia="zh-CN" w:bidi="ar"/>
                    </w:rPr>
                    <w:t>，</w:t>
                  </w:r>
                  <w:r>
                    <w:rPr>
                      <w:rFonts w:hint="eastAsia" w:ascii="Times New Roman" w:hAnsi="Times New Roman" w:eastAsia="宋体" w:cs="Times New Roman"/>
                      <w:bCs/>
                      <w:color w:val="auto"/>
                      <w:sz w:val="21"/>
                      <w:szCs w:val="21"/>
                      <w:lang w:val="en-US" w:eastAsia="zh-CN"/>
                    </w:rPr>
                    <w:t>严格执行污染物排放等量或倍量替代</w:t>
                  </w:r>
                  <w:r>
                    <w:rPr>
                      <w:rFonts w:hint="eastAsia" w:cs="Times New Roman"/>
                      <w:bCs/>
                      <w:color w:val="auto"/>
                      <w:sz w:val="21"/>
                      <w:szCs w:val="21"/>
                      <w:lang w:val="en-US" w:eastAsia="zh-CN"/>
                    </w:rPr>
                    <w:t>。</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color w:val="auto"/>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严格执行废气、废水、噪声、固体废物等国家、地方污染物排放标准。</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本项目施工期、运营期严格执行废气、废水、噪声、固体废物等国家、地方污染物</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排放标准。</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实施氮磷排放总量控制，实行新建、改建、扩建项目氮磷总量指标减量替代。</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严格落实氮磷排放总量控制。</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both"/>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新建、改建、扩建项目须落实 SO2、</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NOx 和 VOCs 等污染物排放总量倍量替代要求。用于建设项目的“可替代总量指标”原则上来源于国家或天津市认定的减排项目。</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严格落实污染物排放总量倍量替代要求。</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both"/>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环境风险防控</w:t>
                  </w: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工业固体废物堆存场所建成防扬散、防流失、防渗漏设施。</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本项目固体废物全部存储在室内，能够满足防扬散、防流失、防渗漏的要求。</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资源</w:t>
                  </w:r>
                  <w:r>
                    <w:rPr>
                      <w:rFonts w:hint="eastAsia" w:cs="Times New Roman"/>
                      <w:bCs/>
                      <w:color w:val="auto"/>
                      <w:sz w:val="21"/>
                      <w:szCs w:val="21"/>
                      <w:lang w:eastAsia="zh-CN"/>
                    </w:rPr>
                    <w:t>利用</w:t>
                  </w:r>
                  <w:r>
                    <w:rPr>
                      <w:rFonts w:hint="eastAsia" w:ascii="Times New Roman" w:hAnsi="Times New Roman" w:eastAsia="宋体" w:cs="Times New Roman"/>
                      <w:bCs/>
                      <w:color w:val="auto"/>
                      <w:sz w:val="21"/>
                      <w:szCs w:val="21"/>
                    </w:rPr>
                    <w:t>效率</w:t>
                  </w: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严格执行《天津市节约用水条例》、《天津市实行最严格水资源管理制度考核暂行办法》、《天津市实施〈中华人民共和国水法〉办法》，加强用水管控。</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本项目严格按照天津市相关用水文件执行，加强用水管控</w:t>
                  </w:r>
                  <w:r>
                    <w:rPr>
                      <w:rFonts w:hint="eastAsia" w:ascii="Times New Roman" w:hAnsi="Times New Roman" w:eastAsia="宋体" w:cs="Times New Roman"/>
                      <w:bCs/>
                      <w:color w:val="auto"/>
                      <w:sz w:val="21"/>
                      <w:szCs w:val="21"/>
                      <w:lang w:val="en-US" w:eastAsia="zh-CN"/>
                    </w:rPr>
                    <w:t>。</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color w:val="auto"/>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在高污染燃料禁燃区内，新建、改建、扩建项目禁止使用煤和重油、渣油、石油焦等高污染燃料。高污染燃料禁燃区内已建的燃煤电厂和企业事业单位及其他生产经营者使用高污染燃料的锅炉、窑炉，应当按照市或者区人民政府规定的期限改用天然气等清洁能源、并网或者拆除，国家另有规定的除外。</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本项目耗能为电能。</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7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p>
              </w:tc>
              <w:tc>
                <w:tcPr>
                  <w:tcW w:w="351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严格执行《天津市滨海新区国土空间总体规划》的空间布局、建设用地约束管控要求、坚守建设用地规模底线、落实土地用途管制制度。</w:t>
                  </w:r>
                </w:p>
              </w:tc>
              <w:tc>
                <w:tcPr>
                  <w:tcW w:w="21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本项目用地为工业用地。</w:t>
                  </w:r>
                </w:p>
              </w:tc>
              <w:tc>
                <w:tcPr>
                  <w:tcW w:w="7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符合</w:t>
                  </w:r>
                </w:p>
              </w:tc>
            </w:tr>
          </w:tbl>
          <w:p>
            <w:pPr>
              <w:pStyle w:val="83"/>
              <w:numPr>
                <w:ilvl w:val="0"/>
                <w:numId w:val="0"/>
              </w:numPr>
              <w:bidi w:val="0"/>
              <w:jc w:val="center"/>
              <w:rPr>
                <w:color w:val="auto"/>
              </w:rPr>
            </w:pPr>
            <w:r>
              <w:rPr>
                <w:rFonts w:hint="eastAsia"/>
                <w:color w:val="auto"/>
                <w:lang w:val="en-US" w:eastAsia="zh-CN"/>
              </w:rPr>
              <w:t>表1-2  与</w:t>
            </w:r>
            <w:r>
              <w:rPr>
                <w:rFonts w:hint="eastAsia"/>
                <w:color w:val="auto"/>
              </w:rPr>
              <w:t>天津滨海高新技术产业开发区华苑</w:t>
            </w:r>
            <w:r>
              <w:rPr>
                <w:rFonts w:hint="eastAsia"/>
                <w:color w:val="auto"/>
                <w:lang w:eastAsia="zh-CN"/>
              </w:rPr>
              <w:t>科技</w:t>
            </w:r>
            <w:r>
              <w:rPr>
                <w:rFonts w:hint="eastAsia"/>
                <w:color w:val="auto"/>
              </w:rPr>
              <w:t>园环外</w:t>
            </w:r>
            <w:r>
              <w:rPr>
                <w:rFonts w:hint="eastAsia"/>
                <w:color w:val="auto"/>
                <w:lang w:val="en-US" w:eastAsia="zh-CN"/>
              </w:rPr>
              <w:t>生态环境准入清单</w:t>
            </w:r>
            <w:r>
              <w:rPr>
                <w:color w:val="auto"/>
              </w:rPr>
              <w:t>符合性分析</w:t>
            </w:r>
          </w:p>
          <w:tbl>
            <w:tblPr>
              <w:tblStyle w:val="29"/>
              <w:tblW w:w="7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0"/>
              <w:gridCol w:w="2453"/>
              <w:gridCol w:w="3153"/>
              <w:gridCol w:w="8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23" w:type="dxa"/>
                  <w:gridSpan w:val="2"/>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要求</w:t>
                  </w:r>
                </w:p>
              </w:tc>
              <w:tc>
                <w:tcPr>
                  <w:tcW w:w="3153"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本项目情况</w:t>
                  </w:r>
                </w:p>
              </w:tc>
              <w:tc>
                <w:tcPr>
                  <w:tcW w:w="800"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b/>
                      <w:bCs/>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空间布局约束</w:t>
                  </w:r>
                </w:p>
              </w:tc>
              <w:tc>
                <w:tcPr>
                  <w:tcW w:w="2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eastAsia="zh-CN"/>
                    </w:rPr>
                    <w:t>执行总体生态环境准入清单空间布局约束准入要求。</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eastAsia="zh-CN"/>
                    </w:rPr>
                  </w:pPr>
                </w:p>
              </w:tc>
              <w:tc>
                <w:tcPr>
                  <w:tcW w:w="3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lang w:val="en-US" w:eastAsia="zh-CN"/>
                    </w:rPr>
                    <w:t>本项目选址于天津滨海高新区华苑产业</w:t>
                  </w:r>
                  <w:r>
                    <w:rPr>
                      <w:rFonts w:hint="eastAsia" w:cs="Times New Roman"/>
                      <w:bCs/>
                      <w:color w:val="auto"/>
                      <w:sz w:val="21"/>
                      <w:szCs w:val="21"/>
                      <w:lang w:val="en-US" w:eastAsia="zh-CN"/>
                    </w:rPr>
                    <w:t>区</w:t>
                  </w:r>
                  <w:r>
                    <w:rPr>
                      <w:rFonts w:hint="eastAsia" w:ascii="Times New Roman" w:hAnsi="Times New Roman" w:eastAsia="宋体" w:cs="Times New Roman"/>
                      <w:bCs/>
                      <w:color w:val="auto"/>
                      <w:sz w:val="21"/>
                      <w:szCs w:val="21"/>
                      <w:lang w:val="en-US" w:eastAsia="zh-CN"/>
                    </w:rPr>
                    <w:t>（环外）海泰华科八路6号四层E区</w:t>
                  </w:r>
                  <w:r>
                    <w:rPr>
                      <w:rFonts w:hint="eastAsia" w:cs="Times New Roman"/>
                      <w:bCs/>
                      <w:color w:val="auto"/>
                      <w:sz w:val="21"/>
                      <w:szCs w:val="21"/>
                      <w:lang w:val="en-US" w:eastAsia="zh-CN"/>
                    </w:rPr>
                    <w:t>512~514</w:t>
                  </w:r>
                  <w:r>
                    <w:rPr>
                      <w:rFonts w:hint="eastAsia" w:ascii="Times New Roman" w:hAnsi="Times New Roman" w:eastAsia="宋体" w:cs="Times New Roman"/>
                      <w:bCs/>
                      <w:color w:val="auto"/>
                      <w:sz w:val="21"/>
                      <w:szCs w:val="21"/>
                      <w:lang w:val="en-US" w:eastAsia="zh-CN"/>
                    </w:rPr>
                    <w:t>、不涉及占压生态保护红线和永久性生态保护区域，符合总体要求中的1~12、17</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30项中的要求；本项目为工业用地，符合总体要求中的27~29项要求，其他项本项目不涉及。综上，本项目符合总体生态环境准入清单空间布局约束准入要求。根据前述规划符合性分析，本项目符合</w:t>
                  </w:r>
                  <w:r>
                    <w:rPr>
                      <w:rFonts w:hint="eastAsia" w:cs="Times New Roman"/>
                      <w:bCs/>
                      <w:color w:val="auto"/>
                      <w:sz w:val="21"/>
                      <w:szCs w:val="21"/>
                      <w:lang w:val="en-US" w:eastAsia="zh-CN"/>
                    </w:rPr>
                    <w:t>园区</w:t>
                  </w:r>
                  <w:r>
                    <w:rPr>
                      <w:rFonts w:hint="eastAsia" w:ascii="Times New Roman" w:hAnsi="Times New Roman" w:eastAsia="宋体" w:cs="Times New Roman"/>
                      <w:bCs/>
                      <w:color w:val="auto"/>
                      <w:sz w:val="21"/>
                      <w:szCs w:val="21"/>
                      <w:lang w:val="en-US" w:eastAsia="zh-CN"/>
                    </w:rPr>
                    <w:t>的产业规划。</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rPr>
                    <w:t>污染物排放管控</w:t>
                  </w:r>
                </w:p>
              </w:tc>
              <w:tc>
                <w:tcPr>
                  <w:tcW w:w="2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lang w:val="en-US" w:eastAsia="zh-CN"/>
                    </w:rPr>
                    <w:t>执行总体生态环境准入清单污染物排放管控准入要求。</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val="en-US" w:eastAsia="zh-CN"/>
                    </w:rPr>
                    <w:t>加强对生物医药、装备制造等行业VOCs排放的管控。</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强化工业集聚区水污染治理监管，确保污水集中处理设施达标排放。</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r>
                    <w:rPr>
                      <w:rFonts w:hint="eastAsia" w:ascii="Times New Roman" w:hAnsi="Times New Roman" w:eastAsia="宋体" w:cs="Times New Roman"/>
                      <w:bCs/>
                      <w:color w:val="auto"/>
                      <w:sz w:val="21"/>
                      <w:szCs w:val="21"/>
                      <w:lang w:val="en-US" w:eastAsia="zh-CN"/>
                    </w:rPr>
                    <w:t>加强园区工业固体废物综合利用及危险废物处理处置管理。</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eastAsia" w:ascii="Times New Roman" w:hAnsi="Times New Roman" w:eastAsia="宋体" w:cs="Times New Roman"/>
                      <w:bCs/>
                      <w:color w:val="auto"/>
                      <w:sz w:val="21"/>
                      <w:szCs w:val="21"/>
                      <w:lang w:val="en-US" w:eastAsia="zh-CN"/>
                    </w:rPr>
                    <w:t>推动生活垃圾分类和统一收集处理。</w:t>
                  </w:r>
                </w:p>
              </w:tc>
              <w:tc>
                <w:tcPr>
                  <w:tcW w:w="3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r>
                    <w:rPr>
                      <w:rFonts w:hint="default" w:ascii="Times New Roman" w:hAnsi="Times New Roman" w:eastAsia="宋体" w:cs="Times New Roman"/>
                      <w:bCs/>
                      <w:color w:val="auto"/>
                      <w:sz w:val="21"/>
                      <w:szCs w:val="21"/>
                      <w:lang w:val="en-US" w:eastAsia="zh-CN"/>
                    </w:rPr>
                    <w:t>根据项目影响分析，本项目运营期间产生的废气、废水、噪声均能实现达标排放，固体废物能够得到妥善处置，符合总体生态环境准入清单污染物排放管控准入要求。</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cs="Times New Roman"/>
                      <w:bCs/>
                      <w:color w:val="auto"/>
                      <w:sz w:val="21"/>
                      <w:szCs w:val="21"/>
                      <w:highlight w:val="none"/>
                      <w:lang w:val="en-US" w:eastAsia="zh-CN"/>
                    </w:rPr>
                  </w:pPr>
                  <w:r>
                    <w:rPr>
                      <w:rFonts w:hint="eastAsia" w:cs="Times New Roman"/>
                      <w:bCs/>
                      <w:color w:val="auto"/>
                      <w:sz w:val="21"/>
                      <w:szCs w:val="21"/>
                      <w:highlight w:val="none"/>
                      <w:lang w:val="en-US" w:eastAsia="zh-CN"/>
                    </w:rPr>
                    <w:t>2.实验过程、溶液配制产生的非甲烷总烃、TRVOC、甲醇、二甲苯、氯化氢、氨、臭气浓度，废气通过病理实验室通风橱全部收集，动物饲养间消毒、饲养过程产生的非甲烷总烃、TRVOC、氨、硫化氢、臭气浓度，通过洁净车间整体收集，经1套活性炭设施处理后通过1根20m高排气筒P1排放</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根据废气预测，可达标排放。</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default" w:ascii="Times New Roman" w:hAnsi="Times New Roman" w:eastAsia="宋体" w:cs="Times New Roman"/>
                      <w:bCs/>
                      <w:color w:val="auto"/>
                      <w:sz w:val="21"/>
                      <w:szCs w:val="21"/>
                      <w:highlight w:val="yellow"/>
                      <w:lang w:val="en-US" w:eastAsia="zh-CN"/>
                    </w:rPr>
                  </w:pPr>
                  <w:r>
                    <w:rPr>
                      <w:rFonts w:hint="eastAsia" w:cs="Times New Roman"/>
                      <w:bCs/>
                      <w:color w:val="auto"/>
                      <w:sz w:val="21"/>
                      <w:szCs w:val="21"/>
                      <w:highlight w:val="none"/>
                      <w:lang w:val="en-US" w:eastAsia="zh-CN"/>
                    </w:rPr>
                    <w:t>3.</w:t>
                  </w:r>
                  <w:r>
                    <w:rPr>
                      <w:rFonts w:hint="eastAsia" w:eastAsia="宋体"/>
                      <w:color w:val="auto"/>
                      <w:sz w:val="21"/>
                      <w:szCs w:val="21"/>
                      <w:highlight w:val="none"/>
                      <w:lang w:val="en-US" w:eastAsia="zh-CN"/>
                    </w:rPr>
                    <w:t>本项目</w:t>
                  </w:r>
                  <w:r>
                    <w:rPr>
                      <w:rFonts w:hint="eastAsia" w:eastAsia="宋体"/>
                      <w:color w:val="auto"/>
                      <w:sz w:val="21"/>
                      <w:szCs w:val="21"/>
                      <w:lang w:val="en-US" w:eastAsia="zh-CN"/>
                    </w:rPr>
                    <w:t>动物房清洗废水、手术器具清洁废水、</w:t>
                  </w:r>
                  <w:r>
                    <w:rPr>
                      <w:rFonts w:hint="eastAsia"/>
                      <w:color w:val="auto"/>
                      <w:sz w:val="21"/>
                      <w:szCs w:val="21"/>
                      <w:lang w:val="en-US" w:eastAsia="zh-CN"/>
                    </w:rPr>
                    <w:t>第三次实验清洗废水、实验服清洗废水经消毒处理，</w:t>
                  </w:r>
                  <w:r>
                    <w:rPr>
                      <w:rFonts w:hint="eastAsia" w:eastAsia="宋体"/>
                      <w:color w:val="auto"/>
                      <w:sz w:val="21"/>
                      <w:szCs w:val="21"/>
                      <w:highlight w:val="none"/>
                      <w:lang w:val="en-US" w:eastAsia="zh-CN"/>
                    </w:rPr>
                    <w:t>生活污水经化粪池静置沉淀</w:t>
                  </w:r>
                  <w:r>
                    <w:rPr>
                      <w:rFonts w:hint="eastAsia"/>
                      <w:color w:val="auto"/>
                      <w:sz w:val="21"/>
                      <w:szCs w:val="21"/>
                      <w:highlight w:val="none"/>
                      <w:lang w:val="en-US" w:eastAsia="zh-CN"/>
                    </w:rPr>
                    <w:t>处理</w:t>
                  </w:r>
                  <w:r>
                    <w:rPr>
                      <w:rFonts w:hint="eastAsia" w:eastAsia="宋体"/>
                      <w:color w:val="auto"/>
                      <w:sz w:val="21"/>
                      <w:szCs w:val="21"/>
                      <w:highlight w:val="none"/>
                      <w:lang w:val="en-US" w:eastAsia="zh-CN"/>
                    </w:rPr>
                    <w:t>，</w:t>
                  </w:r>
                  <w:r>
                    <w:rPr>
                      <w:rFonts w:hint="eastAsia"/>
                      <w:color w:val="auto"/>
                      <w:sz w:val="21"/>
                      <w:szCs w:val="21"/>
                      <w:highlight w:val="none"/>
                      <w:lang w:val="en-US" w:eastAsia="zh-CN"/>
                    </w:rPr>
                    <w:t>同</w:t>
                  </w:r>
                  <w:r>
                    <w:rPr>
                      <w:rFonts w:hint="eastAsia" w:eastAsia="宋体"/>
                      <w:color w:val="auto"/>
                      <w:sz w:val="21"/>
                      <w:szCs w:val="21"/>
                      <w:highlight w:val="none"/>
                      <w:lang w:val="en-US" w:eastAsia="zh-CN"/>
                    </w:rPr>
                    <w:t>净</w:t>
                  </w:r>
                  <w:r>
                    <w:rPr>
                      <w:rFonts w:hint="eastAsia" w:eastAsia="宋体"/>
                      <w:color w:val="auto"/>
                      <w:sz w:val="21"/>
                      <w:szCs w:val="21"/>
                      <w:lang w:val="en-US" w:eastAsia="zh-CN"/>
                    </w:rPr>
                    <w:t>水机浓水</w:t>
                  </w:r>
                  <w:r>
                    <w:rPr>
                      <w:rFonts w:hint="eastAsia"/>
                      <w:color w:val="auto"/>
                      <w:sz w:val="21"/>
                      <w:szCs w:val="21"/>
                      <w:lang w:val="en-US" w:eastAsia="zh-CN"/>
                    </w:rPr>
                    <w:t>混合</w:t>
                  </w:r>
                  <w:r>
                    <w:rPr>
                      <w:rFonts w:hint="eastAsia" w:eastAsia="宋体"/>
                      <w:color w:val="auto"/>
                      <w:sz w:val="21"/>
                      <w:szCs w:val="21"/>
                      <w:lang w:val="en-US" w:eastAsia="zh-CN"/>
                    </w:rPr>
                    <w:t>通过厂区总排口排入市政污水管网，最终排入咸阳路污水处理厂处理。</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r>
                    <w:rPr>
                      <w:rFonts w:hint="default" w:ascii="Times New Roman" w:hAnsi="Times New Roman" w:eastAsia="宋体" w:cs="Times New Roman"/>
                      <w:bCs/>
                      <w:color w:val="auto"/>
                      <w:sz w:val="21"/>
                      <w:szCs w:val="21"/>
                      <w:lang w:val="en-US" w:eastAsia="zh-CN"/>
                    </w:rPr>
                    <w:t>本项目固体废物分类处置，危险废物交有资质单位处置。</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本项目生活垃圾分类收集</w:t>
                  </w:r>
                  <w:r>
                    <w:rPr>
                      <w:rFonts w:hint="eastAsia" w:cs="Times New Roman"/>
                      <w:bCs/>
                      <w:color w:val="auto"/>
                      <w:sz w:val="21"/>
                      <w:szCs w:val="21"/>
                      <w:lang w:val="en-US" w:eastAsia="zh-CN"/>
                    </w:rPr>
                    <w:t>，交由城市管理部门统一处理处置</w:t>
                  </w:r>
                  <w:r>
                    <w:rPr>
                      <w:rFonts w:hint="default" w:ascii="Times New Roman" w:hAnsi="Times New Roman" w:eastAsia="宋体" w:cs="Times New Roman"/>
                      <w:bCs/>
                      <w:color w:val="auto"/>
                      <w:sz w:val="21"/>
                      <w:szCs w:val="21"/>
                      <w:lang w:val="en-US" w:eastAsia="zh-CN"/>
                    </w:rPr>
                    <w:t>。</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环境风险防控</w:t>
                  </w:r>
                </w:p>
              </w:tc>
              <w:tc>
                <w:tcPr>
                  <w:tcW w:w="2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rPr>
                  </w:pP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rPr>
                    <w:t>执行总体生态环境准入清单环境风险防控准入要求。</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rPr>
                    <w:t xml:space="preserve"> 完善天津滨海高新技术产业开发区环境风险防控体系，加强滨海新区、渤龙湖科技园、华苑</w:t>
                  </w:r>
                  <w:r>
                    <w:rPr>
                      <w:rFonts w:hint="eastAsia" w:cs="Times New Roman"/>
                      <w:bCs/>
                      <w:color w:val="auto"/>
                      <w:sz w:val="21"/>
                      <w:szCs w:val="21"/>
                      <w:lang w:eastAsia="zh-CN"/>
                    </w:rPr>
                    <w:t>科技</w:t>
                  </w:r>
                  <w:r>
                    <w:rPr>
                      <w:rFonts w:hint="eastAsia" w:ascii="Times New Roman" w:hAnsi="Times New Roman" w:eastAsia="宋体" w:cs="Times New Roman"/>
                      <w:bCs/>
                      <w:color w:val="auto"/>
                      <w:sz w:val="21"/>
                      <w:szCs w:val="21"/>
                    </w:rPr>
                    <w:t>园、海洋科技园以及企业环境风险防控联动；完善企业风险预案，强化区内环境风险企业的风险防控应急管理水平。</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rPr>
                  </w:pP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rPr>
                    <w:t xml:space="preserve"> 加强区域事故污水应急防控体系建设，严防污染雨水、事故污水环境风险。</w:t>
                  </w:r>
                </w:p>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rPr>
                  </w:pPr>
                  <w:r>
                    <w:rPr>
                      <w:rFonts w:hint="eastAsia" w:cs="Times New Roman"/>
                      <w:bCs/>
                      <w:color w:val="auto"/>
                      <w:sz w:val="21"/>
                      <w:szCs w:val="21"/>
                      <w:lang w:val="en-US" w:eastAsia="zh-CN"/>
                    </w:rPr>
                    <w:t>4.</w:t>
                  </w:r>
                  <w:r>
                    <w:rPr>
                      <w:rFonts w:hint="eastAsia" w:ascii="Times New Roman" w:hAnsi="Times New Roman" w:eastAsia="宋体" w:cs="Times New Roman"/>
                      <w:bCs/>
                      <w:color w:val="auto"/>
                      <w:sz w:val="21"/>
                      <w:szCs w:val="21"/>
                    </w:rPr>
                    <w:t>建立并完善工业固体废物堆存场所污染防控方案，完善防扬撒、防流失、防渗漏等设施。</w:t>
                  </w:r>
                </w:p>
              </w:tc>
              <w:tc>
                <w:tcPr>
                  <w:tcW w:w="3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1.</w:t>
                  </w:r>
                  <w:r>
                    <w:rPr>
                      <w:rFonts w:hint="eastAsia" w:ascii="Times New Roman" w:hAnsi="Times New Roman" w:eastAsia="宋体" w:cs="Times New Roman"/>
                      <w:bCs/>
                      <w:color w:val="auto"/>
                      <w:sz w:val="21"/>
                      <w:szCs w:val="21"/>
                      <w:lang w:val="en-US" w:eastAsia="zh-CN"/>
                    </w:rPr>
                    <w:t>本项目危废暂存于危废暂存间，定期交有资质单位处置，符合总体要求的第63项要求；本项目周边无主要河流，符合总体要求的第61项要求；其余不涉及。综上，本项目符合总体生态环境准入清单环境风险防控准入要求。</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2.</w:t>
                  </w:r>
                  <w:r>
                    <w:rPr>
                      <w:rFonts w:hint="eastAsia" w:ascii="Times New Roman" w:hAnsi="Times New Roman" w:eastAsia="宋体" w:cs="Times New Roman"/>
                      <w:bCs/>
                      <w:color w:val="auto"/>
                      <w:sz w:val="21"/>
                      <w:szCs w:val="21"/>
                      <w:lang w:val="en-US" w:eastAsia="zh-CN"/>
                    </w:rPr>
                    <w:t>项目建成投运前应制定突发环境事件应急预案，完善与区域环境风险防控措施的联动。</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r>
                    <w:rPr>
                      <w:rFonts w:hint="eastAsia" w:ascii="Times New Roman" w:hAnsi="Times New Roman" w:eastAsia="宋体" w:cs="Times New Roman"/>
                      <w:bCs/>
                      <w:color w:val="auto"/>
                      <w:sz w:val="21"/>
                      <w:szCs w:val="21"/>
                      <w:lang w:val="en-US" w:eastAsia="zh-CN"/>
                    </w:rPr>
                    <w:t>本项目不涉及。</w:t>
                  </w:r>
                </w:p>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eastAsia"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4.</w:t>
                  </w:r>
                  <w:r>
                    <w:rPr>
                      <w:rFonts w:hint="eastAsia" w:ascii="Times New Roman" w:hAnsi="Times New Roman" w:eastAsia="宋体" w:cs="Times New Roman"/>
                      <w:bCs/>
                      <w:color w:val="auto"/>
                      <w:sz w:val="21"/>
                      <w:szCs w:val="21"/>
                      <w:lang w:val="en-US" w:eastAsia="zh-CN"/>
                    </w:rPr>
                    <w:t>本项目固体废物全部存储在室内，能够满足防扬散、防流失、防渗漏的要求。</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资源开发效率要求</w:t>
                  </w:r>
                </w:p>
              </w:tc>
              <w:tc>
                <w:tcPr>
                  <w:tcW w:w="24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left"/>
                    <w:textAlignment w:val="auto"/>
                    <w:rPr>
                      <w:rFonts w:hint="eastAsia"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执行总体生态环境准入清单资源利用效率准入要求。土地集约利用不低于国家级开发区土地集约利用平均水平。</w:t>
                  </w:r>
                </w:p>
              </w:tc>
              <w:tc>
                <w:tcPr>
                  <w:tcW w:w="31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both"/>
                    <w:textAlignment w:val="auto"/>
                    <w:rPr>
                      <w:rFonts w:hint="default"/>
                      <w:color w:val="auto"/>
                      <w:lang w:val="en-US" w:eastAsia="zh-CN"/>
                    </w:rPr>
                  </w:pPr>
                  <w:r>
                    <w:rPr>
                      <w:rFonts w:hint="default" w:ascii="Times New Roman" w:hAnsi="Times New Roman" w:eastAsia="宋体" w:cs="Times New Roman"/>
                      <w:bCs/>
                      <w:color w:val="auto"/>
                      <w:sz w:val="21"/>
                      <w:szCs w:val="21"/>
                      <w:lang w:val="en-US" w:eastAsia="zh-CN"/>
                    </w:rPr>
                    <w:t>本项目不涉及高污染燃料，符合总体要求中的64~65项要求；本项目不属于钢铁建材、有色、化工、石化、电力等重点行业，不属于电力、纺织、造纸、石化、化工等高耗水行业，符合总体要求中的66、70~73项要求；其余不涉及。综上，本项目符合总体生态环境准入清单资源利用效率准入要求。本项目利用现有土地建设，不涉及新增用地。</w:t>
                  </w:r>
                </w:p>
              </w:tc>
              <w:tc>
                <w:tcPr>
                  <w:tcW w:w="8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contextualSpacing/>
                    <w:jc w:val="center"/>
                    <w:textAlignment w:val="auto"/>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符合</w:t>
                  </w:r>
                </w:p>
              </w:tc>
            </w:tr>
          </w:tbl>
          <w:p>
            <w:pPr>
              <w:ind w:firstLine="480" w:firstLineChars="200"/>
              <w:rPr>
                <w:rFonts w:hint="eastAsia"/>
                <w:color w:val="auto"/>
              </w:rPr>
            </w:pPr>
            <w:r>
              <w:rPr>
                <w:rFonts w:hint="eastAsia"/>
                <w:color w:val="auto"/>
                <w:lang w:val="en-US" w:eastAsia="zh-CN"/>
              </w:rPr>
              <w:t>根据上表可知，本项目符合《天津市滨海新区人民政府关于印发实施“三线一单”生态环境分区管控的意见的通知》</w:t>
            </w:r>
            <w:r>
              <w:rPr>
                <w:rFonts w:hint="eastAsia"/>
                <w:color w:val="auto"/>
                <w:lang w:eastAsia="zh-CN"/>
              </w:rPr>
              <w:t>（津滨政发〔2021〕21号）</w:t>
            </w:r>
            <w:r>
              <w:rPr>
                <w:color w:val="auto"/>
              </w:rPr>
              <w:t>中的相关要求。</w:t>
            </w:r>
          </w:p>
          <w:p>
            <w:pPr>
              <w:pStyle w:val="4"/>
              <w:bidi w:val="0"/>
              <w:rPr>
                <w:rFonts w:hint="default"/>
                <w:color w:val="auto"/>
                <w:lang w:val="en-US" w:eastAsia="zh-CN"/>
              </w:rPr>
            </w:pPr>
            <w:r>
              <w:rPr>
                <w:rFonts w:hint="eastAsia"/>
                <w:color w:val="auto"/>
                <w:lang w:val="en-US" w:eastAsia="zh-CN"/>
              </w:rPr>
              <w:t>1.4与天津市生态保护红线符合性分析</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lang w:val="en-US" w:eastAsia="zh-CN"/>
              </w:rPr>
            </w:pPr>
            <w:r>
              <w:rPr>
                <w:color w:val="auto"/>
              </w:rPr>
              <w:t>本项目位于</w:t>
            </w:r>
            <w:r>
              <w:rPr>
                <w:rFonts w:hint="eastAsia"/>
                <w:color w:val="auto"/>
                <w:szCs w:val="21"/>
                <w:lang w:val="en-US" w:eastAsia="zh-CN"/>
              </w:rPr>
              <w:t>天津滨海高新区华苑产业区（环外）海泰华科八路6号5层E区512~514，</w:t>
            </w:r>
            <w:r>
              <w:rPr>
                <w:color w:val="auto"/>
                <w:kern w:val="0"/>
              </w:rPr>
              <w:t>对照《天津市人民政府关于发布天津市生态保护红线的通知》（津政发[2018]21 号），</w:t>
            </w:r>
            <w:r>
              <w:rPr>
                <w:rFonts w:hint="eastAsia" w:ascii="宋体" w:hAnsi="宋体" w:eastAsia="宋体" w:cs="宋体"/>
                <w:color w:val="auto"/>
                <w:kern w:val="0"/>
                <w:sz w:val="24"/>
                <w:szCs w:val="24"/>
                <w:lang w:val="en-US" w:eastAsia="zh-CN" w:bidi="ar"/>
              </w:rPr>
              <w:t>天津市划定陆域生态保护红线面积</w:t>
            </w:r>
            <w:r>
              <w:rPr>
                <w:rFonts w:hint="default" w:ascii="Times New Roman" w:hAnsi="Times New Roman" w:eastAsia="宋体" w:cs="Times New Roman"/>
                <w:color w:val="auto"/>
                <w:kern w:val="0"/>
                <w:sz w:val="24"/>
                <w:szCs w:val="24"/>
                <w:lang w:val="en-US" w:eastAsia="zh-CN" w:bidi="ar"/>
              </w:rPr>
              <w:t>1195km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；海洋生态红线区面积</w:t>
            </w:r>
            <w:r>
              <w:rPr>
                <w:rFonts w:hint="default" w:ascii="Times New Roman" w:hAnsi="Times New Roman" w:eastAsia="宋体" w:cs="Times New Roman"/>
                <w:color w:val="auto"/>
                <w:kern w:val="0"/>
                <w:sz w:val="24"/>
                <w:szCs w:val="24"/>
                <w:lang w:val="en-US" w:eastAsia="zh-CN" w:bidi="ar"/>
              </w:rPr>
              <w:t>219.79km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；自然岸线合计</w:t>
            </w:r>
            <w:r>
              <w:rPr>
                <w:rFonts w:hint="default" w:ascii="Times New Roman" w:hAnsi="Times New Roman" w:eastAsia="宋体" w:cs="Times New Roman"/>
                <w:color w:val="auto"/>
                <w:kern w:val="0"/>
                <w:sz w:val="24"/>
                <w:szCs w:val="24"/>
                <w:lang w:val="en-US" w:eastAsia="zh-CN" w:bidi="ar"/>
              </w:rPr>
              <w:t>18.63km</w:t>
            </w:r>
            <w:r>
              <w:rPr>
                <w:rFonts w:hint="eastAsia" w:ascii="Times New Roman" w:hAnsi="Times New Roman" w:eastAsia="宋体" w:cs="Times New Roman"/>
                <w:color w:val="auto"/>
                <w:kern w:val="0"/>
                <w:sz w:val="24"/>
                <w:szCs w:val="24"/>
                <w:vertAlign w:val="superscript"/>
                <w:lang w:val="en-US" w:eastAsia="zh-CN" w:bidi="ar"/>
              </w:rPr>
              <w:t>2</w:t>
            </w:r>
            <w:r>
              <w:rPr>
                <w:rFonts w:hint="eastAsia" w:ascii="宋体" w:hAnsi="宋体" w:eastAsia="宋体" w:cs="宋体"/>
                <w:color w:val="auto"/>
                <w:kern w:val="0"/>
                <w:sz w:val="24"/>
                <w:szCs w:val="24"/>
                <w:lang w:val="en-US" w:eastAsia="zh-CN" w:bidi="ar"/>
              </w:rPr>
              <w:t>。</w:t>
            </w:r>
            <w:r>
              <w:rPr>
                <w:rFonts w:hint="eastAsia" w:ascii="宋体" w:hAnsi="宋体" w:cs="宋体"/>
                <w:color w:val="auto"/>
                <w:kern w:val="0"/>
                <w:sz w:val="24"/>
                <w:szCs w:val="24"/>
                <w:lang w:val="en-US" w:eastAsia="zh-CN" w:bidi="ar"/>
              </w:rPr>
              <w:t>距离本项目最近的生态</w:t>
            </w:r>
            <w:r>
              <w:rPr>
                <w:color w:val="auto"/>
              </w:rPr>
              <w:t>保护红线</w:t>
            </w:r>
            <w:r>
              <w:rPr>
                <w:rFonts w:hint="eastAsia"/>
                <w:color w:val="auto"/>
                <w:lang w:eastAsia="zh-CN"/>
              </w:rPr>
              <w:t>为南运河，本项目北侧距南运河</w:t>
            </w:r>
            <w:r>
              <w:rPr>
                <w:rFonts w:hint="eastAsia"/>
                <w:color w:val="auto"/>
                <w:lang w:val="en-US" w:eastAsia="zh-CN"/>
              </w:rPr>
              <w:t>3km，</w:t>
            </w:r>
            <w:r>
              <w:rPr>
                <w:rFonts w:hint="eastAsia" w:ascii="宋体" w:hAnsi="宋体" w:cs="宋体"/>
                <w:color w:val="auto"/>
                <w:kern w:val="0"/>
                <w:sz w:val="24"/>
                <w:szCs w:val="24"/>
                <w:lang w:val="en-US" w:eastAsia="zh-CN" w:bidi="ar"/>
              </w:rPr>
              <w:t>本项目</w:t>
            </w:r>
            <w:r>
              <w:rPr>
                <w:color w:val="auto"/>
              </w:rPr>
              <w:t>不涉及占用天津市生态保护红线。本项目与天津市生态保护红线位置关系详见</w:t>
            </w:r>
            <w:r>
              <w:rPr>
                <w:rFonts w:hint="eastAsia"/>
                <w:color w:val="auto"/>
                <w:lang w:val="en-US" w:eastAsia="zh-CN"/>
              </w:rPr>
              <w:t>附</w:t>
            </w:r>
            <w:r>
              <w:rPr>
                <w:color w:val="auto"/>
              </w:rPr>
              <w:t>图。</w:t>
            </w:r>
          </w:p>
          <w:p>
            <w:pPr>
              <w:pStyle w:val="4"/>
              <w:bidi w:val="0"/>
              <w:rPr>
                <w:rFonts w:hint="eastAsia"/>
                <w:b/>
                <w:bCs/>
                <w:color w:val="auto"/>
                <w:highlight w:val="none"/>
                <w:lang w:val="en-US" w:eastAsia="zh-CN"/>
              </w:rPr>
            </w:pPr>
            <w:r>
              <w:rPr>
                <w:rFonts w:hint="eastAsia"/>
                <w:b/>
                <w:bCs/>
                <w:color w:val="auto"/>
                <w:highlight w:val="none"/>
                <w:lang w:val="en-US" w:eastAsia="zh-CN"/>
              </w:rPr>
              <w:t>1.5永久性保护生态区域符合性分析</w:t>
            </w:r>
          </w:p>
          <w:p>
            <w:pPr>
              <w:pStyle w:val="63"/>
              <w:spacing w:line="360" w:lineRule="auto"/>
              <w:ind w:firstLine="480" w:firstLineChars="200"/>
              <w:jc w:val="left"/>
              <w:rPr>
                <w:color w:val="auto"/>
              </w:rPr>
            </w:pPr>
            <w:r>
              <w:rPr>
                <w:color w:val="auto"/>
              </w:rPr>
              <w:t>根据《天津市人民代表大会常务委员会关于批准划定永久性保护生态区域的决定》（津人发[2014]2号）、《天津市生态用地保护红线划定方案》及《天津市人民政府关于印发天津市永久性保护生态区域管理规定的通知》（津政发[2019]23号），</w:t>
            </w:r>
            <w:r>
              <w:rPr>
                <w:rFonts w:hint="eastAsia" w:ascii="宋体" w:hAnsi="宋体" w:cs="宋体"/>
                <w:color w:val="auto"/>
                <w:kern w:val="0"/>
                <w:sz w:val="24"/>
                <w:szCs w:val="24"/>
                <w:lang w:val="en-US" w:eastAsia="zh-CN" w:bidi="ar"/>
              </w:rPr>
              <w:t>距离本项目最近的</w:t>
            </w:r>
            <w:r>
              <w:rPr>
                <w:color w:val="auto"/>
              </w:rPr>
              <w:t>天津市永久性保护生态区域</w:t>
            </w:r>
            <w:r>
              <w:rPr>
                <w:rFonts w:hint="eastAsia"/>
                <w:color w:val="auto"/>
                <w:lang w:eastAsia="zh-CN"/>
              </w:rPr>
              <w:t>为</w:t>
            </w:r>
            <w:r>
              <w:rPr>
                <w:rFonts w:hint="eastAsia"/>
                <w:color w:val="auto"/>
                <w:lang w:val="en-US" w:eastAsia="zh-CN"/>
              </w:rPr>
              <w:t>京沪高铁防护林带</w:t>
            </w:r>
            <w:r>
              <w:rPr>
                <w:rFonts w:hint="eastAsia"/>
                <w:color w:val="auto"/>
                <w:lang w:eastAsia="zh-CN"/>
              </w:rPr>
              <w:t>，本项目</w:t>
            </w:r>
            <w:r>
              <w:rPr>
                <w:rFonts w:hint="eastAsia"/>
                <w:color w:val="auto"/>
                <w:szCs w:val="21"/>
                <w:lang w:val="en-US" w:eastAsia="zh-CN"/>
              </w:rPr>
              <w:t>西侧距离</w:t>
            </w:r>
            <w:r>
              <w:rPr>
                <w:rFonts w:hint="eastAsia"/>
                <w:color w:val="auto"/>
                <w:lang w:val="en-US" w:eastAsia="zh-CN"/>
              </w:rPr>
              <w:t>京沪高速铁路交通干线防护林带730m，</w:t>
            </w:r>
            <w:r>
              <w:rPr>
                <w:color w:val="auto"/>
              </w:rPr>
              <w:t>本项目不涉及天津市永久性保护生态区域（红线区和黄线区），符合永久性保护生态区域要求。本项目与永久性保护生态区域位置关系详</w:t>
            </w:r>
            <w:r>
              <w:rPr>
                <w:rFonts w:hint="eastAsia"/>
                <w:color w:val="auto"/>
                <w:lang w:val="en-US" w:eastAsia="zh-CN"/>
              </w:rPr>
              <w:t>见附图</w:t>
            </w:r>
            <w:r>
              <w:rPr>
                <w:color w:val="auto"/>
              </w:rPr>
              <w:t>。</w:t>
            </w:r>
          </w:p>
          <w:p>
            <w:pPr>
              <w:pStyle w:val="4"/>
              <w:bidi w:val="0"/>
              <w:rPr>
                <w:rFonts w:hint="eastAsia"/>
                <w:color w:val="auto"/>
                <w:lang w:val="en-US" w:eastAsia="zh-CN"/>
              </w:rPr>
            </w:pPr>
            <w:r>
              <w:rPr>
                <w:rFonts w:hint="eastAsia"/>
                <w:color w:val="auto"/>
                <w:lang w:val="en-US" w:eastAsia="zh-CN"/>
              </w:rPr>
              <w:t>1.6与《大运河天津段核心监控区国土空间管控细则（试行）》符合性分析</w:t>
            </w:r>
          </w:p>
          <w:p>
            <w:pPr>
              <w:pStyle w:val="63"/>
              <w:spacing w:line="360" w:lineRule="auto"/>
              <w:ind w:firstLine="480" w:firstLineChars="200"/>
              <w:jc w:val="left"/>
              <w:rPr>
                <w:color w:val="auto"/>
              </w:rPr>
            </w:pPr>
            <w:r>
              <w:rPr>
                <w:rFonts w:hint="eastAsia"/>
                <w:color w:val="auto"/>
                <w:lang w:val="en-US" w:eastAsia="zh-CN"/>
              </w:rPr>
              <w:t>根据天津市人民政府于2020年5月8日发布的《大运河天津段核心监控区国土空间管控细则（试行）》的批复（津政函[2020]58号）</w:t>
            </w:r>
            <w:r>
              <w:rPr>
                <w:color w:val="auto"/>
              </w:rPr>
              <w:t>大运河两岸起始线与终止线距离2000m内的核心区范围划定为核心监控区；核心监控区内，大运河两岸起始线与终止线距离1000m范围内为优化滨河生态空间。</w:t>
            </w:r>
            <w:r>
              <w:rPr>
                <w:rFonts w:hint="eastAsia"/>
                <w:color w:val="auto"/>
                <w:lang w:val="en-US" w:eastAsia="zh-CN"/>
              </w:rPr>
              <w:t>本项目位于</w:t>
            </w:r>
            <w:r>
              <w:rPr>
                <w:rFonts w:hint="eastAsia"/>
                <w:color w:val="auto"/>
                <w:szCs w:val="21"/>
                <w:lang w:val="en-US" w:eastAsia="zh-CN"/>
              </w:rPr>
              <w:t>天津滨海高新区华苑产业区（环外）海泰华科八路6号5层E区512~514</w:t>
            </w:r>
            <w:r>
              <w:rPr>
                <w:rFonts w:hint="eastAsia"/>
                <w:color w:val="auto"/>
                <w:lang w:val="en-US" w:eastAsia="zh-CN"/>
              </w:rPr>
              <w:t>，北侧距南运河约3km，</w:t>
            </w:r>
            <w:r>
              <w:rPr>
                <w:color w:val="auto"/>
              </w:rPr>
              <w:t>不属于大运河天津段核心监控区</w:t>
            </w:r>
            <w:r>
              <w:rPr>
                <w:rFonts w:hint="eastAsia"/>
                <w:color w:val="auto"/>
                <w:lang w:eastAsia="zh-CN"/>
              </w:rPr>
              <w:t>。</w:t>
            </w:r>
            <w:r>
              <w:rPr>
                <w:color w:val="auto"/>
              </w:rPr>
              <w:t>本项目与大运河核心监控区相对位置关系见</w:t>
            </w:r>
            <w:r>
              <w:rPr>
                <w:rFonts w:hint="eastAsia"/>
                <w:color w:val="auto"/>
              </w:rPr>
              <w:t>附图</w:t>
            </w:r>
            <w:r>
              <w:rPr>
                <w:color w:val="auto"/>
              </w:rPr>
              <w:t>。</w:t>
            </w:r>
          </w:p>
          <w:p>
            <w:pPr>
              <w:pStyle w:val="4"/>
              <w:bidi w:val="0"/>
              <w:rPr>
                <w:color w:val="auto"/>
              </w:rPr>
            </w:pPr>
            <w:r>
              <w:rPr>
                <w:rFonts w:hint="eastAsia"/>
                <w:color w:val="auto"/>
                <w:lang w:val="en-US" w:eastAsia="zh-CN"/>
              </w:rPr>
              <w:t>1.7</w:t>
            </w:r>
            <w:r>
              <w:rPr>
                <w:color w:val="auto"/>
              </w:rPr>
              <w:t>现行的大气污染防治政策符合性分析</w:t>
            </w:r>
          </w:p>
          <w:p>
            <w:pPr>
              <w:pStyle w:val="8"/>
              <w:ind w:firstLine="480"/>
              <w:rPr>
                <w:color w:val="auto"/>
              </w:rPr>
            </w:pPr>
            <w:r>
              <w:rPr>
                <w:rFonts w:hint="eastAsia"/>
                <w:color w:val="auto"/>
                <w:lang w:val="en-US" w:eastAsia="zh-CN"/>
              </w:rPr>
              <w:t>根据</w:t>
            </w:r>
            <w:r>
              <w:rPr>
                <w:rFonts w:hint="eastAsia"/>
                <w:color w:val="auto"/>
                <w:lang w:eastAsia="zh-CN"/>
              </w:rPr>
              <w:t>《天津市生态环境保护“十四五”规划》（津政办发</w:t>
            </w:r>
            <w:r>
              <w:rPr>
                <w:rFonts w:hint="eastAsia"/>
                <w:color w:val="auto"/>
                <w:lang w:val="en-US" w:eastAsia="zh-CN"/>
              </w:rPr>
              <w:t>[</w:t>
            </w:r>
            <w:r>
              <w:rPr>
                <w:rFonts w:hint="eastAsia"/>
                <w:color w:val="auto"/>
                <w:lang w:eastAsia="zh-CN"/>
              </w:rPr>
              <w:t>2022</w:t>
            </w:r>
            <w:r>
              <w:rPr>
                <w:rFonts w:hint="eastAsia"/>
                <w:color w:val="auto"/>
                <w:lang w:val="en-US" w:eastAsia="zh-CN"/>
              </w:rPr>
              <w:t>]</w:t>
            </w:r>
            <w:r>
              <w:rPr>
                <w:rFonts w:hint="eastAsia"/>
                <w:color w:val="auto"/>
                <w:lang w:eastAsia="zh-CN"/>
              </w:rPr>
              <w:t>2号）、《</w:t>
            </w:r>
            <w:r>
              <w:rPr>
                <w:rFonts w:hint="eastAsia"/>
                <w:color w:val="auto"/>
                <w:lang w:val="en-US" w:eastAsia="zh-CN"/>
              </w:rPr>
              <w:t>关于印发天津市深入打好蓝天、碧水、净土三个保卫战行动计划的通知</w:t>
            </w:r>
            <w:r>
              <w:rPr>
                <w:rFonts w:hint="eastAsia"/>
                <w:color w:val="auto"/>
                <w:lang w:eastAsia="zh-CN"/>
              </w:rPr>
              <w:t>》（</w:t>
            </w:r>
            <w:r>
              <w:rPr>
                <w:rFonts w:hint="eastAsia"/>
                <w:color w:val="auto"/>
                <w:lang w:val="en-US" w:eastAsia="zh-CN"/>
              </w:rPr>
              <w:t>津污防攻坚指[2022]2号</w:t>
            </w:r>
            <w:r>
              <w:rPr>
                <w:rFonts w:hint="eastAsia"/>
                <w:color w:val="auto"/>
                <w:lang w:eastAsia="zh-CN"/>
              </w:rPr>
              <w:t>）、《天津市深入打好污染防治攻坚战行动方案》（天津市人民政府2022年5月26日）</w:t>
            </w:r>
            <w:r>
              <w:rPr>
                <w:color w:val="auto"/>
              </w:rPr>
              <w:t>提出</w:t>
            </w:r>
            <w:r>
              <w:rPr>
                <w:rFonts w:hint="eastAsia"/>
                <w:color w:val="auto"/>
                <w:lang w:eastAsia="zh-CN"/>
              </w:rPr>
              <w:t>的</w:t>
            </w:r>
            <w:r>
              <w:rPr>
                <w:color w:val="auto"/>
              </w:rPr>
              <w:t>相关要求</w:t>
            </w:r>
            <w:r>
              <w:rPr>
                <w:rFonts w:hint="eastAsia"/>
                <w:color w:val="auto"/>
              </w:rPr>
              <w:t>，</w:t>
            </w:r>
            <w:r>
              <w:rPr>
                <w:color w:val="auto"/>
              </w:rPr>
              <w:t>本项目符合性分析见下表。</w:t>
            </w:r>
          </w:p>
          <w:p>
            <w:pPr>
              <w:pStyle w:val="83"/>
              <w:spacing w:before="0" w:beforeLines="0"/>
              <w:ind w:left="0" w:firstLine="0"/>
              <w:jc w:val="center"/>
              <w:rPr>
                <w:color w:val="auto"/>
              </w:rPr>
            </w:pPr>
            <w:r>
              <w:rPr>
                <w:rFonts w:hint="eastAsia"/>
                <w:color w:val="auto"/>
              </w:rPr>
              <w:t>表1-</w:t>
            </w:r>
            <w:r>
              <w:rPr>
                <w:rFonts w:hint="eastAsia"/>
                <w:color w:val="auto"/>
                <w:lang w:val="en-US" w:eastAsia="zh-CN"/>
              </w:rPr>
              <w:t>3</w:t>
            </w:r>
            <w:r>
              <w:rPr>
                <w:rFonts w:hint="eastAsia"/>
                <w:color w:val="auto"/>
              </w:rPr>
              <w:t xml:space="preserve">  与现行的</w:t>
            </w:r>
            <w:r>
              <w:rPr>
                <w:rFonts w:hint="eastAsia"/>
                <w:color w:val="auto"/>
                <w:lang w:eastAsia="zh-CN"/>
              </w:rPr>
              <w:t>环保</w:t>
            </w:r>
            <w:r>
              <w:rPr>
                <w:rFonts w:hint="eastAsia"/>
                <w:color w:val="auto"/>
              </w:rPr>
              <w:t>政策</w:t>
            </w:r>
            <w:r>
              <w:rPr>
                <w:color w:val="auto"/>
              </w:rPr>
              <w:t>符合性分析</w:t>
            </w:r>
          </w:p>
          <w:tbl>
            <w:tblPr>
              <w:tblStyle w:val="29"/>
              <w:tblW w:w="7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8"/>
              <w:gridCol w:w="2912"/>
              <w:gridCol w:w="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408" w:type="dxa"/>
                  <w:tcBorders>
                    <w:tl2br w:val="nil"/>
                    <w:tr2bl w:val="nil"/>
                  </w:tcBorders>
                  <w:vAlign w:val="center"/>
                </w:tcPr>
                <w:p>
                  <w:pPr>
                    <w:spacing w:line="240" w:lineRule="auto"/>
                    <w:jc w:val="center"/>
                    <w:rPr>
                      <w:b/>
                      <w:color w:val="auto"/>
                      <w:sz w:val="21"/>
                      <w:szCs w:val="21"/>
                    </w:rPr>
                  </w:pPr>
                  <w:r>
                    <w:rPr>
                      <w:b/>
                      <w:color w:val="auto"/>
                      <w:sz w:val="21"/>
                      <w:szCs w:val="21"/>
                    </w:rPr>
                    <w:t>要求</w:t>
                  </w:r>
                </w:p>
              </w:tc>
              <w:tc>
                <w:tcPr>
                  <w:tcW w:w="2912" w:type="dxa"/>
                  <w:tcBorders>
                    <w:tl2br w:val="nil"/>
                    <w:tr2bl w:val="nil"/>
                  </w:tcBorders>
                  <w:vAlign w:val="center"/>
                </w:tcPr>
                <w:p>
                  <w:pPr>
                    <w:spacing w:line="240" w:lineRule="auto"/>
                    <w:jc w:val="center"/>
                    <w:rPr>
                      <w:b/>
                      <w:color w:val="auto"/>
                      <w:sz w:val="21"/>
                      <w:szCs w:val="21"/>
                    </w:rPr>
                  </w:pPr>
                  <w:r>
                    <w:rPr>
                      <w:b/>
                      <w:color w:val="auto"/>
                      <w:sz w:val="21"/>
                      <w:szCs w:val="21"/>
                    </w:rPr>
                    <w:t>本项目情况</w:t>
                  </w:r>
                </w:p>
              </w:tc>
              <w:tc>
                <w:tcPr>
                  <w:tcW w:w="856" w:type="dxa"/>
                  <w:tcBorders>
                    <w:tl2br w:val="nil"/>
                    <w:tr2bl w:val="nil"/>
                  </w:tcBorders>
                  <w:vAlign w:val="center"/>
                </w:tcPr>
                <w:p>
                  <w:pPr>
                    <w:spacing w:line="240" w:lineRule="auto"/>
                    <w:jc w:val="center"/>
                    <w:rPr>
                      <w:b/>
                      <w:color w:val="auto"/>
                      <w:sz w:val="21"/>
                      <w:szCs w:val="21"/>
                    </w:rPr>
                  </w:pPr>
                  <w:r>
                    <w:rPr>
                      <w:b/>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7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b/>
                      <w:bCs/>
                      <w:color w:val="auto"/>
                      <w:sz w:val="21"/>
                      <w:szCs w:val="21"/>
                      <w:lang w:bidi="ar"/>
                    </w:rPr>
                    <w:t>《天津市生态环境保护“十四五”规划》（津政办发[2022]2号）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spacing w:line="240" w:lineRule="auto"/>
                    <w:ind w:firstLine="0" w:firstLineChars="0"/>
                    <w:jc w:val="center"/>
                    <w:rPr>
                      <w:rFonts w:hint="eastAsia"/>
                      <w:color w:val="auto"/>
                      <w:sz w:val="21"/>
                      <w:szCs w:val="21"/>
                    </w:rPr>
                  </w:pPr>
                  <w:r>
                    <w:rPr>
                      <w:rFonts w:hint="eastAsia"/>
                      <w:color w:val="auto"/>
                      <w:sz w:val="21"/>
                      <w:szCs w:val="21"/>
                    </w:rPr>
                    <w:t>强化过程管控，涉VOCs的物料储存、转移输送、生产工艺过程等排放源，采取设备与场所密闭、工艺改进、废气有效收集等措施，减少无组织排放。</w:t>
                  </w:r>
                </w:p>
              </w:tc>
              <w:tc>
                <w:tcPr>
                  <w:tcW w:w="2912" w:type="dxa"/>
                  <w:tcBorders>
                    <w:tl2br w:val="nil"/>
                    <w:tr2bl w:val="nil"/>
                  </w:tcBorders>
                  <w:vAlign w:val="center"/>
                </w:tcPr>
                <w:p>
                  <w:pPr>
                    <w:spacing w:line="240" w:lineRule="auto"/>
                    <w:ind w:firstLine="0" w:firstLineChars="0"/>
                    <w:rPr>
                      <w:rFonts w:hint="default" w:eastAsia="宋体"/>
                      <w:b/>
                      <w:bCs/>
                      <w:color w:val="auto"/>
                      <w:sz w:val="21"/>
                      <w:szCs w:val="21"/>
                      <w:lang w:val="en-US" w:eastAsia="zh-CN"/>
                    </w:rPr>
                  </w:pPr>
                  <w:r>
                    <w:rPr>
                      <w:rFonts w:hint="eastAsia"/>
                      <w:bCs/>
                      <w:color w:val="auto"/>
                      <w:sz w:val="21"/>
                      <w:szCs w:val="21"/>
                      <w:lang w:val="en-US" w:eastAsia="zh-CN"/>
                    </w:rPr>
                    <w:t>本项目</w:t>
                  </w:r>
                  <w:r>
                    <w:rPr>
                      <w:rFonts w:hint="eastAsia"/>
                      <w:color w:val="auto"/>
                      <w:sz w:val="21"/>
                      <w:szCs w:val="21"/>
                    </w:rPr>
                    <w:t>涉VOCs的</w:t>
                  </w:r>
                  <w:r>
                    <w:rPr>
                      <w:rFonts w:hint="eastAsia"/>
                      <w:color w:val="auto"/>
                      <w:sz w:val="21"/>
                      <w:szCs w:val="21"/>
                      <w:lang w:eastAsia="zh-CN"/>
                    </w:rPr>
                    <w:t>有机试剂</w:t>
                  </w:r>
                  <w:r>
                    <w:rPr>
                      <w:rFonts w:hint="eastAsia"/>
                      <w:color w:val="auto"/>
                      <w:sz w:val="21"/>
                      <w:szCs w:val="21"/>
                      <w:lang w:val="en-US" w:eastAsia="zh-CN"/>
                    </w:rPr>
                    <w:t>均储存于实验室内，场所密闭。实验过程、溶液配制产生的非甲烷总烃、TRVOC、甲醇、二甲苯、氯化氢、氨、臭气浓度，废气通过病理实验室通风橱全部收集，动物饲养间消毒过程产生的非甲烷总烃、TRVOC、臭气浓度，通过洁净车间整体收集，经1套活性炭设施处理后通过1根20m高排气筒P1排放。</w:t>
                  </w:r>
                </w:p>
              </w:tc>
              <w:tc>
                <w:tcPr>
                  <w:tcW w:w="856" w:type="dxa"/>
                  <w:tcBorders>
                    <w:tl2br w:val="nil"/>
                    <w:tr2bl w:val="nil"/>
                  </w:tcBorders>
                  <w:vAlign w:val="center"/>
                </w:tcPr>
                <w:p>
                  <w:pPr>
                    <w:ind w:firstLine="0" w:firstLineChars="0"/>
                    <w:jc w:val="center"/>
                    <w:rPr>
                      <w:color w:val="auto"/>
                      <w:sz w:val="21"/>
                      <w:szCs w:val="21"/>
                    </w:rPr>
                  </w:pPr>
                  <w:r>
                    <w:rPr>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93" w:hRule="atLeast"/>
                <w:jc w:val="center"/>
              </w:trPr>
              <w:tc>
                <w:tcPr>
                  <w:tcW w:w="3408" w:type="dxa"/>
                  <w:tcBorders>
                    <w:tl2br w:val="nil"/>
                    <w:tr2bl w:val="nil"/>
                  </w:tcBorders>
                  <w:vAlign w:val="center"/>
                </w:tcPr>
                <w:p>
                  <w:pPr>
                    <w:spacing w:line="240" w:lineRule="auto"/>
                    <w:ind w:firstLine="0" w:firstLineChars="0"/>
                    <w:jc w:val="left"/>
                    <w:rPr>
                      <w:rFonts w:hint="eastAsia" w:eastAsia="宋体"/>
                      <w:color w:val="auto"/>
                      <w:sz w:val="21"/>
                      <w:szCs w:val="21"/>
                      <w:lang w:eastAsia="zh-CN"/>
                    </w:rPr>
                  </w:pPr>
                  <w:r>
                    <w:rPr>
                      <w:rFonts w:hint="eastAsia"/>
                      <w:color w:val="auto"/>
                      <w:sz w:val="21"/>
                      <w:szCs w:val="21"/>
                    </w:rPr>
                    <w:t>推进VOCs全过程综合整治。实施VOCs排放总量控制，严格新改扩建项目VOCs新增排放量倍量替代，严格控制生产和使用VOCs含量高的涂料、油墨、胶粘剂、清洗剂等建设项目</w:t>
                  </w:r>
                  <w:r>
                    <w:rPr>
                      <w:rFonts w:hint="eastAsia"/>
                      <w:color w:val="auto"/>
                      <w:sz w:val="21"/>
                      <w:szCs w:val="21"/>
                      <w:lang w:eastAsia="zh-CN"/>
                    </w:rPr>
                    <w:t>。</w:t>
                  </w:r>
                </w:p>
              </w:tc>
              <w:tc>
                <w:tcPr>
                  <w:tcW w:w="2912" w:type="dxa"/>
                  <w:tcBorders>
                    <w:tl2br w:val="nil"/>
                    <w:tr2bl w:val="nil"/>
                  </w:tcBorders>
                  <w:vAlign w:val="center"/>
                </w:tcPr>
                <w:p>
                  <w:pPr>
                    <w:spacing w:line="240" w:lineRule="auto"/>
                    <w:ind w:firstLine="0" w:firstLineChars="0"/>
                    <w:jc w:val="left"/>
                    <w:rPr>
                      <w:rFonts w:hint="eastAsia" w:eastAsia="宋体"/>
                      <w:bCs/>
                      <w:color w:val="auto"/>
                      <w:sz w:val="21"/>
                      <w:szCs w:val="21"/>
                      <w:lang w:val="en-US" w:eastAsia="zh-CN"/>
                    </w:rPr>
                  </w:pPr>
                  <w:r>
                    <w:rPr>
                      <w:rFonts w:hint="eastAsia"/>
                      <w:color w:val="auto"/>
                      <w:kern w:val="0"/>
                      <w:sz w:val="21"/>
                      <w:szCs w:val="21"/>
                      <w:lang w:bidi="ar"/>
                    </w:rPr>
                    <w:t>本项目</w:t>
                  </w:r>
                  <w:r>
                    <w:rPr>
                      <w:rFonts w:hint="eastAsia"/>
                      <w:color w:val="auto"/>
                      <w:kern w:val="0"/>
                      <w:sz w:val="21"/>
                      <w:szCs w:val="21"/>
                      <w:lang w:eastAsia="zh-CN" w:bidi="ar"/>
                    </w:rPr>
                    <w:t>不</w:t>
                  </w:r>
                  <w:r>
                    <w:rPr>
                      <w:rFonts w:hint="eastAsia"/>
                      <w:color w:val="auto"/>
                      <w:sz w:val="21"/>
                      <w:szCs w:val="21"/>
                    </w:rPr>
                    <w:t>使用VOCs含量高的涂料、油墨、胶粘剂、清洗剂等</w:t>
                  </w:r>
                  <w:r>
                    <w:rPr>
                      <w:rFonts w:hint="eastAsia"/>
                      <w:color w:val="auto"/>
                      <w:sz w:val="21"/>
                      <w:szCs w:val="21"/>
                      <w:lang w:eastAsia="zh-CN"/>
                    </w:rPr>
                    <w:t>。产生</w:t>
                  </w:r>
                  <w:r>
                    <w:rPr>
                      <w:rFonts w:hint="eastAsia"/>
                      <w:color w:val="auto"/>
                      <w:sz w:val="21"/>
                      <w:szCs w:val="21"/>
                    </w:rPr>
                    <w:t>VOCs</w:t>
                  </w:r>
                  <w:r>
                    <w:rPr>
                      <w:rFonts w:hint="eastAsia"/>
                      <w:color w:val="auto"/>
                      <w:sz w:val="21"/>
                      <w:szCs w:val="21"/>
                      <w:lang w:eastAsia="zh-CN"/>
                    </w:rPr>
                    <w:t>主要为实验过程涉及到的有机试剂。</w:t>
                  </w:r>
                  <w:r>
                    <w:rPr>
                      <w:rFonts w:hint="eastAsia"/>
                      <w:color w:val="auto"/>
                      <w:kern w:val="0"/>
                      <w:sz w:val="21"/>
                      <w:szCs w:val="21"/>
                      <w:lang w:eastAsia="zh-CN" w:bidi="ar"/>
                    </w:rPr>
                    <w:t>根据《天津市人民政府办公厅关于印发天津市重点污染物排放总量控制管理办法（试行）的通知》（津政办规〔2023〕1号），挥发性有机污染物属于本市实施排放总量控制的重点污染物，</w:t>
                  </w:r>
                  <w:r>
                    <w:rPr>
                      <w:color w:val="auto"/>
                      <w:kern w:val="0"/>
                      <w:sz w:val="21"/>
                      <w:szCs w:val="21"/>
                      <w:lang w:bidi="ar"/>
                    </w:rPr>
                    <w:t>本项目在污染物总量计算章节提出了区域内</w:t>
                  </w:r>
                  <w:r>
                    <w:rPr>
                      <w:rFonts w:hint="eastAsia"/>
                      <w:color w:val="auto"/>
                      <w:kern w:val="0"/>
                      <w:sz w:val="21"/>
                      <w:szCs w:val="21"/>
                      <w:lang w:eastAsia="zh-CN" w:bidi="ar"/>
                    </w:rPr>
                    <w:t>挥发性有机污染物排放总量，VOCs新增排放量倍量替代。</w:t>
                  </w:r>
                </w:p>
              </w:tc>
              <w:tc>
                <w:tcPr>
                  <w:tcW w:w="856" w:type="dxa"/>
                  <w:tcBorders>
                    <w:tl2br w:val="nil"/>
                    <w:tr2bl w:val="nil"/>
                  </w:tcBorders>
                  <w:vAlign w:val="center"/>
                </w:tcPr>
                <w:p>
                  <w:pPr>
                    <w:ind w:firstLine="0" w:firstLineChars="0"/>
                    <w:jc w:val="center"/>
                    <w:rPr>
                      <w:color w:val="auto"/>
                      <w:sz w:val="21"/>
                      <w:szCs w:val="21"/>
                    </w:rPr>
                  </w:pPr>
                  <w:r>
                    <w:rPr>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spacing w:line="240" w:lineRule="auto"/>
                    <w:ind w:firstLine="0" w:firstLineChars="0"/>
                    <w:jc w:val="left"/>
                    <w:rPr>
                      <w:rFonts w:hint="eastAsia"/>
                      <w:color w:val="auto"/>
                      <w:sz w:val="21"/>
                      <w:szCs w:val="21"/>
                    </w:rPr>
                  </w:pPr>
                  <w:r>
                    <w:rPr>
                      <w:rFonts w:hint="eastAsia"/>
                      <w:color w:val="auto"/>
                      <w:sz w:val="21"/>
                      <w:szCs w:val="21"/>
                    </w:rPr>
                    <w:t>推进恶臭、异味污染治理，以化工、医药、橡胶、塑料制品、建材、金属制品、食品加工等工业源，餐饮油烟、汽修喷漆等生活源，垃圾、污水等集中式污染处理设施为重点，集中解决一批群众身边突出的恶臭、异味污染问题。</w:t>
                  </w:r>
                </w:p>
              </w:tc>
              <w:tc>
                <w:tcPr>
                  <w:tcW w:w="291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bCs/>
                      <w:color w:val="auto"/>
                      <w:sz w:val="21"/>
                      <w:szCs w:val="21"/>
                      <w:lang w:val="en-US" w:eastAsia="zh-CN"/>
                    </w:rPr>
                  </w:pPr>
                  <w:r>
                    <w:rPr>
                      <w:rFonts w:hint="eastAsia"/>
                      <w:bCs/>
                      <w:color w:val="auto"/>
                      <w:sz w:val="21"/>
                      <w:szCs w:val="21"/>
                      <w:lang w:val="en-US" w:eastAsia="zh-CN"/>
                    </w:rPr>
                    <w:t>本项目因实验废气、饲养废气产生的异味经处理后可达标排放，本项目最近居民区为360m处的保利拾光年，距离本项目较远，对周围群众影响较小。</w:t>
                  </w:r>
                </w:p>
              </w:tc>
              <w:tc>
                <w:tcPr>
                  <w:tcW w:w="856" w:type="dxa"/>
                  <w:tcBorders>
                    <w:tl2br w:val="nil"/>
                    <w:tr2bl w:val="nil"/>
                  </w:tcBorders>
                  <w:vAlign w:val="center"/>
                </w:tcPr>
                <w:p>
                  <w:pPr>
                    <w:ind w:firstLine="0" w:firstLineChars="0"/>
                    <w:jc w:val="center"/>
                    <w:rPr>
                      <w:color w:val="auto"/>
                      <w:sz w:val="21"/>
                      <w:szCs w:val="21"/>
                    </w:rPr>
                  </w:pPr>
                  <w:r>
                    <w:rPr>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7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eastAsia="zh-CN"/>
                    </w:rPr>
                  </w:pPr>
                  <w:r>
                    <w:rPr>
                      <w:rFonts w:hint="eastAsia"/>
                      <w:b/>
                      <w:bCs/>
                      <w:color w:val="auto"/>
                      <w:sz w:val="21"/>
                      <w:szCs w:val="21"/>
                      <w:lang w:eastAsia="zh-CN"/>
                    </w:rPr>
                    <w:t>《</w:t>
                  </w:r>
                  <w:r>
                    <w:rPr>
                      <w:rFonts w:hint="eastAsia"/>
                      <w:b/>
                      <w:bCs/>
                      <w:color w:val="auto"/>
                      <w:sz w:val="21"/>
                      <w:szCs w:val="21"/>
                      <w:lang w:val="en-US" w:eastAsia="zh-CN"/>
                    </w:rPr>
                    <w:t>关于印发天津市深入打好蓝天、碧水、净土三个保卫战行动计划的通知</w:t>
                  </w:r>
                  <w:r>
                    <w:rPr>
                      <w:rFonts w:hint="eastAsia"/>
                      <w:b/>
                      <w:bCs/>
                      <w:color w:val="auto"/>
                      <w:sz w:val="21"/>
                      <w:szCs w:val="21"/>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b/>
                      <w:bCs/>
                      <w:color w:val="auto"/>
                      <w:sz w:val="21"/>
                      <w:szCs w:val="21"/>
                      <w:lang w:eastAsia="zh-CN"/>
                    </w:rPr>
                    <w:t>（</w:t>
                  </w:r>
                  <w:r>
                    <w:rPr>
                      <w:rFonts w:hint="eastAsia"/>
                      <w:b/>
                      <w:bCs/>
                      <w:color w:val="auto"/>
                      <w:sz w:val="21"/>
                      <w:szCs w:val="21"/>
                      <w:lang w:val="en-US" w:eastAsia="zh-CN"/>
                    </w:rPr>
                    <w:t>津污防攻坚指[2022]2号</w:t>
                  </w:r>
                  <w:r>
                    <w:rPr>
                      <w:rFonts w:hint="eastAsia"/>
                      <w:b/>
                      <w:bCs/>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spacing w:line="240" w:lineRule="auto"/>
                    <w:ind w:firstLine="0" w:firstLineChars="0"/>
                    <w:jc w:val="left"/>
                    <w:rPr>
                      <w:rFonts w:hint="eastAsia"/>
                      <w:color w:val="auto"/>
                      <w:sz w:val="21"/>
                      <w:szCs w:val="21"/>
                    </w:rPr>
                  </w:pPr>
                  <w:r>
                    <w:rPr>
                      <w:rFonts w:hint="eastAsia"/>
                      <w:color w:val="auto"/>
                      <w:sz w:val="21"/>
                      <w:szCs w:val="21"/>
                    </w:rPr>
                    <w:t>强化VOCs全流程、全环节综合治理。严格新、改、扩建涉VOCs排放建设项目环境准入门槛，涉及新增VOCs排放的，落实倍量削减替代要求。推进低VOCs含量原辅材料的源头替。严格控制生产和使用高VOCs含量涂料、油墨、胶粘剂、清洗剂等建设项目。</w:t>
                  </w:r>
                </w:p>
              </w:tc>
              <w:tc>
                <w:tcPr>
                  <w:tcW w:w="2912" w:type="dxa"/>
                  <w:tcBorders>
                    <w:tl2br w:val="nil"/>
                    <w:tr2bl w:val="nil"/>
                  </w:tcBorders>
                  <w:vAlign w:val="center"/>
                </w:tcPr>
                <w:p>
                  <w:pPr>
                    <w:spacing w:line="240" w:lineRule="auto"/>
                    <w:ind w:firstLine="0" w:firstLineChars="0"/>
                    <w:jc w:val="left"/>
                    <w:rPr>
                      <w:rFonts w:hint="eastAsia"/>
                      <w:color w:val="auto"/>
                      <w:sz w:val="21"/>
                      <w:szCs w:val="21"/>
                      <w:lang w:val="en-US" w:eastAsia="zh-CN"/>
                    </w:rPr>
                  </w:pPr>
                  <w:r>
                    <w:rPr>
                      <w:rFonts w:hint="eastAsia"/>
                      <w:color w:val="auto"/>
                      <w:sz w:val="21"/>
                      <w:szCs w:val="21"/>
                      <w:lang w:val="en-US" w:eastAsia="zh-CN"/>
                    </w:rPr>
                    <w:t>实验过程、溶液配制产生的非甲烷总烃、TRVOC、甲醇、二甲苯、氯化氢、氨、臭气浓度，废气通过病理实验室通风橱全部收集，动物饲养间消毒过程产生的非甲烷总烃、TRVOC、臭气浓度，通过洁净车间整体收集，经1套活性炭设施处理后通过1根20m高排气筒P1排放。</w:t>
                  </w:r>
                </w:p>
              </w:tc>
              <w:tc>
                <w:tcPr>
                  <w:tcW w:w="856" w:type="dxa"/>
                  <w:tcBorders>
                    <w:tl2br w:val="nil"/>
                    <w:tr2bl w:val="nil"/>
                  </w:tcBorders>
                  <w:vAlign w:val="center"/>
                </w:tcPr>
                <w:p>
                  <w:pPr>
                    <w:ind w:firstLine="0" w:firstLineChars="0"/>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spacing w:line="240" w:lineRule="auto"/>
                    <w:ind w:firstLine="0" w:firstLineChars="0"/>
                    <w:jc w:val="both"/>
                    <w:rPr>
                      <w:rFonts w:hint="eastAsia" w:eastAsia="宋体"/>
                      <w:color w:val="auto"/>
                      <w:sz w:val="21"/>
                      <w:szCs w:val="21"/>
                      <w:lang w:eastAsia="zh-CN"/>
                    </w:rPr>
                  </w:pPr>
                  <w:r>
                    <w:rPr>
                      <w:rFonts w:hint="eastAsia"/>
                      <w:color w:val="auto"/>
                      <w:sz w:val="21"/>
                      <w:szCs w:val="21"/>
                    </w:rPr>
                    <w:t>推进 VOCs末端治理。按照“应收尽收、高效治理”原则，将无组织排放转变为有组织排放进行集中处理，对废气收集系统改造应优先采用密闭设备、整体密闭集气罩等方式；采用局部收集方式的，距废气收集系统排风罩口最远处的 VOCs无组织排放位置控制风速不低于0.3m/s</w:t>
                  </w:r>
                  <w:r>
                    <w:rPr>
                      <w:rFonts w:hint="eastAsia"/>
                      <w:color w:val="auto"/>
                      <w:sz w:val="21"/>
                      <w:szCs w:val="21"/>
                      <w:lang w:eastAsia="zh-CN"/>
                    </w:rPr>
                    <w:t>。</w:t>
                  </w:r>
                </w:p>
              </w:tc>
              <w:tc>
                <w:tcPr>
                  <w:tcW w:w="2912" w:type="dxa"/>
                  <w:tcBorders>
                    <w:tl2br w:val="nil"/>
                    <w:tr2bl w:val="nil"/>
                  </w:tcBorders>
                  <w:vAlign w:val="center"/>
                </w:tcPr>
                <w:p>
                  <w:pPr>
                    <w:spacing w:line="240" w:lineRule="auto"/>
                    <w:ind w:firstLine="0" w:firstLineChars="0"/>
                    <w:jc w:val="both"/>
                    <w:rPr>
                      <w:rFonts w:hint="eastAsia"/>
                      <w:color w:val="auto"/>
                      <w:sz w:val="21"/>
                      <w:szCs w:val="21"/>
                      <w:lang w:val="en-US" w:eastAsia="zh-CN"/>
                    </w:rPr>
                  </w:pPr>
                  <w:r>
                    <w:rPr>
                      <w:rFonts w:hint="eastAsia"/>
                      <w:color w:val="auto"/>
                      <w:sz w:val="21"/>
                      <w:szCs w:val="21"/>
                      <w:lang w:eastAsia="zh-CN"/>
                    </w:rPr>
                    <w:t>本项目通风橱</w:t>
                  </w:r>
                  <w:r>
                    <w:rPr>
                      <w:rFonts w:hint="eastAsia"/>
                      <w:color w:val="auto"/>
                      <w:sz w:val="21"/>
                      <w:szCs w:val="21"/>
                      <w:lang w:val="en-US" w:eastAsia="zh-CN"/>
                    </w:rPr>
                    <w:t>风机风量为1850m</w:t>
                  </w:r>
                  <w:r>
                    <w:rPr>
                      <w:rFonts w:hint="eastAsia"/>
                      <w:color w:val="auto"/>
                      <w:sz w:val="21"/>
                      <w:szCs w:val="21"/>
                      <w:vertAlign w:val="superscript"/>
                      <w:lang w:val="en-US" w:eastAsia="zh-CN"/>
                    </w:rPr>
                    <w:t>3</w:t>
                  </w:r>
                  <w:r>
                    <w:rPr>
                      <w:rFonts w:hint="eastAsia"/>
                      <w:color w:val="auto"/>
                      <w:sz w:val="21"/>
                      <w:szCs w:val="21"/>
                      <w:lang w:val="en-US" w:eastAsia="zh-CN"/>
                    </w:rPr>
                    <w:t>/h，每个通风橱的换风次数为462次/h。</w:t>
                  </w:r>
                  <w:r>
                    <w:rPr>
                      <w:rFonts w:hint="default"/>
                      <w:color w:val="auto"/>
                      <w:sz w:val="21"/>
                      <w:szCs w:val="21"/>
                    </w:rPr>
                    <w:t>实验室内通风橱的设置均符合《排风柜》 (JBT 6412</w:t>
                  </w:r>
                  <w:r>
                    <w:rPr>
                      <w:rFonts w:hint="eastAsia"/>
                      <w:color w:val="auto"/>
                      <w:sz w:val="21"/>
                      <w:szCs w:val="21"/>
                      <w:lang w:val="en-US" w:eastAsia="zh-CN"/>
                    </w:rPr>
                    <w:t>-</w:t>
                  </w:r>
                  <w:r>
                    <w:rPr>
                      <w:rFonts w:hint="default"/>
                      <w:color w:val="auto"/>
                      <w:sz w:val="21"/>
                      <w:szCs w:val="21"/>
                    </w:rPr>
                    <w:t>1999)的相关规定</w:t>
                  </w:r>
                  <w:r>
                    <w:rPr>
                      <w:rFonts w:hint="eastAsia"/>
                      <w:color w:val="auto"/>
                      <w:sz w:val="21"/>
                      <w:szCs w:val="21"/>
                      <w:lang w:eastAsia="zh-CN"/>
                    </w:rPr>
                    <w:t>，</w:t>
                  </w:r>
                  <w:r>
                    <w:rPr>
                      <w:rFonts w:hint="default"/>
                      <w:color w:val="auto"/>
                      <w:sz w:val="21"/>
                      <w:szCs w:val="21"/>
                    </w:rPr>
                    <w:t>操作口平均面风速0.4~0.5m/s</w:t>
                  </w:r>
                  <w:r>
                    <w:rPr>
                      <w:rFonts w:hint="eastAsia"/>
                      <w:color w:val="auto"/>
                      <w:sz w:val="21"/>
                      <w:szCs w:val="21"/>
                      <w:lang w:eastAsia="zh-CN"/>
                    </w:rPr>
                    <w:t>，</w:t>
                  </w:r>
                  <w:r>
                    <w:rPr>
                      <w:rFonts w:hint="eastAsia"/>
                      <w:color w:val="auto"/>
                      <w:sz w:val="21"/>
                      <w:szCs w:val="21"/>
                      <w:lang w:val="en-US" w:eastAsia="zh-CN"/>
                    </w:rPr>
                    <w:t>本项目病理实验室设置整体排风机1700m</w:t>
                  </w:r>
                  <w:r>
                    <w:rPr>
                      <w:rFonts w:hint="eastAsia"/>
                      <w:color w:val="auto"/>
                      <w:sz w:val="21"/>
                      <w:szCs w:val="21"/>
                      <w:vertAlign w:val="superscript"/>
                      <w:lang w:val="en-US" w:eastAsia="zh-CN"/>
                    </w:rPr>
                    <w:t>3</w:t>
                  </w:r>
                  <w:r>
                    <w:rPr>
                      <w:rFonts w:hint="eastAsia"/>
                      <w:color w:val="auto"/>
                      <w:sz w:val="21"/>
                      <w:szCs w:val="21"/>
                      <w:lang w:val="en-US" w:eastAsia="zh-CN"/>
                    </w:rPr>
                    <w:t>/h，换风次数为6次/h。</w:t>
                  </w:r>
                  <w:r>
                    <w:rPr>
                      <w:rFonts w:hint="default"/>
                      <w:color w:val="auto"/>
                      <w:sz w:val="21"/>
                      <w:szCs w:val="21"/>
                    </w:rPr>
                    <w:t>可有效控制废气的无组织排放</w:t>
                  </w:r>
                  <w:r>
                    <w:rPr>
                      <w:rFonts w:hint="eastAsia"/>
                      <w:color w:val="auto"/>
                      <w:sz w:val="21"/>
                      <w:szCs w:val="21"/>
                      <w:lang w:eastAsia="zh-CN"/>
                    </w:rPr>
                    <w:t>，</w:t>
                  </w:r>
                  <w:r>
                    <w:rPr>
                      <w:rFonts w:hint="default" w:ascii="Times New Roman" w:hAnsi="Times New Roman" w:eastAsia="宋体" w:cs="Times New Roman"/>
                      <w:color w:val="auto"/>
                      <w:spacing w:val="-1"/>
                      <w:sz w:val="21"/>
                      <w:szCs w:val="21"/>
                    </w:rPr>
                    <w:t>实现了废气的全部收集。</w:t>
                  </w:r>
                </w:p>
              </w:tc>
              <w:tc>
                <w:tcPr>
                  <w:tcW w:w="856" w:type="dxa"/>
                  <w:tcBorders>
                    <w:tl2br w:val="nil"/>
                    <w:tr2bl w:val="nil"/>
                  </w:tcBorders>
                  <w:vAlign w:val="center"/>
                </w:tcPr>
                <w:p>
                  <w:pPr>
                    <w:ind w:firstLine="0" w:firstLineChars="0"/>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76"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bCs/>
                      <w:color w:val="auto"/>
                      <w:sz w:val="21"/>
                      <w:szCs w:val="21"/>
                      <w:lang w:val="en-US" w:eastAsia="zh-CN"/>
                    </w:rPr>
                  </w:pPr>
                  <w:r>
                    <w:rPr>
                      <w:rFonts w:hint="eastAsia"/>
                      <w:b/>
                      <w:bCs/>
                      <w:color w:val="auto"/>
                      <w:sz w:val="21"/>
                      <w:szCs w:val="21"/>
                      <w:lang w:val="en-US" w:eastAsia="zh-CN"/>
                    </w:rPr>
                    <w:t>《天津市深入打好污染防治攻坚战行动方案》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b/>
                      <w:bCs/>
                      <w:color w:val="auto"/>
                      <w:sz w:val="21"/>
                      <w:szCs w:val="21"/>
                      <w:lang w:val="en-US" w:eastAsia="zh-CN"/>
                    </w:rPr>
                    <w:t>（天津市人民政府2022年5月26日）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rPr>
                  </w:pPr>
                  <w:r>
                    <w:rPr>
                      <w:rFonts w:hint="eastAsia"/>
                      <w:color w:val="auto"/>
                      <w:szCs w:val="21"/>
                    </w:rPr>
                    <w:t>坚决遏制高耗能高排放项目盲目</w:t>
                  </w:r>
                  <w:r>
                    <w:rPr>
                      <w:rFonts w:hint="eastAsia"/>
                      <w:color w:val="auto"/>
                      <w:szCs w:val="21"/>
                      <w:lang w:eastAsia="zh-CN"/>
                    </w:rPr>
                    <w:t>发</w:t>
                  </w:r>
                  <w:r>
                    <w:rPr>
                      <w:rFonts w:hint="eastAsia"/>
                      <w:color w:val="auto"/>
                      <w:szCs w:val="21"/>
                    </w:rPr>
                    <w:t>展。加快传统行业绿色低碳改造，重点推动钢铁行业逐步从长流程炼钢向短流程炼钢转型，加快石化行业工艺技术、原料路线、主要设备等关键环节升级改造，以及化工、铸造等行业流程、设备、产品优化提升。</w:t>
                  </w:r>
                </w:p>
              </w:tc>
              <w:tc>
                <w:tcPr>
                  <w:tcW w:w="2912" w:type="dxa"/>
                  <w:tcBorders>
                    <w:tl2br w:val="nil"/>
                    <w:tr2bl w:val="nil"/>
                  </w:tcBorders>
                  <w:vAlign w:val="center"/>
                </w:tcPr>
                <w:p>
                  <w:pPr>
                    <w:spacing w:line="240" w:lineRule="auto"/>
                    <w:ind w:firstLine="0" w:firstLineChars="0"/>
                    <w:jc w:val="left"/>
                    <w:rPr>
                      <w:rFonts w:hint="eastAsia" w:eastAsia="宋体"/>
                      <w:color w:val="auto"/>
                      <w:kern w:val="0"/>
                      <w:sz w:val="21"/>
                      <w:szCs w:val="21"/>
                      <w:lang w:eastAsia="zh-CN" w:bidi="ar"/>
                    </w:rPr>
                  </w:pPr>
                  <w:r>
                    <w:rPr>
                      <w:rFonts w:hint="eastAsia"/>
                      <w:color w:val="auto"/>
                      <w:kern w:val="0"/>
                      <w:sz w:val="21"/>
                      <w:szCs w:val="21"/>
                      <w:lang w:eastAsia="zh-CN" w:bidi="ar"/>
                    </w:rPr>
                    <w:t>本项目属于M7340医学研究和试验发展，不属于高耗能高排放项目。</w:t>
                  </w:r>
                </w:p>
              </w:tc>
              <w:tc>
                <w:tcPr>
                  <w:tcW w:w="856" w:type="dxa"/>
                  <w:tcBorders>
                    <w:tl2br w:val="nil"/>
                    <w:tr2bl w:val="nil"/>
                  </w:tcBorders>
                  <w:vAlign w:val="center"/>
                </w:tcPr>
                <w:p>
                  <w:pPr>
                    <w:ind w:firstLine="0" w:firstLineChars="0"/>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rPr>
                  </w:pPr>
                  <w:r>
                    <w:rPr>
                      <w:rFonts w:hint="eastAsia"/>
                      <w:color w:val="auto"/>
                      <w:szCs w:val="21"/>
                    </w:rPr>
                    <w:t>加强危险废物医疗废物等污染监管。加强危险废物、医疗废物产生、收集、运输、处置全过程监管，坚决打击非法转移、倾倒、处置等违法犯罪行为。开展新污染物治理行动，加强有毒有害化学物质环境风险管理。</w:t>
                  </w:r>
                </w:p>
              </w:tc>
              <w:tc>
                <w:tcPr>
                  <w:tcW w:w="2912" w:type="dxa"/>
                  <w:tcBorders>
                    <w:tl2br w:val="nil"/>
                    <w:tr2bl w:val="nil"/>
                  </w:tcBorders>
                  <w:vAlign w:val="center"/>
                </w:tcPr>
                <w:p>
                  <w:pPr>
                    <w:spacing w:line="240" w:lineRule="auto"/>
                    <w:ind w:firstLine="0" w:firstLineChars="0"/>
                    <w:jc w:val="left"/>
                    <w:rPr>
                      <w:rFonts w:hint="eastAsia" w:eastAsia="宋体"/>
                      <w:color w:val="auto"/>
                      <w:kern w:val="0"/>
                      <w:sz w:val="21"/>
                      <w:szCs w:val="21"/>
                      <w:lang w:eastAsia="zh-CN" w:bidi="ar"/>
                    </w:rPr>
                  </w:pPr>
                  <w:r>
                    <w:rPr>
                      <w:rFonts w:hint="eastAsia"/>
                      <w:color w:val="auto"/>
                      <w:kern w:val="0"/>
                      <w:sz w:val="21"/>
                      <w:szCs w:val="21"/>
                      <w:lang w:bidi="ar"/>
                    </w:rPr>
                    <w:t>危险废物实验废液、</w:t>
                  </w:r>
                  <w:r>
                    <w:rPr>
                      <w:rFonts w:hint="eastAsia"/>
                      <w:color w:val="auto"/>
                      <w:kern w:val="0"/>
                      <w:sz w:val="21"/>
                      <w:szCs w:val="21"/>
                      <w:lang w:eastAsia="zh-CN" w:bidi="ar"/>
                    </w:rPr>
                    <w:t>实验废物</w:t>
                  </w:r>
                  <w:r>
                    <w:rPr>
                      <w:rFonts w:hint="eastAsia"/>
                      <w:color w:val="auto"/>
                      <w:kern w:val="0"/>
                      <w:sz w:val="21"/>
                      <w:szCs w:val="21"/>
                      <w:lang w:bidi="ar"/>
                    </w:rPr>
                    <w:t>、废活性炭、废培养基、废UV灯管、</w:t>
                  </w:r>
                  <w:r>
                    <w:rPr>
                      <w:rFonts w:hint="eastAsia"/>
                      <w:color w:val="auto"/>
                      <w:kern w:val="0"/>
                      <w:sz w:val="21"/>
                      <w:szCs w:val="21"/>
                      <w:lang w:eastAsia="zh-CN" w:bidi="ar"/>
                    </w:rPr>
                    <w:t>动物尸体、滤渣</w:t>
                  </w:r>
                  <w:r>
                    <w:rPr>
                      <w:rFonts w:hint="eastAsia"/>
                      <w:color w:val="auto"/>
                      <w:kern w:val="0"/>
                      <w:sz w:val="21"/>
                      <w:szCs w:val="21"/>
                      <w:lang w:bidi="ar"/>
                    </w:rPr>
                    <w:t>暂存于危废暂存间，交由有资质的单位处理处置。危险废物产生、收集、运输、处置</w:t>
                  </w:r>
                  <w:r>
                    <w:rPr>
                      <w:rFonts w:hint="eastAsia"/>
                      <w:color w:val="auto"/>
                      <w:kern w:val="0"/>
                      <w:sz w:val="21"/>
                      <w:szCs w:val="21"/>
                      <w:lang w:eastAsia="zh-CN" w:bidi="ar"/>
                    </w:rPr>
                    <w:t>通过台账记录以备检查。</w:t>
                  </w:r>
                </w:p>
              </w:tc>
              <w:tc>
                <w:tcPr>
                  <w:tcW w:w="856" w:type="dxa"/>
                  <w:tcBorders>
                    <w:tl2br w:val="nil"/>
                    <w:tr2bl w:val="nil"/>
                  </w:tcBorders>
                  <w:vAlign w:val="center"/>
                </w:tcPr>
                <w:p>
                  <w:pPr>
                    <w:ind w:firstLine="0" w:firstLineChars="0"/>
                    <w:jc w:val="center"/>
                    <w:rPr>
                      <w:rFonts w:hint="eastAsia"/>
                      <w:color w:val="auto"/>
                      <w:sz w:val="21"/>
                      <w:szCs w:val="21"/>
                      <w:lang w:val="en-US" w:eastAsia="zh-CN"/>
                    </w:rPr>
                  </w:pPr>
                  <w:r>
                    <w:rPr>
                      <w:rFonts w:hint="eastAsia"/>
                      <w:color w:val="auto"/>
                      <w:sz w:val="21"/>
                      <w:szCs w:val="21"/>
                      <w:lang w:val="en-US" w:eastAsia="zh-CN"/>
                    </w:rPr>
                    <w:t>符合</w:t>
                  </w:r>
                </w:p>
              </w:tc>
            </w:tr>
          </w:tbl>
          <w:p>
            <w:pPr>
              <w:pStyle w:val="8"/>
              <w:ind w:firstLine="480"/>
              <w:rPr>
                <w:color w:val="auto"/>
              </w:rPr>
            </w:pPr>
            <w:r>
              <w:rPr>
                <w:color w:val="auto"/>
              </w:rPr>
              <w:t>本项目符合</w:t>
            </w:r>
            <w:r>
              <w:rPr>
                <w:rFonts w:hint="eastAsia"/>
                <w:color w:val="auto"/>
              </w:rPr>
              <w:t>《天津市生态环境保护“十四五”规划》（津政办发[2022]2号）、《关于印发天津市深入打好蓝天、碧水、净土三个保卫战行动计划的通知》（津污防攻坚指[2022]2号）</w:t>
            </w:r>
            <w:r>
              <w:rPr>
                <w:rFonts w:hint="eastAsia"/>
                <w:color w:val="auto"/>
                <w:lang w:eastAsia="zh-CN"/>
              </w:rPr>
              <w:t>、《天津市深入打好污染防治攻坚战行动方案》（天津市人民政府2022年5月2</w:t>
            </w:r>
            <w:r>
              <w:rPr>
                <w:rFonts w:hint="eastAsia"/>
                <w:color w:val="auto"/>
                <w:lang w:val="en-US" w:eastAsia="zh-CN"/>
              </w:rPr>
              <w:t>6</w:t>
            </w:r>
            <w:r>
              <w:rPr>
                <w:rFonts w:hint="eastAsia"/>
                <w:color w:val="auto"/>
                <w:lang w:eastAsia="zh-CN"/>
              </w:rPr>
              <w:t>日）</w:t>
            </w:r>
            <w:r>
              <w:rPr>
                <w:rFonts w:hint="eastAsia"/>
                <w:color w:val="auto"/>
              </w:rPr>
              <w:t>等有关文件要求</w:t>
            </w:r>
            <w:r>
              <w:rPr>
                <w:color w:val="auto"/>
              </w:rPr>
              <w:t>。</w:t>
            </w:r>
          </w:p>
          <w:p>
            <w:pPr>
              <w:pStyle w:val="8"/>
              <w:bidi w:val="0"/>
              <w:rPr>
                <w:color w:val="auto"/>
              </w:rPr>
            </w:pPr>
            <w:r>
              <w:rPr>
                <w:color w:val="auto"/>
              </w:rPr>
              <w:t>综上所述，本项目的建设符合国家和地方政策要求。</w:t>
            </w:r>
          </w:p>
          <w:p>
            <w:pPr>
              <w:pStyle w:val="4"/>
              <w:bidi w:val="0"/>
              <w:rPr>
                <w:color w:val="auto"/>
              </w:rPr>
            </w:pPr>
            <w:r>
              <w:rPr>
                <w:rFonts w:hint="eastAsia"/>
                <w:color w:val="auto"/>
                <w:lang w:val="en-US" w:eastAsia="zh-CN"/>
              </w:rPr>
              <w:t>1.8实验动物管理政策</w:t>
            </w:r>
            <w:r>
              <w:rPr>
                <w:color w:val="auto"/>
              </w:rPr>
              <w:t>符合性分析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rFonts w:hint="eastAsia"/>
                <w:b w:val="0"/>
                <w:bCs/>
                <w:color w:val="auto"/>
                <w:lang w:val="en-US" w:eastAsia="zh-CN"/>
              </w:rPr>
              <w:t>根据《实验动物管理条例》（国家科委2号令）、《实验动物环境及设施》（GB14925-2010）对本项目饲养间建设、实验动物饲养提出相关要求，本项目符合性分析见下表。</w:t>
            </w:r>
          </w:p>
          <w:p>
            <w:pPr>
              <w:pStyle w:val="83"/>
              <w:spacing w:before="0" w:beforeLines="0"/>
              <w:ind w:left="0" w:firstLine="0"/>
              <w:jc w:val="center"/>
              <w:rPr>
                <w:color w:val="auto"/>
              </w:rPr>
            </w:pPr>
            <w:r>
              <w:rPr>
                <w:rFonts w:hint="eastAsia"/>
                <w:color w:val="auto"/>
              </w:rPr>
              <w:t>表1-</w:t>
            </w:r>
            <w:r>
              <w:rPr>
                <w:rFonts w:hint="eastAsia"/>
                <w:color w:val="auto"/>
                <w:lang w:val="en-US" w:eastAsia="zh-CN"/>
              </w:rPr>
              <w:t>4</w:t>
            </w:r>
            <w:r>
              <w:rPr>
                <w:rFonts w:hint="eastAsia"/>
                <w:color w:val="auto"/>
              </w:rPr>
              <w:t xml:space="preserve">  与现行的</w:t>
            </w:r>
            <w:r>
              <w:rPr>
                <w:rFonts w:hint="eastAsia"/>
                <w:color w:val="auto"/>
                <w:lang w:eastAsia="zh-CN"/>
              </w:rPr>
              <w:t>环保</w:t>
            </w:r>
            <w:r>
              <w:rPr>
                <w:rFonts w:hint="eastAsia"/>
                <w:color w:val="auto"/>
              </w:rPr>
              <w:t>政策</w:t>
            </w:r>
            <w:r>
              <w:rPr>
                <w:color w:val="auto"/>
              </w:rPr>
              <w:t>符合性分析</w:t>
            </w:r>
          </w:p>
          <w:tbl>
            <w:tblPr>
              <w:tblStyle w:val="29"/>
              <w:tblW w:w="7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408"/>
              <w:gridCol w:w="2912"/>
              <w:gridCol w:w="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408" w:type="dxa"/>
                  <w:tcBorders>
                    <w:tl2br w:val="nil"/>
                    <w:tr2bl w:val="nil"/>
                  </w:tcBorders>
                  <w:vAlign w:val="center"/>
                </w:tcPr>
                <w:p>
                  <w:pPr>
                    <w:spacing w:line="240" w:lineRule="auto"/>
                    <w:jc w:val="center"/>
                    <w:rPr>
                      <w:b/>
                      <w:color w:val="auto"/>
                      <w:sz w:val="21"/>
                      <w:szCs w:val="21"/>
                    </w:rPr>
                  </w:pPr>
                  <w:r>
                    <w:rPr>
                      <w:b/>
                      <w:color w:val="auto"/>
                      <w:sz w:val="21"/>
                      <w:szCs w:val="21"/>
                    </w:rPr>
                    <w:t>要求</w:t>
                  </w:r>
                </w:p>
              </w:tc>
              <w:tc>
                <w:tcPr>
                  <w:tcW w:w="2912" w:type="dxa"/>
                  <w:tcBorders>
                    <w:tl2br w:val="nil"/>
                    <w:tr2bl w:val="nil"/>
                  </w:tcBorders>
                  <w:vAlign w:val="center"/>
                </w:tcPr>
                <w:p>
                  <w:pPr>
                    <w:spacing w:line="240" w:lineRule="auto"/>
                    <w:jc w:val="center"/>
                    <w:rPr>
                      <w:b/>
                      <w:color w:val="auto"/>
                      <w:sz w:val="21"/>
                      <w:szCs w:val="21"/>
                    </w:rPr>
                  </w:pPr>
                  <w:r>
                    <w:rPr>
                      <w:b/>
                      <w:color w:val="auto"/>
                      <w:sz w:val="21"/>
                      <w:szCs w:val="21"/>
                    </w:rPr>
                    <w:t>本项目情况</w:t>
                  </w:r>
                </w:p>
              </w:tc>
              <w:tc>
                <w:tcPr>
                  <w:tcW w:w="856" w:type="dxa"/>
                  <w:tcBorders>
                    <w:tl2br w:val="nil"/>
                    <w:tr2bl w:val="nil"/>
                  </w:tcBorders>
                  <w:vAlign w:val="center"/>
                </w:tcPr>
                <w:p>
                  <w:pPr>
                    <w:spacing w:line="240" w:lineRule="auto"/>
                    <w:jc w:val="center"/>
                    <w:rPr>
                      <w:b/>
                      <w:color w:val="auto"/>
                      <w:sz w:val="21"/>
                      <w:szCs w:val="21"/>
                    </w:rPr>
                  </w:pPr>
                  <w:r>
                    <w:rPr>
                      <w:b/>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76" w:type="dxa"/>
                  <w:gridSpan w:val="3"/>
                  <w:tcBorders>
                    <w:tl2br w:val="nil"/>
                    <w:tr2bl w:val="nil"/>
                  </w:tcBorders>
                  <w:vAlign w:val="center"/>
                </w:tcPr>
                <w:p>
                  <w:pPr>
                    <w:pStyle w:val="70"/>
                    <w:ind w:firstLine="0" w:firstLineChars="0"/>
                    <w:jc w:val="center"/>
                    <w:rPr>
                      <w:rFonts w:hint="eastAsia"/>
                      <w:color w:val="auto"/>
                      <w:szCs w:val="21"/>
                    </w:rPr>
                  </w:pPr>
                  <w:r>
                    <w:rPr>
                      <w:rFonts w:hint="eastAsia"/>
                      <w:b/>
                      <w:bCs/>
                      <w:color w:val="auto"/>
                      <w:szCs w:val="21"/>
                      <w:lang w:val="en-US" w:eastAsia="zh-CN"/>
                    </w:rPr>
                    <w:t>《实验动物管理条例》（国家科委2号令）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rPr>
                  </w:pPr>
                  <w:r>
                    <w:rPr>
                      <w:rFonts w:hint="eastAsia"/>
                      <w:color w:val="auto"/>
                      <w:szCs w:val="21"/>
                    </w:rPr>
                    <w:t>第十一条  实验动物必须按照不同来源，不同品种、品系和不同的实验目的，分开饲养。</w:t>
                  </w:r>
                </w:p>
              </w:tc>
              <w:tc>
                <w:tcPr>
                  <w:tcW w:w="2912" w:type="dxa"/>
                  <w:tcBorders>
                    <w:tl2br w:val="nil"/>
                    <w:tr2bl w:val="nil"/>
                  </w:tcBorders>
                  <w:vAlign w:val="center"/>
                </w:tcPr>
                <w:p>
                  <w:pPr>
                    <w:pStyle w:val="70"/>
                    <w:ind w:firstLine="0" w:firstLineChars="0"/>
                    <w:jc w:val="left"/>
                    <w:rPr>
                      <w:rFonts w:hint="default"/>
                      <w:color w:val="auto"/>
                      <w:szCs w:val="21"/>
                      <w:lang w:val="en-US" w:eastAsia="zh-CN"/>
                    </w:rPr>
                  </w:pPr>
                  <w:r>
                    <w:rPr>
                      <w:rFonts w:hint="eastAsia"/>
                      <w:color w:val="auto"/>
                      <w:szCs w:val="21"/>
                      <w:lang w:val="en-US" w:eastAsia="zh-CN"/>
                    </w:rPr>
                    <w:t>本项目实验动物均为外购，实验鼠与实验兔分开饲养，不同实验目的的动物分不同笼具饲养。</w:t>
                  </w:r>
                </w:p>
              </w:tc>
              <w:tc>
                <w:tcPr>
                  <w:tcW w:w="856" w:type="dxa"/>
                  <w:tcBorders>
                    <w:tl2br w:val="nil"/>
                    <w:tr2bl w:val="nil"/>
                  </w:tcBorders>
                  <w:vAlign w:val="center"/>
                </w:tcPr>
                <w:p>
                  <w:pPr>
                    <w:pStyle w:val="70"/>
                    <w:ind w:firstLine="0" w:firstLineChars="0"/>
                    <w:jc w:val="center"/>
                    <w:rPr>
                      <w:rFonts w:hint="eastAsia"/>
                      <w:color w:val="auto"/>
                      <w:szCs w:val="21"/>
                      <w:lang w:eastAsia="zh-CN"/>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rPr>
                  </w:pPr>
                  <w:r>
                    <w:rPr>
                      <w:rFonts w:hint="eastAsia"/>
                      <w:color w:val="auto"/>
                      <w:szCs w:val="21"/>
                    </w:rPr>
                    <w:t>第十六条  对引入的实验动物，必须进行隔离检疫。并取得动物检疫部门出具的证明。</w:t>
                  </w:r>
                </w:p>
              </w:tc>
              <w:tc>
                <w:tcPr>
                  <w:tcW w:w="2912" w:type="dxa"/>
                  <w:tcBorders>
                    <w:tl2br w:val="nil"/>
                    <w:tr2bl w:val="nil"/>
                  </w:tcBorders>
                  <w:vAlign w:val="center"/>
                </w:tcPr>
                <w:p>
                  <w:pPr>
                    <w:pStyle w:val="70"/>
                    <w:ind w:firstLine="0" w:firstLineChars="0"/>
                    <w:jc w:val="left"/>
                    <w:rPr>
                      <w:rFonts w:hint="default"/>
                      <w:color w:val="auto"/>
                      <w:szCs w:val="21"/>
                      <w:lang w:val="en-US" w:eastAsia="zh-CN"/>
                    </w:rPr>
                  </w:pPr>
                  <w:r>
                    <w:rPr>
                      <w:rFonts w:hint="eastAsia"/>
                      <w:color w:val="auto"/>
                      <w:szCs w:val="21"/>
                      <w:lang w:val="en-US" w:eastAsia="zh-CN"/>
                    </w:rPr>
                    <w:t>本项目外购实验动物，进入实验室前须完成动物检疫保证健康，具备动物检疫部门出具的证明，证明由供应商提供，然后进入观察室观察动物健康情况，确认健康无误再进入饲养间。</w:t>
                  </w:r>
                </w:p>
              </w:tc>
              <w:tc>
                <w:tcPr>
                  <w:tcW w:w="856" w:type="dxa"/>
                  <w:tcBorders>
                    <w:tl2br w:val="nil"/>
                    <w:tr2bl w:val="nil"/>
                  </w:tcBorders>
                  <w:vAlign w:val="center"/>
                </w:tcPr>
                <w:p>
                  <w:pPr>
                    <w:pStyle w:val="70"/>
                    <w:ind w:firstLine="0" w:firstLineChars="0"/>
                    <w:jc w:val="center"/>
                    <w:rPr>
                      <w:rFonts w:hint="eastAsia"/>
                      <w:color w:val="auto"/>
                      <w:szCs w:val="21"/>
                      <w:lang w:eastAsia="zh-CN"/>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176" w:type="dxa"/>
                  <w:gridSpan w:val="3"/>
                  <w:tcBorders>
                    <w:tl2br w:val="nil"/>
                    <w:tr2bl w:val="nil"/>
                  </w:tcBorders>
                  <w:vAlign w:val="center"/>
                </w:tcPr>
                <w:p>
                  <w:pPr>
                    <w:pStyle w:val="70"/>
                    <w:ind w:firstLine="0" w:firstLineChars="0"/>
                    <w:jc w:val="center"/>
                    <w:rPr>
                      <w:rFonts w:hint="eastAsia"/>
                      <w:color w:val="auto"/>
                      <w:szCs w:val="21"/>
                    </w:rPr>
                  </w:pPr>
                  <w:r>
                    <w:rPr>
                      <w:rFonts w:hint="eastAsia"/>
                      <w:b/>
                      <w:bCs/>
                      <w:color w:val="auto"/>
                      <w:szCs w:val="21"/>
                    </w:rPr>
                    <w:t>《实验动物环境及设施》（GB14925-2010）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lang w:eastAsia="zh-CN"/>
                    </w:rPr>
                  </w:pPr>
                  <w:r>
                    <w:rPr>
                      <w:rFonts w:hint="eastAsia"/>
                      <w:color w:val="auto"/>
                      <w:szCs w:val="21"/>
                      <w:lang w:eastAsia="zh-CN"/>
                    </w:rPr>
                    <w:t>选址宜远离有严重空气污染、振动或噪声干扰的铁路、码头、飞机场、交通要道、工厂、贮仓、堆场等区域。</w:t>
                  </w:r>
                </w:p>
              </w:tc>
              <w:tc>
                <w:tcPr>
                  <w:tcW w:w="2912" w:type="dxa"/>
                  <w:tcBorders>
                    <w:tl2br w:val="nil"/>
                    <w:tr2bl w:val="nil"/>
                  </w:tcBorders>
                  <w:vAlign w:val="center"/>
                </w:tcPr>
                <w:p>
                  <w:pPr>
                    <w:pStyle w:val="70"/>
                    <w:ind w:firstLine="0" w:firstLineChars="0"/>
                    <w:jc w:val="left"/>
                    <w:rPr>
                      <w:rFonts w:hint="default"/>
                      <w:color w:val="auto"/>
                      <w:szCs w:val="21"/>
                      <w:lang w:val="en-US" w:eastAsia="zh-CN"/>
                    </w:rPr>
                  </w:pPr>
                  <w:r>
                    <w:rPr>
                      <w:rFonts w:hint="eastAsia"/>
                      <w:color w:val="auto"/>
                      <w:szCs w:val="21"/>
                      <w:lang w:val="en-US" w:eastAsia="zh-CN"/>
                    </w:rPr>
                    <w:t>本项目位于天津滨海高新区华苑产业区（环外）海泰华科八路6号5层E区512~514，远离有严重空气污染、振动或噪声干扰的铁路、码头、飞机场、交通要道、工厂、贮仓、堆场等区域。</w:t>
                  </w:r>
                </w:p>
              </w:tc>
              <w:tc>
                <w:tcPr>
                  <w:tcW w:w="856" w:type="dxa"/>
                  <w:tcBorders>
                    <w:tl2br w:val="nil"/>
                    <w:tr2bl w:val="nil"/>
                  </w:tcBorders>
                  <w:vAlign w:val="center"/>
                </w:tcPr>
                <w:p>
                  <w:pPr>
                    <w:pStyle w:val="70"/>
                    <w:ind w:firstLine="0" w:firstLineChars="0"/>
                    <w:jc w:val="center"/>
                    <w:rPr>
                      <w:rFonts w:hint="eastAsia"/>
                      <w:color w:val="auto"/>
                      <w:szCs w:val="21"/>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lang w:eastAsia="zh-CN"/>
                    </w:rPr>
                  </w:pPr>
                  <w:r>
                    <w:rPr>
                      <w:rFonts w:hint="eastAsia"/>
                      <w:color w:val="auto"/>
                      <w:szCs w:val="21"/>
                      <w:lang w:eastAsia="zh-CN"/>
                    </w:rPr>
                    <w:t>实验室区域布局中，基础级大动物检疫间必须与动物饲养区分开设置。</w:t>
                  </w:r>
                </w:p>
              </w:tc>
              <w:tc>
                <w:tcPr>
                  <w:tcW w:w="2912" w:type="dxa"/>
                  <w:tcBorders>
                    <w:tl2br w:val="nil"/>
                    <w:tr2bl w:val="nil"/>
                  </w:tcBorders>
                  <w:vAlign w:val="center"/>
                </w:tcPr>
                <w:p>
                  <w:pPr>
                    <w:pStyle w:val="70"/>
                    <w:ind w:firstLine="0" w:firstLineChars="0"/>
                    <w:jc w:val="left"/>
                    <w:rPr>
                      <w:rFonts w:hint="eastAsia"/>
                      <w:color w:val="auto"/>
                      <w:szCs w:val="21"/>
                      <w:lang w:val="en-US" w:eastAsia="zh-CN"/>
                    </w:rPr>
                  </w:pPr>
                  <w:r>
                    <w:rPr>
                      <w:rFonts w:hint="eastAsia"/>
                      <w:color w:val="auto"/>
                      <w:szCs w:val="21"/>
                      <w:lang w:val="en-US" w:eastAsia="zh-CN"/>
                    </w:rPr>
                    <w:t>本项目不涉及动物检疫。</w:t>
                  </w:r>
                </w:p>
              </w:tc>
              <w:tc>
                <w:tcPr>
                  <w:tcW w:w="856" w:type="dxa"/>
                  <w:tcBorders>
                    <w:tl2br w:val="nil"/>
                    <w:tr2bl w:val="nil"/>
                  </w:tcBorders>
                  <w:vAlign w:val="center"/>
                </w:tcPr>
                <w:p>
                  <w:pPr>
                    <w:pStyle w:val="70"/>
                    <w:ind w:firstLine="0" w:firstLineChars="0"/>
                    <w:jc w:val="center"/>
                    <w:rPr>
                      <w:rFonts w:hint="eastAsia"/>
                      <w:color w:val="auto"/>
                      <w:szCs w:val="21"/>
                      <w:lang w:eastAsia="zh-CN"/>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default" w:ascii="Times New Roman" w:hAnsi="Times New Roman" w:eastAsia="宋体" w:cs="Times New Roman"/>
                      <w:color w:val="auto"/>
                      <w:kern w:val="2"/>
                      <w:sz w:val="21"/>
                      <w:szCs w:val="21"/>
                      <w:lang w:val="en-US" w:eastAsia="zh-CN" w:bidi="ar-SA"/>
                    </w:rPr>
                  </w:pPr>
                  <w:r>
                    <w:rPr>
                      <w:rFonts w:hint="eastAsia"/>
                      <w:color w:val="auto"/>
                      <w:szCs w:val="21"/>
                      <w:lang w:eastAsia="zh-CN"/>
                    </w:rPr>
                    <w:t>动物尸体及组织应装入专用尸体袋中存放于尸体冷藏柜或冰柜内，集中作无害化处理。感染动物实验的动物尸体及组织须经高压灭菌器灭菌后传出实验室再做相应处理。</w:t>
                  </w:r>
                </w:p>
              </w:tc>
              <w:tc>
                <w:tcPr>
                  <w:tcW w:w="2912" w:type="dxa"/>
                  <w:tcBorders>
                    <w:tl2br w:val="nil"/>
                    <w:tr2bl w:val="nil"/>
                  </w:tcBorders>
                  <w:vAlign w:val="center"/>
                </w:tcPr>
                <w:p>
                  <w:pPr>
                    <w:pStyle w:val="70"/>
                    <w:ind w:firstLine="0" w:firstLineChars="0"/>
                    <w:jc w:val="left"/>
                    <w:rPr>
                      <w:rFonts w:hint="eastAsia" w:ascii="Times New Roman" w:hAnsi="Times New Roman" w:eastAsia="宋体" w:cs="Times New Roman"/>
                      <w:color w:val="auto"/>
                      <w:kern w:val="2"/>
                      <w:sz w:val="21"/>
                      <w:szCs w:val="21"/>
                      <w:lang w:val="en-US" w:eastAsia="zh-CN" w:bidi="ar-SA"/>
                    </w:rPr>
                  </w:pPr>
                  <w:r>
                    <w:rPr>
                      <w:rFonts w:hint="eastAsia"/>
                      <w:color w:val="auto"/>
                      <w:szCs w:val="21"/>
                      <w:lang w:val="en-US" w:eastAsia="zh-CN"/>
                    </w:rPr>
                    <w:t>本项目实验动物属于常规性死亡，不属感染动物尸体。本项目危险废物动物尸体，使用塑料袋包装冷冻于危废暂存间冰箱内，交由有资质单位处理处置。每次在动物尸体清理后，关闭冰柜电源，用温水、84消毒液擦拭清洁冰箱，用84消毒液拖擦周围地面，30分钟后重新启动冰柜电源。</w:t>
                  </w:r>
                </w:p>
              </w:tc>
              <w:tc>
                <w:tcPr>
                  <w:tcW w:w="856" w:type="dxa"/>
                  <w:tcBorders>
                    <w:tl2br w:val="nil"/>
                    <w:tr2bl w:val="nil"/>
                  </w:tcBorders>
                  <w:vAlign w:val="center"/>
                </w:tcPr>
                <w:p>
                  <w:pPr>
                    <w:pStyle w:val="70"/>
                    <w:ind w:firstLine="0" w:firstLineChars="0"/>
                    <w:jc w:val="center"/>
                    <w:rPr>
                      <w:rFonts w:hint="eastAsia"/>
                      <w:color w:val="auto"/>
                      <w:szCs w:val="21"/>
                      <w:lang w:eastAsia="zh-CN"/>
                    </w:rPr>
                  </w:pPr>
                  <w:r>
                    <w:rPr>
                      <w:rFonts w:hint="eastAsia"/>
                      <w:color w:val="auto"/>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408" w:type="dxa"/>
                  <w:tcBorders>
                    <w:tl2br w:val="nil"/>
                    <w:tr2bl w:val="nil"/>
                  </w:tcBorders>
                  <w:vAlign w:val="center"/>
                </w:tcPr>
                <w:p>
                  <w:pPr>
                    <w:pStyle w:val="70"/>
                    <w:ind w:firstLine="0" w:firstLineChars="0"/>
                    <w:jc w:val="left"/>
                    <w:rPr>
                      <w:rFonts w:hint="eastAsia"/>
                      <w:color w:val="auto"/>
                      <w:szCs w:val="21"/>
                      <w:lang w:eastAsia="zh-CN"/>
                    </w:rPr>
                  </w:pPr>
                  <w:r>
                    <w:rPr>
                      <w:rFonts w:hint="eastAsia"/>
                      <w:color w:val="auto"/>
                      <w:szCs w:val="21"/>
                      <w:lang w:eastAsia="zh-CN"/>
                    </w:rPr>
                    <w:t>垫料必须经灭菌处理后方可使用。</w:t>
                  </w:r>
                </w:p>
              </w:tc>
              <w:tc>
                <w:tcPr>
                  <w:tcW w:w="2912" w:type="dxa"/>
                  <w:tcBorders>
                    <w:tl2br w:val="nil"/>
                    <w:tr2bl w:val="nil"/>
                  </w:tcBorders>
                  <w:vAlign w:val="center"/>
                </w:tcPr>
                <w:p>
                  <w:pPr>
                    <w:pStyle w:val="70"/>
                    <w:ind w:firstLine="0" w:firstLineChars="0"/>
                    <w:jc w:val="left"/>
                    <w:rPr>
                      <w:rFonts w:hint="eastAsia"/>
                      <w:color w:val="auto"/>
                      <w:szCs w:val="21"/>
                      <w:lang w:val="en-US" w:eastAsia="zh-CN"/>
                    </w:rPr>
                  </w:pPr>
                  <w:r>
                    <w:rPr>
                      <w:rFonts w:hint="eastAsia"/>
                      <w:color w:val="auto"/>
                      <w:szCs w:val="21"/>
                      <w:lang w:val="en-US" w:eastAsia="zh-CN"/>
                    </w:rPr>
                    <w:t>实验动物使用的垫料为松软的木质刨花，经高压蒸汽灭菌后使用。</w:t>
                  </w:r>
                </w:p>
              </w:tc>
              <w:tc>
                <w:tcPr>
                  <w:tcW w:w="856" w:type="dxa"/>
                  <w:tcBorders>
                    <w:tl2br w:val="nil"/>
                    <w:tr2bl w:val="nil"/>
                  </w:tcBorders>
                  <w:vAlign w:val="center"/>
                </w:tcPr>
                <w:p>
                  <w:pPr>
                    <w:pStyle w:val="70"/>
                    <w:ind w:firstLine="0" w:firstLineChars="0"/>
                    <w:jc w:val="center"/>
                    <w:rPr>
                      <w:rFonts w:hint="eastAsia"/>
                      <w:color w:val="auto"/>
                      <w:szCs w:val="21"/>
                    </w:rPr>
                  </w:pPr>
                  <w:r>
                    <w:rPr>
                      <w:rFonts w:hint="eastAsia"/>
                      <w:color w:val="auto"/>
                      <w:szCs w:val="21"/>
                      <w:lang w:eastAsia="zh-CN"/>
                    </w:rPr>
                    <w:t>符合</w:t>
                  </w:r>
                </w:p>
              </w:tc>
            </w:tr>
          </w:tbl>
          <w:p>
            <w:pPr>
              <w:pStyle w:val="8"/>
              <w:bidi w:val="0"/>
              <w:rPr>
                <w:rFonts w:hint="default" w:eastAsia="宋体"/>
                <w:color w:val="auto"/>
                <w:lang w:val="en-US" w:eastAsia="zh-CN"/>
              </w:rPr>
            </w:pPr>
            <w:r>
              <w:rPr>
                <w:rFonts w:hint="eastAsia"/>
                <w:b w:val="0"/>
                <w:bCs/>
                <w:color w:val="auto"/>
                <w:lang w:val="en-US" w:eastAsia="zh-CN"/>
              </w:rPr>
              <w:t>综上所述，本项目动物实验符合《实验动物管理条例》（国家科委2号令）、《实验动物环境及设施》（GB14925-2010）的相关要求。</w:t>
            </w:r>
          </w:p>
        </w:tc>
      </w:tr>
    </w:tbl>
    <w:p>
      <w:pPr>
        <w:spacing w:line="360" w:lineRule="auto"/>
        <w:outlineLvl w:val="0"/>
        <w:rPr>
          <w:rFonts w:eastAsia="黑体"/>
          <w:color w:val="auto"/>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6"/>
        <w:keepNext w:val="0"/>
        <w:keepLines w:val="0"/>
        <w:pageBreakBefore w:val="0"/>
        <w:widowControl/>
        <w:numPr>
          <w:ilvl w:val="0"/>
          <w:numId w:val="0"/>
        </w:numPr>
        <w:kinsoku/>
        <w:wordWrap/>
        <w:overflowPunct/>
        <w:topLinePunct w:val="0"/>
        <w:autoSpaceDE/>
        <w:autoSpaceDN/>
        <w:bidi w:val="0"/>
        <w:adjustRightInd/>
        <w:snapToGrid/>
        <w:spacing w:before="313" w:beforeLines="100" w:beforeAutospacing="0" w:after="313" w:afterLines="100" w:afterAutospacing="0" w:line="240" w:lineRule="auto"/>
        <w:ind w:left="0" w:leftChars="0" w:firstLine="600" w:firstLineChars="200"/>
        <w:jc w:val="both"/>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lang w:val="en-US" w:eastAsia="zh-CN"/>
        </w:rPr>
        <w:t>二、</w:t>
      </w:r>
      <w:r>
        <w:rPr>
          <w:rFonts w:hint="eastAsia" w:ascii="黑体" w:hAnsi="黑体" w:eastAsia="黑体"/>
          <w:snapToGrid w:val="0"/>
          <w:color w:val="auto"/>
          <w:sz w:val="30"/>
          <w:szCs w:val="30"/>
        </w:rPr>
        <w:t>建设项目工程分析</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noWrap w:val="0"/>
            <w:vAlign w:val="center"/>
          </w:tcPr>
          <w:p>
            <w:pPr>
              <w:pStyle w:val="26"/>
              <w:adjustRightInd w:val="0"/>
              <w:snapToGrid w:val="0"/>
              <w:spacing w:before="0" w:beforeAutospacing="0" w:after="0" w:afterAutospacing="0"/>
              <w:jc w:val="both"/>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建设内容</w:t>
            </w:r>
          </w:p>
        </w:tc>
        <w:tc>
          <w:tcPr>
            <w:tcW w:w="8638" w:type="dxa"/>
            <w:noWrap w:val="0"/>
            <w:vAlign w:val="top"/>
          </w:tcPr>
          <w:p>
            <w:pPr>
              <w:pStyle w:val="4"/>
              <w:bidi w:val="0"/>
              <w:rPr>
                <w:color w:val="auto"/>
              </w:rPr>
            </w:pPr>
            <w:r>
              <w:rPr>
                <w:rFonts w:hint="eastAsia"/>
                <w:color w:val="auto"/>
                <w:lang w:val="en-US" w:eastAsia="zh-CN"/>
              </w:rPr>
              <w:t>2.1</w:t>
            </w:r>
            <w:r>
              <w:rPr>
                <w:color w:val="auto"/>
              </w:rPr>
              <w:t>项目概况</w:t>
            </w:r>
          </w:p>
          <w:p>
            <w:pPr>
              <w:spacing w:line="360" w:lineRule="auto"/>
              <w:ind w:firstLine="480" w:firstLineChars="200"/>
              <w:contextualSpacing/>
              <w:outlineLvl w:val="0"/>
              <w:rPr>
                <w:rFonts w:hint="eastAsia" w:eastAsia="宋体"/>
                <w:color w:val="auto"/>
                <w:lang w:val="en-US" w:eastAsia="zh-CN"/>
              </w:rPr>
            </w:pPr>
            <w:r>
              <w:rPr>
                <w:rFonts w:hint="eastAsia"/>
                <w:color w:val="auto"/>
                <w:sz w:val="24"/>
              </w:rPr>
              <w:t>天津津科生物科技有限责任公司成立于2018年4月，主要从事病理学检测、蛋白/核酸检测、细胞生物学检测、生理生化检测、多组学测序等技术服务</w:t>
            </w:r>
            <w:r>
              <w:rPr>
                <w:rFonts w:hint="eastAsia"/>
                <w:color w:val="auto"/>
                <w:sz w:val="24"/>
                <w:lang w:eastAsia="zh-CN"/>
              </w:rPr>
              <w:t>。</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lang w:eastAsia="zh-CN"/>
              </w:rPr>
            </w:pPr>
            <w:r>
              <w:rPr>
                <w:rFonts w:hint="eastAsia"/>
                <w:color w:val="auto"/>
                <w:lang w:val="en-US" w:eastAsia="zh-CN"/>
              </w:rPr>
              <w:t>建设单位</w:t>
            </w:r>
            <w:r>
              <w:rPr>
                <w:rFonts w:hint="eastAsia"/>
                <w:color w:val="auto"/>
              </w:rPr>
              <w:t>总投资</w:t>
            </w:r>
            <w:r>
              <w:rPr>
                <w:rFonts w:hint="eastAsia"/>
                <w:color w:val="auto"/>
                <w:lang w:val="en-US" w:eastAsia="zh-CN"/>
              </w:rPr>
              <w:t>100</w:t>
            </w:r>
            <w:r>
              <w:rPr>
                <w:rFonts w:hint="eastAsia"/>
                <w:color w:val="auto"/>
              </w:rPr>
              <w:t>万元，建设“</w:t>
            </w:r>
            <w:r>
              <w:rPr>
                <w:rFonts w:hint="eastAsia"/>
                <w:color w:val="auto"/>
                <w:szCs w:val="21"/>
                <w:lang w:val="en-US" w:eastAsia="zh-CN"/>
              </w:rPr>
              <w:t>津科生物新建实验室</w:t>
            </w:r>
            <w:r>
              <w:rPr>
                <w:rFonts w:hint="default"/>
                <w:color w:val="auto"/>
                <w:lang w:val="en-US" w:eastAsia="zh-CN"/>
              </w:rPr>
              <w:t>项目</w:t>
            </w:r>
            <w:r>
              <w:rPr>
                <w:rFonts w:hint="eastAsia"/>
                <w:color w:val="auto"/>
              </w:rPr>
              <w:t>”。</w:t>
            </w:r>
            <w:r>
              <w:rPr>
                <w:rFonts w:hint="eastAsia"/>
                <w:color w:val="auto"/>
                <w:lang w:eastAsia="zh-CN"/>
              </w:rPr>
              <w:t>建设单位</w:t>
            </w:r>
            <w:r>
              <w:rPr>
                <w:rFonts w:hint="eastAsia"/>
                <w:color w:val="auto"/>
                <w:sz w:val="24"/>
                <w:lang w:val="en-US" w:eastAsia="zh-CN"/>
              </w:rPr>
              <w:t>通过天津中关村信息谷科技服务有限公司</w:t>
            </w:r>
            <w:r>
              <w:rPr>
                <w:rFonts w:hint="eastAsia"/>
                <w:color w:val="auto"/>
                <w:lang w:val="en-US" w:eastAsia="zh-CN"/>
              </w:rPr>
              <w:t>租赁</w:t>
            </w:r>
            <w:r>
              <w:rPr>
                <w:rFonts w:hint="default"/>
                <w:color w:val="auto"/>
              </w:rPr>
              <w:t>位于</w:t>
            </w:r>
            <w:r>
              <w:rPr>
                <w:rFonts w:hint="eastAsia"/>
                <w:color w:val="auto"/>
                <w:lang w:eastAsia="zh-CN"/>
              </w:rPr>
              <w:t>天津</w:t>
            </w:r>
            <w:r>
              <w:rPr>
                <w:rFonts w:hint="eastAsia"/>
                <w:color w:val="auto"/>
                <w:sz w:val="24"/>
              </w:rPr>
              <w:t>滨海高新区华苑产业</w:t>
            </w:r>
            <w:r>
              <w:rPr>
                <w:rFonts w:hint="eastAsia"/>
                <w:color w:val="auto"/>
                <w:sz w:val="24"/>
                <w:lang w:eastAsia="zh-CN"/>
              </w:rPr>
              <w:t>区（环外）</w:t>
            </w:r>
            <w:r>
              <w:rPr>
                <w:rFonts w:hint="eastAsia"/>
                <w:color w:val="auto"/>
                <w:sz w:val="24"/>
              </w:rPr>
              <w:t>海泰</w:t>
            </w:r>
            <w:r>
              <w:rPr>
                <w:rFonts w:hint="eastAsia"/>
                <w:color w:val="auto"/>
                <w:sz w:val="24"/>
                <w:lang w:eastAsia="zh-CN"/>
              </w:rPr>
              <w:t>华科八路</w:t>
            </w:r>
            <w:r>
              <w:rPr>
                <w:rFonts w:hint="eastAsia"/>
                <w:color w:val="auto"/>
                <w:sz w:val="24"/>
                <w:lang w:val="en-US" w:eastAsia="zh-CN"/>
              </w:rPr>
              <w:t>6号5层E区512~514进行建设</w:t>
            </w:r>
            <w:r>
              <w:rPr>
                <w:rFonts w:hint="eastAsia"/>
                <w:color w:val="auto"/>
                <w:lang w:val="en-US" w:eastAsia="zh-CN"/>
              </w:rPr>
              <w:t>，</w:t>
            </w:r>
            <w:r>
              <w:rPr>
                <w:rFonts w:hint="default"/>
                <w:color w:val="auto"/>
              </w:rPr>
              <w:t>建筑</w:t>
            </w:r>
            <w:r>
              <w:rPr>
                <w:rFonts w:hint="eastAsia"/>
                <w:color w:val="auto"/>
                <w:lang w:val="en-US" w:eastAsia="zh-CN"/>
              </w:rPr>
              <w:t>面积1829.44m</w:t>
            </w:r>
            <w:r>
              <w:rPr>
                <w:rFonts w:hint="eastAsia"/>
                <w:color w:val="auto"/>
                <w:vertAlign w:val="superscript"/>
                <w:lang w:val="en-US" w:eastAsia="zh-CN"/>
              </w:rPr>
              <w:t>2</w:t>
            </w:r>
            <w:r>
              <w:rPr>
                <w:rFonts w:hint="eastAsia"/>
                <w:color w:val="auto"/>
                <w:lang w:val="en-US" w:eastAsia="zh-CN"/>
              </w:rPr>
              <w:t>，主要建设内容为购置安装石蜡切片机、电解质分析仪、离心机、超净工作台、生化培养箱、荧光酶标仪及配套环保设备，进行</w:t>
            </w:r>
            <w:r>
              <w:rPr>
                <w:rFonts w:hint="eastAsia" w:ascii="Times New Roman" w:hAnsi="Times New Roman" w:eastAsia="宋体" w:cs="Times New Roman"/>
                <w:color w:val="auto"/>
                <w:sz w:val="24"/>
                <w:szCs w:val="24"/>
                <w:lang w:val="en-US" w:eastAsia="zh-CN"/>
              </w:rPr>
              <w:t>HE染色实验、RT-qPCR相对定量实验、Western Blot检测、细胞滴片免疫组化实验、石蜡切片免疫组化实验</w:t>
            </w:r>
            <w:r>
              <w:rPr>
                <w:rFonts w:hint="eastAsia" w:cs="Times New Roman"/>
                <w:color w:val="auto"/>
                <w:sz w:val="24"/>
                <w:szCs w:val="24"/>
                <w:lang w:val="en-US" w:eastAsia="zh-CN"/>
              </w:rPr>
              <w:t>等相关检测服务</w:t>
            </w:r>
            <w:r>
              <w:rPr>
                <w:rFonts w:hint="eastAsia"/>
                <w:color w:val="auto"/>
                <w:lang w:val="en-US" w:eastAsia="zh-CN"/>
              </w:rPr>
              <w:t>，项目建成后年出具700份检测报告</w:t>
            </w:r>
            <w:r>
              <w:rPr>
                <w:rFonts w:hint="eastAsia"/>
                <w:color w:val="auto"/>
                <w:lang w:eastAsia="zh-CN"/>
              </w:rPr>
              <w:t>。</w:t>
            </w:r>
          </w:p>
          <w:p>
            <w:pPr>
              <w:wordWrap w:val="0"/>
              <w:ind w:firstLine="480" w:firstLineChars="200"/>
              <w:rPr>
                <w:rFonts w:hint="eastAsia" w:eastAsia="宋体"/>
                <w:color w:val="auto"/>
                <w:lang w:eastAsia="zh-CN"/>
              </w:rPr>
            </w:pPr>
            <w:r>
              <w:rPr>
                <w:rFonts w:hint="eastAsia"/>
                <w:color w:val="auto"/>
              </w:rPr>
              <w:t>本项目实验主要针对客户送检的动植物、细胞样本进行生物医学检测，出具检测报告；或者客户提供安全性中医药物</w:t>
            </w:r>
            <w:r>
              <w:rPr>
                <w:rFonts w:hint="eastAsia"/>
                <w:color w:val="auto"/>
                <w:lang w:eastAsia="zh-CN"/>
              </w:rPr>
              <w:t>。根据客户提供的动物模型设置空白组、模型组、不同剂量组进行对照实验，</w:t>
            </w:r>
            <w:r>
              <w:rPr>
                <w:rFonts w:hint="eastAsia"/>
                <w:color w:val="auto"/>
                <w:lang w:val="en-US" w:eastAsia="zh-CN"/>
              </w:rPr>
              <w:t>实验模型选取8~100只动物，</w:t>
            </w:r>
            <w:r>
              <w:rPr>
                <w:rFonts w:hint="eastAsia"/>
                <w:color w:val="auto"/>
              </w:rPr>
              <w:t>选择身体健康、体重适合的实验动物通过腹腔注射法和灌胃法给药，观察实验药物对实验动物生理活动和机体健康恢复的影响，然后对实验动物进行解剖，对其血液、脏器等实验样本进行检测并出具分析检测报告，便于客户系统分析目的性药物的药效和分子药理。检测完成后实验样本均返还客户。</w:t>
            </w:r>
          </w:p>
          <w:p>
            <w:pPr>
              <w:pStyle w:val="4"/>
              <w:bidi w:val="0"/>
              <w:rPr>
                <w:color w:val="auto"/>
              </w:rPr>
            </w:pPr>
            <w:r>
              <w:rPr>
                <w:rFonts w:hint="eastAsia"/>
                <w:color w:val="auto"/>
                <w:lang w:val="en-US" w:eastAsia="zh-CN"/>
              </w:rPr>
              <w:t>2.2</w:t>
            </w:r>
            <w:r>
              <w:rPr>
                <w:color w:val="auto"/>
              </w:rPr>
              <w:t>项目主要内容</w:t>
            </w:r>
          </w:p>
          <w:p>
            <w:pPr>
              <w:pStyle w:val="4"/>
              <w:bidi w:val="0"/>
              <w:rPr>
                <w:color w:val="auto"/>
              </w:rPr>
            </w:pPr>
            <w:r>
              <w:rPr>
                <w:rFonts w:hint="eastAsia"/>
                <w:color w:val="auto"/>
                <w:lang w:val="en-US" w:eastAsia="zh-CN"/>
              </w:rPr>
              <w:t>2.2.1</w:t>
            </w:r>
            <w:r>
              <w:rPr>
                <w:color w:val="auto"/>
              </w:rPr>
              <w:t>本项目主要建设内容</w:t>
            </w:r>
          </w:p>
          <w:p>
            <w:pPr>
              <w:spacing w:line="360" w:lineRule="auto"/>
              <w:ind w:firstLine="480"/>
              <w:rPr>
                <w:rFonts w:hint="eastAsia" w:eastAsia="宋体"/>
                <w:color w:val="auto"/>
                <w:lang w:val="en-US" w:eastAsia="zh-CN"/>
              </w:rPr>
            </w:pPr>
            <w:r>
              <w:rPr>
                <w:rFonts w:hint="eastAsia"/>
                <w:color w:val="auto"/>
              </w:rPr>
              <w:t>本项目</w:t>
            </w:r>
            <w:r>
              <w:rPr>
                <w:rFonts w:hint="eastAsia"/>
                <w:color w:val="auto"/>
                <w:lang w:val="en-US" w:eastAsia="zh-CN"/>
              </w:rPr>
              <w:t>租赁</w:t>
            </w:r>
            <w:r>
              <w:rPr>
                <w:rFonts w:hint="default"/>
                <w:color w:val="auto"/>
              </w:rPr>
              <w:t>位于</w:t>
            </w:r>
            <w:r>
              <w:rPr>
                <w:rFonts w:hint="eastAsia"/>
                <w:color w:val="auto"/>
                <w:lang w:eastAsia="zh-CN"/>
              </w:rPr>
              <w:t>天津</w:t>
            </w:r>
            <w:r>
              <w:rPr>
                <w:rFonts w:hint="eastAsia"/>
                <w:color w:val="auto"/>
                <w:sz w:val="24"/>
              </w:rPr>
              <w:t>滨海高新区华苑产业</w:t>
            </w:r>
            <w:r>
              <w:rPr>
                <w:rFonts w:hint="eastAsia"/>
                <w:color w:val="auto"/>
                <w:sz w:val="24"/>
                <w:lang w:eastAsia="zh-CN"/>
              </w:rPr>
              <w:t>区（环外）</w:t>
            </w:r>
            <w:r>
              <w:rPr>
                <w:rFonts w:hint="eastAsia"/>
                <w:color w:val="auto"/>
                <w:sz w:val="24"/>
              </w:rPr>
              <w:t>海泰</w:t>
            </w:r>
            <w:r>
              <w:rPr>
                <w:rFonts w:hint="eastAsia"/>
                <w:color w:val="auto"/>
                <w:sz w:val="24"/>
                <w:lang w:eastAsia="zh-CN"/>
              </w:rPr>
              <w:t>华科八路</w:t>
            </w:r>
            <w:r>
              <w:rPr>
                <w:rFonts w:hint="eastAsia"/>
                <w:color w:val="auto"/>
                <w:sz w:val="24"/>
                <w:lang w:val="en-US" w:eastAsia="zh-CN"/>
              </w:rPr>
              <w:t>6号5层E区512~514进行建设</w:t>
            </w:r>
            <w:r>
              <w:rPr>
                <w:rFonts w:hint="eastAsia"/>
                <w:color w:val="auto"/>
                <w:lang w:val="en-US" w:eastAsia="zh-CN"/>
              </w:rPr>
              <w:t>，</w:t>
            </w:r>
            <w:r>
              <w:rPr>
                <w:rFonts w:hint="default"/>
                <w:color w:val="auto"/>
              </w:rPr>
              <w:t>建筑</w:t>
            </w:r>
            <w:r>
              <w:rPr>
                <w:rFonts w:hint="eastAsia"/>
                <w:color w:val="auto"/>
                <w:lang w:val="en-US" w:eastAsia="zh-CN"/>
              </w:rPr>
              <w:t>面积1829.44m</w:t>
            </w:r>
            <w:r>
              <w:rPr>
                <w:rFonts w:hint="eastAsia"/>
                <w:color w:val="auto"/>
                <w:vertAlign w:val="superscript"/>
                <w:lang w:val="en-US" w:eastAsia="zh-CN"/>
              </w:rPr>
              <w:t>2</w:t>
            </w:r>
            <w:r>
              <w:rPr>
                <w:rFonts w:hint="default"/>
                <w:color w:val="auto"/>
              </w:rPr>
              <w:t>。</w:t>
            </w:r>
            <w:r>
              <w:rPr>
                <w:rFonts w:hint="eastAsia"/>
                <w:color w:val="auto"/>
                <w:lang w:val="en-US" w:eastAsia="zh-CN"/>
              </w:rPr>
              <w:t>本项目北侧为空置厂房，南侧为5层公共区域及楼梯间，</w:t>
            </w:r>
            <w:r>
              <w:rPr>
                <w:rFonts w:hint="eastAsia"/>
                <w:color w:val="auto"/>
              </w:rPr>
              <w:t>地理位置详见附图、周边环境详见附图。</w:t>
            </w:r>
            <w:r>
              <w:rPr>
                <w:rFonts w:hint="eastAsia"/>
                <w:color w:val="auto"/>
                <w:lang w:val="en-US" w:eastAsia="zh-CN"/>
              </w:rPr>
              <w:t>本项目</w:t>
            </w:r>
            <w:r>
              <w:rPr>
                <w:rFonts w:hint="eastAsia"/>
                <w:color w:val="auto"/>
                <w:lang w:eastAsia="zh-CN"/>
              </w:rPr>
              <w:t>所在建筑物共</w:t>
            </w:r>
            <w:r>
              <w:rPr>
                <w:rFonts w:hint="eastAsia"/>
                <w:color w:val="auto"/>
                <w:lang w:val="en-US" w:eastAsia="zh-CN"/>
              </w:rPr>
              <w:t>5层，高17m，本项目位于建筑物五层，建筑物四层为天津滨海美联医疗检验实验室有限公司、天津联心医疗科技有限公司；三层为三拓智能装备（天津）有限公司和世纪海康（天津）医疗器械有限公司。</w:t>
            </w:r>
            <w:r>
              <w:rPr>
                <w:color w:val="auto"/>
              </w:rPr>
              <w:t>本项目</w:t>
            </w:r>
            <w:r>
              <w:rPr>
                <w:rFonts w:hint="eastAsia"/>
                <w:color w:val="auto"/>
                <w:lang w:val="en-US" w:eastAsia="zh-CN"/>
              </w:rPr>
              <w:t>建（构）筑物</w:t>
            </w:r>
            <w:r>
              <w:rPr>
                <w:color w:val="auto"/>
              </w:rPr>
              <w:t>一览表见下表。</w:t>
            </w:r>
          </w:p>
          <w:p>
            <w:pPr>
              <w:pStyle w:val="83"/>
              <w:bidi w:val="0"/>
              <w:rPr>
                <w:color w:val="auto"/>
              </w:rPr>
            </w:pPr>
            <w:r>
              <w:rPr>
                <w:rFonts w:hint="eastAsia"/>
                <w:color w:val="auto"/>
                <w:lang w:val="en-US" w:eastAsia="zh-CN"/>
              </w:rPr>
              <w:t>表2-1  本项目建（构）筑物</w:t>
            </w:r>
            <w:r>
              <w:rPr>
                <w:color w:val="auto"/>
              </w:rPr>
              <w:t>一览表</w:t>
            </w:r>
          </w:p>
          <w:tbl>
            <w:tblPr>
              <w:tblStyle w:val="29"/>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572"/>
              <w:gridCol w:w="1159"/>
              <w:gridCol w:w="730"/>
              <w:gridCol w:w="993"/>
              <w:gridCol w:w="32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default"/>
                      <w:b/>
                      <w:bCs/>
                      <w:color w:val="auto"/>
                      <w:sz w:val="21"/>
                      <w:szCs w:val="21"/>
                    </w:rPr>
                  </w:pPr>
                  <w:r>
                    <w:rPr>
                      <w:rFonts w:hint="default"/>
                      <w:b/>
                      <w:bCs/>
                      <w:color w:val="auto"/>
                      <w:sz w:val="21"/>
                      <w:szCs w:val="21"/>
                    </w:rPr>
                    <w:t>序号</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default"/>
                      <w:b/>
                      <w:bCs/>
                      <w:color w:val="auto"/>
                      <w:sz w:val="21"/>
                      <w:szCs w:val="21"/>
                    </w:rPr>
                  </w:pPr>
                  <w:r>
                    <w:rPr>
                      <w:rFonts w:hint="default"/>
                      <w:b/>
                      <w:bCs/>
                      <w:color w:val="auto"/>
                      <w:sz w:val="21"/>
                      <w:szCs w:val="21"/>
                    </w:rPr>
                    <w:t>名称</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default"/>
                      <w:b/>
                      <w:bCs/>
                      <w:color w:val="auto"/>
                      <w:sz w:val="21"/>
                      <w:szCs w:val="21"/>
                    </w:rPr>
                  </w:pPr>
                  <w:r>
                    <w:rPr>
                      <w:rFonts w:hint="eastAsia"/>
                      <w:b/>
                      <w:bCs/>
                      <w:color w:val="auto"/>
                      <w:sz w:val="21"/>
                      <w:szCs w:val="21"/>
                      <w:lang w:eastAsia="zh-CN"/>
                    </w:rPr>
                    <w:t>所在建筑物</w:t>
                  </w:r>
                  <w:r>
                    <w:rPr>
                      <w:rFonts w:hint="default"/>
                      <w:b/>
                      <w:bCs/>
                      <w:color w:val="auto"/>
                      <w:sz w:val="21"/>
                      <w:szCs w:val="21"/>
                    </w:rPr>
                    <w:t>层数</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eastAsia" w:eastAsia="宋体"/>
                      <w:b/>
                      <w:bCs/>
                      <w:color w:val="auto"/>
                      <w:sz w:val="21"/>
                      <w:szCs w:val="21"/>
                      <w:lang w:eastAsia="zh-CN"/>
                    </w:rPr>
                  </w:pPr>
                  <w:r>
                    <w:rPr>
                      <w:rFonts w:hint="default"/>
                      <w:b/>
                      <w:bCs/>
                      <w:color w:val="auto"/>
                      <w:sz w:val="21"/>
                      <w:szCs w:val="21"/>
                    </w:rPr>
                    <w:t>高度</w:t>
                  </w:r>
                  <w:r>
                    <w:rPr>
                      <w:rFonts w:hint="eastAsia"/>
                      <w:b/>
                      <w:bCs/>
                      <w:color w:val="auto"/>
                      <w:sz w:val="21"/>
                      <w:szCs w:val="21"/>
                      <w:lang w:eastAsia="zh-CN"/>
                    </w:rPr>
                    <w:t>（</w:t>
                  </w:r>
                  <w:r>
                    <w:rPr>
                      <w:rFonts w:hint="eastAsia"/>
                      <w:b/>
                      <w:bCs/>
                      <w:color w:val="auto"/>
                      <w:sz w:val="21"/>
                      <w:szCs w:val="21"/>
                      <w:lang w:val="en-US" w:eastAsia="zh-CN"/>
                    </w:rPr>
                    <w:t>m</w:t>
                  </w:r>
                  <w:r>
                    <w:rPr>
                      <w:rFonts w:hint="eastAsia"/>
                      <w:b/>
                      <w:bCs/>
                      <w:color w:val="auto"/>
                      <w:sz w:val="21"/>
                      <w:szCs w:val="21"/>
                      <w:lang w:eastAsia="zh-CN"/>
                    </w:rPr>
                    <w:t>）</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default"/>
                      <w:b/>
                      <w:bCs/>
                      <w:color w:val="auto"/>
                      <w:sz w:val="21"/>
                      <w:szCs w:val="21"/>
                      <w:lang w:val="en-US" w:eastAsia="zh-CN"/>
                    </w:rPr>
                  </w:pPr>
                  <w:r>
                    <w:rPr>
                      <w:rFonts w:hint="default"/>
                      <w:b/>
                      <w:bCs/>
                      <w:color w:val="auto"/>
                      <w:sz w:val="21"/>
                      <w:szCs w:val="21"/>
                    </w:rPr>
                    <w:t>建筑面积</w:t>
                  </w:r>
                  <w:r>
                    <w:rPr>
                      <w:rFonts w:hint="eastAsia"/>
                      <w:b/>
                      <w:bCs/>
                      <w:color w:val="auto"/>
                      <w:sz w:val="21"/>
                      <w:szCs w:val="21"/>
                      <w:lang w:eastAsia="zh-CN"/>
                    </w:rPr>
                    <w:t>（</w:t>
                  </w:r>
                  <w:r>
                    <w:rPr>
                      <w:rFonts w:hint="eastAsia"/>
                      <w:b/>
                      <w:bCs/>
                      <w:color w:val="auto"/>
                      <w:sz w:val="21"/>
                      <w:szCs w:val="21"/>
                      <w:lang w:val="en-US" w:eastAsia="zh-CN"/>
                    </w:rPr>
                    <w:t>m</w:t>
                  </w:r>
                  <w:r>
                    <w:rPr>
                      <w:rFonts w:hint="eastAsia"/>
                      <w:b/>
                      <w:bCs/>
                      <w:color w:val="auto"/>
                      <w:sz w:val="21"/>
                      <w:szCs w:val="21"/>
                      <w:vertAlign w:val="superscript"/>
                      <w:lang w:val="en-US" w:eastAsia="zh-CN"/>
                    </w:rPr>
                    <w:t>2</w:t>
                  </w:r>
                  <w:r>
                    <w:rPr>
                      <w:rFonts w:hint="eastAsia"/>
                      <w:b/>
                      <w:bCs/>
                      <w:color w:val="auto"/>
                      <w:sz w:val="21"/>
                      <w:szCs w:val="21"/>
                      <w:lang w:eastAsia="zh-CN"/>
                    </w:rPr>
                    <w:t>）</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before="20"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鼠饲养间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136.75</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位于本项目北侧，饲养鼠，设置笼子35个。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兔饲养间1</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13.82</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olor w:val="auto"/>
                      <w:sz w:val="21"/>
                      <w:szCs w:val="21"/>
                      <w:lang w:val="en-US" w:eastAsia="zh-CN"/>
                    </w:rPr>
                    <w:t>位于本项目北侧，饲养兔子，设置笼子10个。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兔饲养间2</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19.60</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位于本项目北侧，饲养兔子，设置笼子10个。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兔饲养间3</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17.01</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位于本项目北侧，饲养兔子，设置笼子10个。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兔饲养间4</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13.41</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位于本项目北侧，饲养兔子，设置笼子10个。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6</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前室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29.05</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位于鼠饲养间东侧，设置边台，便于取放动物。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7</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手术室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15.77</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位于本项目北侧，兔子进行解剖手术。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8</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观察室1</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10.86</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位于本项目北侧，用于观察外购兔子健康状况。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淋浴、更衣间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9.07</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位于本项目北侧，用于员工淋浴、更衣。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洗刷间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13.86</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位于本项目北侧，用于动物饮水瓶清洗。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11</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取材室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14.21</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位于本项目北侧，用于鼠解剖手术。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12</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数据分析室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4.00</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位于本项目北侧，用于水迷宫实验数据分析。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13</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水迷宫实验室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10.38</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位于本项目北侧，用于进行水迷宫实验。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14</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观察室2</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6.56</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位于本项目北侧，用于观察外购鼠健康状况。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动物接收室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5.22</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位于本项目北侧，用于接收外购动物。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16</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更衣室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9.78</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位于本项目北侧，用于员工更换实验服。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17</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洗消前室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30.01</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位于本项目北侧，设置洗消机，清洗鼠笼子，手术器具消毒；设置净水机、动物饮水机。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18</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洗消后室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15.18</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位于鼠饲养间东侧，洗消前室消毒后的物品通过消毒传递窗传递到消毒后室，再进入饲养间。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19</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细胞实验室1、2、3</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50.5</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位于本项目东侧，用于细胞培养、细胞样本实验。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分子实验室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193.7</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位于本项目西侧，主要进行</w:t>
                  </w:r>
                  <w:r>
                    <w:rPr>
                      <w:rFonts w:hint="default" w:ascii="Times New Roman" w:hAnsi="Times New Roman" w:cs="Times New Roman" w:eastAsiaTheme="minorEastAsia"/>
                      <w:color w:val="auto"/>
                      <w:kern w:val="0"/>
                      <w:sz w:val="21"/>
                      <w:szCs w:val="21"/>
                      <w:highlight w:val="none"/>
                      <w:lang w:val="en-US" w:eastAsia="zh-CN"/>
                    </w:rPr>
                    <w:t>Western Blot检测</w:t>
                  </w:r>
                  <w:r>
                    <w:rPr>
                      <w:rFonts w:hint="eastAsia"/>
                      <w:color w:val="auto"/>
                      <w:sz w:val="21"/>
                      <w:szCs w:val="21"/>
                      <w:highlight w:val="none"/>
                      <w:lang w:val="en-US" w:eastAsia="zh-CN"/>
                    </w:rPr>
                    <w:t>、</w:t>
                  </w:r>
                  <w:r>
                    <w:rPr>
                      <w:rFonts w:hint="eastAsia"/>
                      <w:color w:val="auto"/>
                      <w:sz w:val="21"/>
                      <w:szCs w:val="21"/>
                      <w:lang w:val="en-US" w:eastAsia="zh-CN"/>
                    </w:rPr>
                    <w:t>RT-qPCR相对定量实验。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21</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样本储存室</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31.5</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lang w:val="en-US" w:eastAsia="zh-CN"/>
                    </w:rPr>
                    <w:t>位于本项目东侧，</w:t>
                  </w:r>
                  <w:r>
                    <w:rPr>
                      <w:rFonts w:hint="default"/>
                      <w:color w:val="auto"/>
                      <w:sz w:val="21"/>
                      <w:szCs w:val="21"/>
                      <w:highlight w:val="none"/>
                      <w:lang w:val="en-US" w:eastAsia="zh-CN"/>
                    </w:rPr>
                    <w:t>用于保存</w:t>
                  </w:r>
                  <w:r>
                    <w:rPr>
                      <w:rFonts w:hint="eastAsia"/>
                      <w:color w:val="auto"/>
                      <w:sz w:val="21"/>
                      <w:szCs w:val="21"/>
                      <w:highlight w:val="none"/>
                      <w:lang w:val="en-US" w:eastAsia="zh-CN"/>
                    </w:rPr>
                    <w:t>动植物样本、细胞样本</w:t>
                  </w:r>
                  <w:r>
                    <w:rPr>
                      <w:rFonts w:hint="default"/>
                      <w:color w:val="auto"/>
                      <w:sz w:val="21"/>
                      <w:szCs w:val="21"/>
                      <w:highlight w:val="none"/>
                      <w:lang w:val="en-US"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22</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病理实验室1</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47.1</w:t>
                  </w:r>
                </w:p>
              </w:tc>
              <w:tc>
                <w:tcPr>
                  <w:tcW w:w="32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位于本项目东侧，主要进行HE染色实验、RT-qPCR相对定量实验、细胞滴片免疫组化实验、石蜡切片免疫组化实验。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23</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病理实验室2</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42.8</w:t>
                  </w:r>
                </w:p>
              </w:tc>
              <w:tc>
                <w:tcPr>
                  <w:tcW w:w="32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24</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会议室1</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16.8</w:t>
                  </w:r>
                </w:p>
              </w:tc>
              <w:tc>
                <w:tcPr>
                  <w:tcW w:w="324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位于本项目南侧，用于员工办公、会议。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25</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会议室2</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16.8</w:t>
                  </w:r>
                </w:p>
              </w:tc>
              <w:tc>
                <w:tcPr>
                  <w:tcW w:w="324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26</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s="Times New Roman"/>
                      <w:color w:val="auto"/>
                      <w:kern w:val="2"/>
                      <w:sz w:val="21"/>
                      <w:szCs w:val="21"/>
                      <w:lang w:val="en-US" w:eastAsia="zh-CN" w:bidi="ar-SA"/>
                    </w:rPr>
                    <w:t>办公区域</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232.8</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本项目南侧办公室为办公区域，用于员工办公。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27</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配电间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8.9</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28</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过道、门厅及其他区域</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787</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29</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屋顶休息平台、卫生间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休息平台放置中央空调、新风系统风机。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30</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一般固废暂存间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20</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放置一般固体废物。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9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31</w:t>
                  </w:r>
                </w:p>
              </w:tc>
              <w:tc>
                <w:tcPr>
                  <w:tcW w:w="15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危废暂存间</w:t>
                  </w:r>
                </w:p>
              </w:tc>
              <w:tc>
                <w:tcPr>
                  <w:tcW w:w="11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5层</w:t>
                  </w:r>
                </w:p>
              </w:tc>
              <w:tc>
                <w:tcPr>
                  <w:tcW w:w="73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放置危险废物。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9" w:type="dxa"/>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合计</w:t>
                  </w:r>
                </w:p>
              </w:tc>
              <w:tc>
                <w:tcPr>
                  <w:tcW w:w="9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1892.44</w:t>
                  </w:r>
                </w:p>
              </w:tc>
              <w:tc>
                <w:tcPr>
                  <w:tcW w:w="32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bl>
          <w:p>
            <w:pPr>
              <w:spacing w:line="360" w:lineRule="auto"/>
              <w:ind w:firstLine="480" w:firstLineChars="200"/>
              <w:rPr>
                <w:color w:val="auto"/>
              </w:rPr>
            </w:pPr>
            <w:r>
              <w:rPr>
                <w:color w:val="auto"/>
              </w:rPr>
              <w:t>本项目主要工程内容见下表。</w:t>
            </w:r>
          </w:p>
          <w:p>
            <w:pPr>
              <w:pStyle w:val="83"/>
              <w:bidi w:val="0"/>
              <w:rPr>
                <w:color w:val="auto"/>
              </w:rPr>
            </w:pPr>
            <w:r>
              <w:rPr>
                <w:rFonts w:hint="eastAsia"/>
                <w:color w:val="auto"/>
                <w:lang w:val="en-US" w:eastAsia="zh-CN"/>
              </w:rPr>
              <w:t xml:space="preserve">表2-2  </w:t>
            </w:r>
            <w:r>
              <w:rPr>
                <w:color w:val="auto"/>
              </w:rPr>
              <w:t>主要工程内容一览表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307"/>
              <w:gridCol w:w="59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25" w:hRule="atLeast"/>
                <w:jc w:val="center"/>
              </w:trPr>
              <w:tc>
                <w:tcPr>
                  <w:tcW w:w="703"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b/>
                      <w:bCs/>
                      <w:color w:val="auto"/>
                      <w:sz w:val="21"/>
                      <w:szCs w:val="21"/>
                    </w:rPr>
                  </w:pPr>
                  <w:r>
                    <w:rPr>
                      <w:rFonts w:hint="default"/>
                      <w:b/>
                      <w:bCs/>
                      <w:color w:val="auto"/>
                      <w:sz w:val="21"/>
                      <w:szCs w:val="21"/>
                    </w:rPr>
                    <w:t>工程分类</w:t>
                  </w: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b/>
                      <w:bCs/>
                      <w:color w:val="auto"/>
                      <w:sz w:val="21"/>
                      <w:szCs w:val="21"/>
                    </w:rPr>
                  </w:pPr>
                  <w:r>
                    <w:rPr>
                      <w:rFonts w:hint="default"/>
                      <w:b/>
                      <w:bCs/>
                      <w:color w:val="auto"/>
                      <w:sz w:val="21"/>
                      <w:szCs w:val="21"/>
                    </w:rPr>
                    <w:t>项目名称</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b/>
                      <w:bCs/>
                      <w:color w:val="auto"/>
                      <w:sz w:val="21"/>
                      <w:szCs w:val="21"/>
                    </w:rPr>
                  </w:pPr>
                  <w:r>
                    <w:rPr>
                      <w:rFonts w:hint="default"/>
                      <w:b/>
                      <w:bCs/>
                      <w:color w:val="auto"/>
                      <w:sz w:val="21"/>
                      <w:szCs w:val="21"/>
                    </w:rPr>
                    <w:t>建设内容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855" w:hRule="atLeast"/>
                <w:jc w:val="center"/>
              </w:trPr>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主体</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工程</w:t>
                  </w: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实验室</w:t>
                  </w:r>
                </w:p>
              </w:tc>
              <w:tc>
                <w:tcPr>
                  <w:tcW w:w="351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本项目设置病理学实验室、分子实验室、细胞实验室。病理学实验室主要进行HE染色实验、</w:t>
                  </w:r>
                  <w:r>
                    <w:rPr>
                      <w:rFonts w:hint="eastAsia" w:ascii="Times New Roman" w:hAnsi="Times New Roman" w:eastAsia="宋体" w:cs="Times New Roman"/>
                      <w:color w:val="auto"/>
                      <w:sz w:val="21"/>
                      <w:szCs w:val="21"/>
                      <w:lang w:val="en-US" w:eastAsia="zh-CN"/>
                    </w:rPr>
                    <w:t>细胞滴片免疫组化实验</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石蜡切片免疫组化实验</w:t>
                  </w:r>
                  <w:r>
                    <w:rPr>
                      <w:rFonts w:hint="eastAsia" w:cs="Times New Roman"/>
                      <w:color w:val="auto"/>
                      <w:sz w:val="21"/>
                      <w:szCs w:val="21"/>
                      <w:lang w:val="en-US" w:eastAsia="zh-CN"/>
                    </w:rPr>
                    <w:t>及其他实验中涉及挥发性试剂的试验过程；</w:t>
                  </w:r>
                  <w:r>
                    <w:rPr>
                      <w:rFonts w:hint="eastAsia"/>
                      <w:color w:val="auto"/>
                      <w:sz w:val="21"/>
                      <w:szCs w:val="21"/>
                      <w:lang w:val="en-US" w:eastAsia="zh-CN"/>
                    </w:rPr>
                    <w:t>分子实验室主要进行</w:t>
                  </w:r>
                  <w:r>
                    <w:rPr>
                      <w:rFonts w:hint="eastAsia" w:ascii="Times New Roman" w:hAnsi="Times New Roman" w:eastAsia="宋体" w:cs="Times New Roman"/>
                      <w:color w:val="auto"/>
                      <w:sz w:val="21"/>
                      <w:szCs w:val="21"/>
                      <w:lang w:val="en-US" w:eastAsia="zh-CN"/>
                    </w:rPr>
                    <w:t>RT-qPCR相对定量实验</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Western Blot检测</w:t>
                  </w:r>
                  <w:r>
                    <w:rPr>
                      <w:rFonts w:hint="eastAsia" w:cs="Times New Roman"/>
                      <w:color w:val="auto"/>
                      <w:sz w:val="21"/>
                      <w:szCs w:val="21"/>
                      <w:lang w:val="en-US" w:eastAsia="zh-CN"/>
                    </w:rPr>
                    <w:t>；</w:t>
                  </w:r>
                  <w:r>
                    <w:rPr>
                      <w:rFonts w:hint="eastAsia"/>
                      <w:color w:val="auto"/>
                      <w:sz w:val="21"/>
                      <w:szCs w:val="21"/>
                      <w:lang w:val="en-US" w:eastAsia="zh-CN"/>
                    </w:rPr>
                    <w:t>细胞实验室主要进行细胞实验（细胞划痕迁移检测、细胞活性检测、细胞增殖-毒性检测、MTT细胞增殖能力检测、流式细胞凋亡）。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eastAsia"/>
                      <w:color w:val="auto"/>
                      <w:sz w:val="21"/>
                      <w:szCs w:val="21"/>
                      <w:lang w:eastAsia="zh-CN"/>
                    </w:rPr>
                    <w:t>辅助</w:t>
                  </w:r>
                  <w:r>
                    <w:rPr>
                      <w:rFonts w:hint="default"/>
                      <w:color w:val="auto"/>
                      <w:sz w:val="21"/>
                      <w:szCs w:val="21"/>
                    </w:rPr>
                    <w:t>工程</w:t>
                  </w: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动物接收室、观察室、动物饲养间</w:t>
                  </w:r>
                </w:p>
              </w:tc>
              <w:tc>
                <w:tcPr>
                  <w:tcW w:w="3517" w:type="pct"/>
                  <w:tcBorders>
                    <w:tl2br w:val="nil"/>
                    <w:tr2bl w:val="nil"/>
                  </w:tcBorders>
                  <w:noWrap w:val="0"/>
                  <w:vAlign w:val="center"/>
                </w:tcPr>
                <w:p>
                  <w:pPr>
                    <w:pStyle w:val="83"/>
                    <w:bidi w:val="0"/>
                    <w:ind w:left="0" w:leftChars="0" w:firstLine="0" w:firstLineChars="0"/>
                    <w:jc w:val="both"/>
                    <w:rPr>
                      <w:rFonts w:hint="default" w:eastAsia="宋体"/>
                      <w:color w:val="auto"/>
                      <w:sz w:val="21"/>
                      <w:szCs w:val="21"/>
                      <w:lang w:val="en-US" w:eastAsia="zh-CN"/>
                    </w:rPr>
                  </w:pPr>
                  <w:r>
                    <w:rPr>
                      <w:rFonts w:hint="eastAsia"/>
                      <w:b w:val="0"/>
                      <w:bCs/>
                      <w:color w:val="auto"/>
                      <w:sz w:val="21"/>
                      <w:szCs w:val="21"/>
                      <w:lang w:val="en-US" w:eastAsia="zh-CN"/>
                    </w:rPr>
                    <w:t>本项目主要饲养动物为鼠、兔子，鼠饲养间设置笼子35个，</w:t>
                  </w:r>
                  <w:r>
                    <w:rPr>
                      <w:rFonts w:hint="eastAsia"/>
                      <w:b w:val="0"/>
                      <w:bCs/>
                      <w:color w:val="auto"/>
                      <w:lang w:val="en-US" w:eastAsia="zh-CN"/>
                    </w:rPr>
                    <w:t>年饲养鼠12000只，分批购入，每月购入1000只，每只鼠每天喂养饲料5g。兔饲养间共</w:t>
                  </w:r>
                  <w:r>
                    <w:rPr>
                      <w:rFonts w:hint="eastAsia"/>
                      <w:b w:val="0"/>
                      <w:bCs/>
                      <w:color w:val="auto"/>
                      <w:sz w:val="21"/>
                      <w:szCs w:val="21"/>
                      <w:lang w:val="en-US" w:eastAsia="zh-CN"/>
                    </w:rPr>
                    <w:t>设置笼子40个，</w:t>
                  </w:r>
                  <w:r>
                    <w:rPr>
                      <w:rFonts w:hint="eastAsia"/>
                      <w:b w:val="0"/>
                      <w:bCs/>
                      <w:color w:val="auto"/>
                      <w:lang w:val="en-US" w:eastAsia="zh-CN"/>
                    </w:rPr>
                    <w:t>年饲养兔子2000只，分批购入，每只兔子每天喂养饲料100g。外购动物位于观察室观察其健康状况，确认健康转入饲养间，本项目动物饲养期为3~10天，饲养期间不进行检疫、洗澡等工作，仅喂食、喂水。本项目最大饲养量为鼠280只、兔80只。每个笼具饲养鼠个数≤8只、每个笼具饲养兔子个数≤2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color w:val="auto"/>
                      <w:sz w:val="21"/>
                      <w:szCs w:val="21"/>
                      <w:lang w:eastAsia="zh-CN"/>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取材室、手术室</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color w:val="auto"/>
                      <w:sz w:val="21"/>
                      <w:szCs w:val="21"/>
                      <w:lang w:val="en-US" w:eastAsia="zh-CN"/>
                    </w:rPr>
                  </w:pPr>
                  <w:r>
                    <w:rPr>
                      <w:rFonts w:hint="eastAsia"/>
                      <w:color w:val="auto"/>
                      <w:sz w:val="21"/>
                      <w:szCs w:val="21"/>
                      <w:lang w:val="en-US" w:eastAsia="zh-CN"/>
                    </w:rPr>
                    <w:t>本项目饲养的动物鼠解剖手术位于取材室，兔子解剖手术位于手术室。将血液、脏器收集作为实验样本存放于样本储藏间的超低温冰箱内，用于检测实验。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color w:val="auto"/>
                      <w:sz w:val="21"/>
                      <w:szCs w:val="21"/>
                      <w:lang w:eastAsia="zh-CN"/>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样本储藏间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color w:val="auto"/>
                      <w:sz w:val="21"/>
                      <w:szCs w:val="21"/>
                      <w:lang w:val="en-US" w:eastAsia="zh-CN"/>
                    </w:rPr>
                  </w:pPr>
                  <w:r>
                    <w:rPr>
                      <w:rFonts w:hint="eastAsia"/>
                      <w:color w:val="auto"/>
                      <w:sz w:val="21"/>
                      <w:szCs w:val="21"/>
                      <w:lang w:val="en-US" w:eastAsia="zh-CN"/>
                    </w:rPr>
                    <w:t>设置4台超低温冰箱，储存</w:t>
                  </w:r>
                  <w:r>
                    <w:rPr>
                      <w:rFonts w:hint="eastAsia" w:ascii="Times New Roman" w:hAnsi="Times New Roman" w:cs="Times New Roman" w:eastAsiaTheme="minorEastAsia"/>
                      <w:color w:val="auto"/>
                      <w:kern w:val="0"/>
                      <w:sz w:val="21"/>
                      <w:szCs w:val="21"/>
                      <w:lang w:val="en-US" w:eastAsia="zh-CN"/>
                    </w:rPr>
                    <w:t>用于保存</w:t>
                  </w:r>
                  <w:r>
                    <w:rPr>
                      <w:rFonts w:hint="default" w:ascii="Times New Roman" w:hAnsi="Times New Roman" w:cs="Times New Roman" w:eastAsiaTheme="minorEastAsia"/>
                      <w:color w:val="auto"/>
                      <w:kern w:val="0"/>
                      <w:sz w:val="21"/>
                      <w:szCs w:val="21"/>
                      <w:lang w:val="en-US" w:eastAsia="zh-CN"/>
                    </w:rPr>
                    <w:t>低温试验</w:t>
                  </w:r>
                  <w:r>
                    <w:rPr>
                      <w:rFonts w:hint="eastAsia" w:ascii="Times New Roman" w:hAnsi="Times New Roman" w:cs="Times New Roman" w:eastAsiaTheme="minorEastAsia"/>
                      <w:color w:val="auto"/>
                      <w:kern w:val="0"/>
                      <w:sz w:val="21"/>
                      <w:szCs w:val="21"/>
                      <w:lang w:val="en-US" w:eastAsia="zh-CN"/>
                    </w:rPr>
                    <w:t>的</w:t>
                  </w:r>
                  <w:r>
                    <w:rPr>
                      <w:rFonts w:hint="eastAsia" w:cs="Times New Roman" w:eastAsiaTheme="minorEastAsia"/>
                      <w:color w:val="auto"/>
                      <w:kern w:val="0"/>
                      <w:sz w:val="21"/>
                      <w:szCs w:val="21"/>
                      <w:lang w:val="en-US" w:eastAsia="zh-CN"/>
                    </w:rPr>
                    <w:t>动植物样本</w:t>
                  </w:r>
                  <w:r>
                    <w:rPr>
                      <w:rFonts w:hint="default" w:ascii="Times New Roman" w:hAnsi="Times New Roman" w:cs="Times New Roman" w:eastAsiaTheme="minorEastAsia"/>
                      <w:color w:val="auto"/>
                      <w:kern w:val="0"/>
                      <w:sz w:val="21"/>
                      <w:szCs w:val="21"/>
                      <w:lang w:val="en-US" w:eastAsia="zh-CN"/>
                    </w:rPr>
                    <w:t>、</w:t>
                  </w:r>
                  <w:r>
                    <w:rPr>
                      <w:rFonts w:hint="eastAsia" w:cs="Times New Roman" w:eastAsiaTheme="minorEastAsia"/>
                      <w:color w:val="auto"/>
                      <w:kern w:val="0"/>
                      <w:sz w:val="21"/>
                      <w:szCs w:val="21"/>
                      <w:lang w:val="en-US" w:eastAsia="zh-CN"/>
                    </w:rPr>
                    <w:t>细胞</w:t>
                  </w:r>
                  <w:r>
                    <w:rPr>
                      <w:rFonts w:hint="default" w:ascii="Times New Roman" w:hAnsi="Times New Roman" w:cs="Times New Roman" w:eastAsiaTheme="minorEastAsia"/>
                      <w:color w:val="auto"/>
                      <w:kern w:val="0"/>
                      <w:sz w:val="21"/>
                      <w:szCs w:val="21"/>
                      <w:lang w:val="en-US" w:eastAsia="zh-CN"/>
                    </w:rPr>
                    <w:t>样本等</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5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color w:val="auto"/>
                      <w:sz w:val="21"/>
                      <w:szCs w:val="21"/>
                      <w:lang w:eastAsia="zh-CN"/>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洗消间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color w:val="auto"/>
                      <w:sz w:val="21"/>
                      <w:szCs w:val="21"/>
                      <w:lang w:val="en-US" w:eastAsia="zh-CN"/>
                    </w:rPr>
                  </w:pPr>
                  <w:r>
                    <w:rPr>
                      <w:rFonts w:hint="eastAsia"/>
                      <w:color w:val="auto"/>
                      <w:sz w:val="21"/>
                      <w:szCs w:val="21"/>
                      <w:lang w:val="en-US" w:eastAsia="zh-CN"/>
                    </w:rPr>
                    <w:t>设置洗消机、压力蒸汽灭菌器、对手术器具、动物鼠笼子进行清洗消毒。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危险废物暂存间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eastAsia="宋体"/>
                      <w:color w:val="auto"/>
                      <w:sz w:val="21"/>
                      <w:szCs w:val="21"/>
                      <w:lang w:val="en-US" w:eastAsia="zh-CN"/>
                    </w:rPr>
                  </w:pPr>
                  <w:r>
                    <w:rPr>
                      <w:rFonts w:hint="eastAsia"/>
                      <w:color w:val="auto"/>
                      <w:sz w:val="21"/>
                      <w:szCs w:val="21"/>
                      <w:lang w:val="en-US" w:eastAsia="zh-CN"/>
                    </w:rPr>
                    <w:t>位于本项目南侧，用于暂存危险废物。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color w:val="auto"/>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一般固废暂存间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eastAsia="宋体"/>
                      <w:color w:val="auto"/>
                      <w:sz w:val="21"/>
                      <w:szCs w:val="21"/>
                      <w:lang w:val="en-US" w:eastAsia="zh-CN"/>
                    </w:rPr>
                  </w:pPr>
                  <w:r>
                    <w:rPr>
                      <w:rFonts w:hint="eastAsia"/>
                      <w:color w:val="auto"/>
                      <w:sz w:val="21"/>
                      <w:szCs w:val="21"/>
                      <w:lang w:val="en-US" w:eastAsia="zh-CN"/>
                    </w:rPr>
                    <w:t>位于本项目北侧，用于暂存一般固体废物。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eastAsia="宋体"/>
                      <w:color w:val="auto"/>
                      <w:sz w:val="21"/>
                      <w:szCs w:val="21"/>
                      <w:lang w:eastAsia="zh-CN"/>
                    </w:rPr>
                  </w:pPr>
                  <w:r>
                    <w:rPr>
                      <w:rFonts w:hint="eastAsia"/>
                      <w:color w:val="auto"/>
                      <w:sz w:val="21"/>
                      <w:szCs w:val="21"/>
                      <w:lang w:eastAsia="zh-CN"/>
                    </w:rPr>
                    <w:t>样品、产品运输</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pacing w:line="240" w:lineRule="auto"/>
                    <w:textAlignment w:val="auto"/>
                    <w:rPr>
                      <w:rFonts w:hint="eastAsia"/>
                      <w:color w:val="auto"/>
                      <w:sz w:val="21"/>
                      <w:szCs w:val="21"/>
                      <w:lang w:val="en-US"/>
                    </w:rPr>
                  </w:pPr>
                  <w:r>
                    <w:rPr>
                      <w:rFonts w:hint="eastAsia"/>
                      <w:color w:val="auto"/>
                      <w:sz w:val="21"/>
                      <w:szCs w:val="21"/>
                      <w:lang w:val="en-US" w:eastAsia="zh-CN"/>
                    </w:rPr>
                    <w:t>1.</w:t>
                  </w:r>
                  <w:r>
                    <w:rPr>
                      <w:rFonts w:hint="eastAsia"/>
                      <w:color w:val="auto"/>
                      <w:sz w:val="21"/>
                      <w:szCs w:val="21"/>
                      <w:lang w:val="en-US"/>
                    </w:rPr>
                    <w:t>组织样本</w:t>
                  </w:r>
                  <w:r>
                    <w:rPr>
                      <w:rFonts w:hint="eastAsia"/>
                      <w:color w:val="auto"/>
                      <w:sz w:val="21"/>
                      <w:szCs w:val="21"/>
                      <w:lang w:val="en-US" w:eastAsia="zh-CN"/>
                    </w:rPr>
                    <w:t>或实验产品</w:t>
                  </w:r>
                  <w:r>
                    <w:rPr>
                      <w:rFonts w:hint="eastAsia"/>
                      <w:color w:val="auto"/>
                      <w:sz w:val="21"/>
                      <w:szCs w:val="21"/>
                      <w:lang w:val="en-US"/>
                    </w:rPr>
                    <w:t>应立即放置-20℃。运输过程采用干冰，市内运输可选用冰袋。</w:t>
                  </w:r>
                </w:p>
                <w:p>
                  <w:pPr>
                    <w:keepNext w:val="0"/>
                    <w:keepLines w:val="0"/>
                    <w:pageBreakBefore w:val="0"/>
                    <w:widowControl w:val="0"/>
                    <w:kinsoku/>
                    <w:wordWrap/>
                    <w:overflowPunct/>
                    <w:topLinePunct w:val="0"/>
                    <w:bidi w:val="0"/>
                    <w:adjustRightInd/>
                    <w:spacing w:line="240" w:lineRule="auto"/>
                    <w:textAlignment w:val="auto"/>
                    <w:rPr>
                      <w:rFonts w:hint="eastAsia"/>
                      <w:color w:val="auto"/>
                      <w:sz w:val="21"/>
                      <w:szCs w:val="21"/>
                      <w:lang w:val="en-US"/>
                    </w:rPr>
                  </w:pPr>
                  <w:r>
                    <w:rPr>
                      <w:rFonts w:hint="eastAsia"/>
                      <w:color w:val="auto"/>
                      <w:sz w:val="21"/>
                      <w:szCs w:val="21"/>
                      <w:lang w:val="en-US" w:eastAsia="zh-CN"/>
                    </w:rPr>
                    <w:t>2.</w:t>
                  </w:r>
                  <w:r>
                    <w:rPr>
                      <w:rFonts w:hint="eastAsia"/>
                      <w:color w:val="auto"/>
                      <w:sz w:val="21"/>
                      <w:szCs w:val="21"/>
                      <w:lang w:val="en-US"/>
                    </w:rPr>
                    <w:t>细胞样本有严格时间节点的实验需客户自行裂解样本，提取蛋白，采用干冰运输。</w:t>
                  </w:r>
                  <w:r>
                    <w:rPr>
                      <w:rFonts w:hint="eastAsia"/>
                      <w:color w:val="auto"/>
                      <w:sz w:val="21"/>
                      <w:szCs w:val="21"/>
                      <w:lang w:val="en-US" w:eastAsia="zh-CN"/>
                    </w:rPr>
                    <w:t>客户</w:t>
                  </w:r>
                  <w:r>
                    <w:rPr>
                      <w:rFonts w:hint="eastAsia"/>
                      <w:color w:val="auto"/>
                      <w:sz w:val="21"/>
                      <w:szCs w:val="21"/>
                      <w:lang w:val="en-US"/>
                    </w:rPr>
                    <w:t>离心收集好的细胞、悬浮细胞、贴壁细胞都需用冰袋维持4℃运输，不可使用干冰和液氮。</w:t>
                  </w:r>
                  <w:r>
                    <w:rPr>
                      <w:rFonts w:hint="eastAsia"/>
                      <w:color w:val="auto"/>
                      <w:sz w:val="21"/>
                      <w:szCs w:val="21"/>
                      <w:lang w:val="en-US" w:eastAsia="zh-CN"/>
                    </w:rPr>
                    <w:t>实验产品运输</w:t>
                  </w:r>
                  <w:r>
                    <w:rPr>
                      <w:rFonts w:hint="eastAsia"/>
                      <w:color w:val="auto"/>
                      <w:sz w:val="21"/>
                      <w:szCs w:val="21"/>
                      <w:lang w:val="en-US"/>
                    </w:rPr>
                    <w:t>需用冰袋维持4℃运输，不可使用干冰和液氮。</w:t>
                  </w:r>
                </w:p>
                <w:p>
                  <w:pPr>
                    <w:keepNext w:val="0"/>
                    <w:keepLines w:val="0"/>
                    <w:pageBreakBefore w:val="0"/>
                    <w:widowControl w:val="0"/>
                    <w:kinsoku/>
                    <w:wordWrap/>
                    <w:overflowPunct/>
                    <w:topLinePunct w:val="0"/>
                    <w:bidi w:val="0"/>
                    <w:adjustRightInd/>
                    <w:spacing w:line="240" w:lineRule="auto"/>
                    <w:textAlignment w:val="auto"/>
                    <w:rPr>
                      <w:rFonts w:hint="eastAsia"/>
                      <w:color w:val="auto"/>
                      <w:sz w:val="21"/>
                      <w:szCs w:val="21"/>
                      <w:lang w:val="en-US"/>
                    </w:rPr>
                  </w:pPr>
                  <w:r>
                    <w:rPr>
                      <w:rFonts w:hint="eastAsia"/>
                      <w:color w:val="auto"/>
                      <w:sz w:val="21"/>
                      <w:szCs w:val="21"/>
                      <w:lang w:val="en-US" w:eastAsia="zh-CN"/>
                    </w:rPr>
                    <w:t>3.</w:t>
                  </w:r>
                  <w:r>
                    <w:rPr>
                      <w:rFonts w:hint="eastAsia"/>
                      <w:color w:val="auto"/>
                      <w:sz w:val="21"/>
                      <w:szCs w:val="21"/>
                      <w:lang w:val="en-US"/>
                    </w:rPr>
                    <w:t>全血采用冰袋维持4℃运输，严禁用干冰和液氮运输，血清和血浆可采用液氮，干冰，冰袋运输。</w:t>
                  </w:r>
                </w:p>
                <w:p>
                  <w:pPr>
                    <w:keepNext w:val="0"/>
                    <w:keepLines w:val="0"/>
                    <w:pageBreakBefore w:val="0"/>
                    <w:widowControl w:val="0"/>
                    <w:kinsoku/>
                    <w:wordWrap/>
                    <w:overflowPunct/>
                    <w:topLinePunct w:val="0"/>
                    <w:bidi w:val="0"/>
                    <w:adjustRightInd/>
                    <w:spacing w:line="240" w:lineRule="auto"/>
                    <w:textAlignment w:val="auto"/>
                    <w:rPr>
                      <w:rFonts w:hint="default" w:eastAsia="宋体"/>
                      <w:color w:val="auto"/>
                      <w:lang w:val="en-US" w:eastAsia="zh-CN"/>
                    </w:rPr>
                  </w:pPr>
                  <w:r>
                    <w:rPr>
                      <w:rFonts w:hint="eastAsia"/>
                      <w:color w:val="auto"/>
                      <w:sz w:val="21"/>
                      <w:szCs w:val="21"/>
                      <w:lang w:val="en-US" w:eastAsia="zh-CN"/>
                    </w:rPr>
                    <w:t>4.</w:t>
                  </w:r>
                  <w:r>
                    <w:rPr>
                      <w:rFonts w:hint="eastAsia"/>
                      <w:color w:val="auto"/>
                      <w:sz w:val="21"/>
                      <w:szCs w:val="21"/>
                      <w:lang w:val="en-US"/>
                    </w:rPr>
                    <w:t>植物组织应采用干冰或液氮运输，防止植物褐化，氧化。客户处理好已经变性的样本，液氮，干冰，冰袋均可运输。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34" w:hRule="atLeast"/>
                <w:jc w:val="center"/>
              </w:trPr>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公用</w:t>
                  </w:r>
                </w:p>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工程</w:t>
                  </w: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供水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eastAsia="宋体"/>
                      <w:color w:val="auto"/>
                      <w:sz w:val="21"/>
                      <w:szCs w:val="21"/>
                      <w:lang w:eastAsia="zh-CN"/>
                    </w:rPr>
                  </w:pPr>
                  <w:r>
                    <w:rPr>
                      <w:rFonts w:hint="eastAsia"/>
                      <w:color w:val="auto"/>
                      <w:sz w:val="21"/>
                      <w:szCs w:val="21"/>
                    </w:rPr>
                    <w:t>由市政给水管网统一提供</w:t>
                  </w:r>
                  <w:r>
                    <w:rPr>
                      <w:rFonts w:hint="eastAsia"/>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128"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排水</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pacing w:line="240" w:lineRule="auto"/>
                    <w:textAlignment w:val="auto"/>
                    <w:rPr>
                      <w:rFonts w:hint="eastAsia" w:eastAsia="宋体"/>
                      <w:color w:val="auto"/>
                      <w:sz w:val="21"/>
                      <w:szCs w:val="21"/>
                      <w:lang w:val="en-US" w:eastAsia="zh-CN"/>
                    </w:rPr>
                  </w:pPr>
                  <w:r>
                    <w:rPr>
                      <w:rFonts w:hint="eastAsia" w:eastAsia="宋体"/>
                      <w:color w:val="auto"/>
                      <w:sz w:val="21"/>
                      <w:szCs w:val="21"/>
                      <w:lang w:val="en-US" w:eastAsia="zh-CN"/>
                    </w:rPr>
                    <w:t>本项目排水采用雨污分流制，雨水经厂区雨水管道收集后排入市政雨水管道。</w:t>
                  </w:r>
                  <w:r>
                    <w:rPr>
                      <w:rFonts w:hint="eastAsia" w:eastAsia="宋体"/>
                      <w:color w:val="auto"/>
                      <w:sz w:val="21"/>
                      <w:szCs w:val="21"/>
                      <w:highlight w:val="none"/>
                      <w:lang w:val="en-US" w:eastAsia="zh-CN"/>
                    </w:rPr>
                    <w:t>本项目</w:t>
                  </w:r>
                  <w:r>
                    <w:rPr>
                      <w:rFonts w:hint="eastAsia" w:eastAsia="宋体"/>
                      <w:color w:val="auto"/>
                      <w:sz w:val="21"/>
                      <w:szCs w:val="21"/>
                      <w:lang w:val="en-US" w:eastAsia="zh-CN"/>
                    </w:rPr>
                    <w:t>动物房清洗废水、手术器具清洁废水、</w:t>
                  </w:r>
                  <w:r>
                    <w:rPr>
                      <w:rFonts w:hint="eastAsia"/>
                      <w:color w:val="auto"/>
                      <w:sz w:val="21"/>
                      <w:szCs w:val="21"/>
                      <w:lang w:val="en-US" w:eastAsia="zh-CN"/>
                    </w:rPr>
                    <w:t>第三次实验清洗废水、实验服清洗废水经过滤、消毒处理，</w:t>
                  </w:r>
                  <w:r>
                    <w:rPr>
                      <w:rFonts w:hint="eastAsia" w:eastAsia="宋体"/>
                      <w:color w:val="auto"/>
                      <w:sz w:val="21"/>
                      <w:szCs w:val="21"/>
                      <w:highlight w:val="none"/>
                      <w:lang w:val="en-US" w:eastAsia="zh-CN"/>
                    </w:rPr>
                    <w:t>生活污水经化粪池静置沉淀</w:t>
                  </w:r>
                  <w:r>
                    <w:rPr>
                      <w:rFonts w:hint="eastAsia"/>
                      <w:color w:val="auto"/>
                      <w:sz w:val="21"/>
                      <w:szCs w:val="21"/>
                      <w:highlight w:val="none"/>
                      <w:lang w:val="en-US" w:eastAsia="zh-CN"/>
                    </w:rPr>
                    <w:t>处理</w:t>
                  </w:r>
                  <w:r>
                    <w:rPr>
                      <w:rFonts w:hint="eastAsia" w:eastAsia="宋体"/>
                      <w:color w:val="auto"/>
                      <w:sz w:val="21"/>
                      <w:szCs w:val="21"/>
                      <w:highlight w:val="none"/>
                      <w:lang w:val="en-US" w:eastAsia="zh-CN"/>
                    </w:rPr>
                    <w:t>，</w:t>
                  </w:r>
                  <w:r>
                    <w:rPr>
                      <w:rFonts w:hint="eastAsia"/>
                      <w:color w:val="auto"/>
                      <w:sz w:val="21"/>
                      <w:szCs w:val="21"/>
                      <w:highlight w:val="none"/>
                      <w:lang w:val="en-US" w:eastAsia="zh-CN"/>
                    </w:rPr>
                    <w:t>同</w:t>
                  </w:r>
                  <w:r>
                    <w:rPr>
                      <w:rFonts w:hint="eastAsia" w:eastAsia="宋体"/>
                      <w:color w:val="auto"/>
                      <w:sz w:val="21"/>
                      <w:szCs w:val="21"/>
                      <w:highlight w:val="none"/>
                      <w:lang w:val="en-US" w:eastAsia="zh-CN"/>
                    </w:rPr>
                    <w:t>净</w:t>
                  </w:r>
                  <w:r>
                    <w:rPr>
                      <w:rFonts w:hint="eastAsia" w:eastAsia="宋体"/>
                      <w:color w:val="auto"/>
                      <w:sz w:val="21"/>
                      <w:szCs w:val="21"/>
                      <w:lang w:val="en-US" w:eastAsia="zh-CN"/>
                    </w:rPr>
                    <w:t>水机浓水</w:t>
                  </w:r>
                  <w:r>
                    <w:rPr>
                      <w:rFonts w:hint="eastAsia"/>
                      <w:color w:val="auto"/>
                      <w:sz w:val="21"/>
                      <w:szCs w:val="21"/>
                      <w:lang w:val="en-US" w:eastAsia="zh-CN"/>
                    </w:rPr>
                    <w:t>混合</w:t>
                  </w:r>
                  <w:r>
                    <w:rPr>
                      <w:rFonts w:hint="eastAsia" w:eastAsia="宋体"/>
                      <w:color w:val="auto"/>
                      <w:sz w:val="21"/>
                      <w:szCs w:val="21"/>
                      <w:lang w:val="en-US" w:eastAsia="zh-CN"/>
                    </w:rPr>
                    <w:t>通过厂区总排口排入市政污水管网，最终排入咸阳路污水处理厂处理。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03"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供电</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color w:val="auto"/>
                      <w:sz w:val="21"/>
                      <w:szCs w:val="21"/>
                    </w:rPr>
                  </w:pPr>
                  <w:r>
                    <w:rPr>
                      <w:rFonts w:hint="default"/>
                      <w:color w:val="auto"/>
                      <w:sz w:val="21"/>
                      <w:szCs w:val="21"/>
                    </w:rPr>
                    <w:t>本项目用电由国家电网提供，项目主要用电为生产及办公。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color w:val="auto"/>
                      <w:sz w:val="21"/>
                      <w:szCs w:val="21"/>
                    </w:rPr>
                  </w:pPr>
                  <w:r>
                    <w:rPr>
                      <w:rFonts w:hint="default"/>
                      <w:color w:val="auto"/>
                      <w:sz w:val="21"/>
                      <w:szCs w:val="21"/>
                      <w:lang w:val="zh-CN"/>
                    </w:rPr>
                    <w:t>采暖</w:t>
                  </w:r>
                  <w:r>
                    <w:rPr>
                      <w:rFonts w:hint="default"/>
                      <w:color w:val="auto"/>
                      <w:sz w:val="21"/>
                      <w:szCs w:val="21"/>
                    </w:rPr>
                    <w:t>制冷</w:t>
                  </w:r>
                </w:p>
              </w:tc>
              <w:tc>
                <w:tcPr>
                  <w:tcW w:w="35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default"/>
                      <w:color w:val="auto"/>
                      <w:sz w:val="21"/>
                      <w:szCs w:val="21"/>
                      <w:lang w:val="zh-CN"/>
                    </w:rPr>
                  </w:pPr>
                  <w:r>
                    <w:rPr>
                      <w:rFonts w:hint="default"/>
                      <w:color w:val="auto"/>
                      <w:sz w:val="21"/>
                      <w:szCs w:val="21"/>
                      <w:lang w:val="zh-CN"/>
                    </w:rPr>
                    <w:t>本项目采用空调制冷</w:t>
                  </w:r>
                  <w:r>
                    <w:rPr>
                      <w:rFonts w:hint="eastAsia"/>
                      <w:color w:val="auto"/>
                      <w:sz w:val="21"/>
                      <w:szCs w:val="21"/>
                      <w:lang w:val="zh-CN"/>
                    </w:rPr>
                    <w:t>、</w:t>
                  </w:r>
                  <w:r>
                    <w:rPr>
                      <w:rFonts w:hint="eastAsia"/>
                      <w:color w:val="auto"/>
                      <w:sz w:val="21"/>
                      <w:szCs w:val="21"/>
                      <w:lang w:val="en-US" w:eastAsia="zh-CN"/>
                    </w:rPr>
                    <w:t>采暖</w:t>
                  </w:r>
                  <w:r>
                    <w:rPr>
                      <w:rFonts w:hint="default"/>
                      <w:color w:val="auto"/>
                      <w:sz w:val="21"/>
                      <w:szCs w:val="21"/>
                      <w:lang w:val="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color w:val="auto"/>
                      <w:sz w:val="21"/>
                      <w:szCs w:val="21"/>
                      <w:lang w:val="zh-CN"/>
                    </w:rPr>
                  </w:pPr>
                  <w:r>
                    <w:rPr>
                      <w:rFonts w:hint="eastAsia"/>
                      <w:color w:val="auto"/>
                      <w:sz w:val="21"/>
                      <w:szCs w:val="21"/>
                      <w:lang w:val="zh-CN"/>
                    </w:rPr>
                    <w:t>通风系统</w:t>
                  </w:r>
                </w:p>
              </w:tc>
              <w:tc>
                <w:tcPr>
                  <w:tcW w:w="3517" w:type="pct"/>
                  <w:tcBorders>
                    <w:tl2br w:val="nil"/>
                    <w:tr2bl w:val="nil"/>
                  </w:tcBorders>
                  <w:noWrap w:val="0"/>
                  <w:vAlign w:val="center"/>
                </w:tcPr>
                <w:p>
                  <w:pPr>
                    <w:keepNext w:val="0"/>
                    <w:keepLines w:val="0"/>
                    <w:pageBreakBefore w:val="0"/>
                    <w:widowControl w:val="0"/>
                    <w:numPr>
                      <w:ilvl w:val="0"/>
                      <w:numId w:val="3"/>
                    </w:numPr>
                    <w:kinsoku/>
                    <w:wordWrap/>
                    <w:overflowPunct/>
                    <w:topLinePunct w:val="0"/>
                    <w:autoSpaceDE w:val="0"/>
                    <w:autoSpaceDN w:val="0"/>
                    <w:bidi w:val="0"/>
                    <w:adjustRightInd/>
                    <w:snapToGrid w:val="0"/>
                    <w:spacing w:line="240" w:lineRule="auto"/>
                    <w:jc w:val="left"/>
                    <w:textAlignment w:val="auto"/>
                    <w:rPr>
                      <w:rFonts w:hint="default"/>
                      <w:color w:val="auto"/>
                      <w:sz w:val="21"/>
                      <w:szCs w:val="21"/>
                      <w:lang w:val="en-US"/>
                    </w:rPr>
                  </w:pPr>
                  <w:r>
                    <w:rPr>
                      <w:rFonts w:hint="eastAsia"/>
                      <w:color w:val="auto"/>
                      <w:sz w:val="21"/>
                      <w:szCs w:val="21"/>
                      <w:lang w:eastAsia="zh-CN"/>
                    </w:rPr>
                    <w:t>鼠饲养间为万级洁净车间，送风风机风量为</w:t>
                  </w:r>
                  <w:r>
                    <w:rPr>
                      <w:rFonts w:hint="eastAsia"/>
                      <w:color w:val="auto"/>
                      <w:sz w:val="21"/>
                      <w:szCs w:val="21"/>
                      <w:lang w:val="en-US" w:eastAsia="zh-CN"/>
                    </w:rPr>
                    <w:t>9000m</w:t>
                  </w:r>
                  <w:r>
                    <w:rPr>
                      <w:rFonts w:hint="eastAsia"/>
                      <w:color w:val="auto"/>
                      <w:sz w:val="21"/>
                      <w:szCs w:val="21"/>
                      <w:vertAlign w:val="superscript"/>
                      <w:lang w:val="en-US" w:eastAsia="zh-CN"/>
                    </w:rPr>
                    <w:t>3</w:t>
                  </w:r>
                  <w:r>
                    <w:rPr>
                      <w:rFonts w:hint="eastAsia"/>
                      <w:color w:val="auto"/>
                      <w:sz w:val="21"/>
                      <w:szCs w:val="21"/>
                      <w:lang w:val="en-US" w:eastAsia="zh-CN"/>
                    </w:rPr>
                    <w:t>/h，排风风机</w:t>
                  </w:r>
                  <w:r>
                    <w:rPr>
                      <w:rFonts w:hint="eastAsia"/>
                      <w:color w:val="auto"/>
                      <w:sz w:val="21"/>
                      <w:szCs w:val="21"/>
                      <w:lang w:eastAsia="zh-CN"/>
                    </w:rPr>
                    <w:t>风量为</w:t>
                  </w:r>
                  <w:r>
                    <w:rPr>
                      <w:rFonts w:hint="eastAsia"/>
                      <w:color w:val="auto"/>
                      <w:sz w:val="21"/>
                      <w:szCs w:val="21"/>
                      <w:lang w:val="en-US" w:eastAsia="zh-CN"/>
                    </w:rPr>
                    <w:t>6870m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洗消后室、前室、更衣间、观察室、动物接收室、</w:t>
                  </w:r>
                  <w:r>
                    <w:rPr>
                      <w:rFonts w:hint="eastAsia"/>
                      <w:color w:val="auto"/>
                      <w:sz w:val="21"/>
                      <w:szCs w:val="21"/>
                      <w:lang w:val="en-US" w:eastAsia="zh-CN"/>
                    </w:rPr>
                    <w:t>数据分析室、</w:t>
                  </w:r>
                  <w:r>
                    <w:rPr>
                      <w:rFonts w:hint="eastAsia"/>
                      <w:color w:val="auto"/>
                      <w:sz w:val="21"/>
                      <w:szCs w:val="21"/>
                      <w:lang w:eastAsia="zh-CN"/>
                    </w:rPr>
                    <w:t>水迷宫实验室、清洁走廊为十万级洁净车间，送风风机风量为</w:t>
                  </w:r>
                  <w:r>
                    <w:rPr>
                      <w:rFonts w:hint="eastAsia"/>
                      <w:color w:val="auto"/>
                      <w:sz w:val="21"/>
                      <w:szCs w:val="21"/>
                      <w:lang w:val="en-US" w:eastAsia="zh-CN"/>
                    </w:rPr>
                    <w:t>5100m</w:t>
                  </w:r>
                  <w:r>
                    <w:rPr>
                      <w:rFonts w:hint="eastAsia"/>
                      <w:color w:val="auto"/>
                      <w:sz w:val="21"/>
                      <w:szCs w:val="21"/>
                      <w:vertAlign w:val="superscript"/>
                      <w:lang w:val="en-US" w:eastAsia="zh-CN"/>
                    </w:rPr>
                    <w:t>3</w:t>
                  </w:r>
                  <w:r>
                    <w:rPr>
                      <w:rFonts w:hint="eastAsia"/>
                      <w:color w:val="auto"/>
                      <w:sz w:val="21"/>
                      <w:szCs w:val="21"/>
                      <w:lang w:val="en-US" w:eastAsia="zh-CN"/>
                    </w:rPr>
                    <w:t>/h，排风风机</w:t>
                  </w:r>
                  <w:r>
                    <w:rPr>
                      <w:rFonts w:hint="eastAsia"/>
                      <w:color w:val="auto"/>
                      <w:sz w:val="21"/>
                      <w:szCs w:val="21"/>
                      <w:lang w:eastAsia="zh-CN"/>
                    </w:rPr>
                    <w:t>风量为</w:t>
                  </w:r>
                  <w:r>
                    <w:rPr>
                      <w:rFonts w:hint="eastAsia"/>
                      <w:color w:val="auto"/>
                      <w:sz w:val="21"/>
                      <w:szCs w:val="21"/>
                      <w:lang w:val="en-US" w:eastAsia="zh-CN"/>
                    </w:rPr>
                    <w:t>4060m</w:t>
                  </w:r>
                  <w:r>
                    <w:rPr>
                      <w:rFonts w:hint="eastAsia"/>
                      <w:color w:val="auto"/>
                      <w:sz w:val="21"/>
                      <w:szCs w:val="21"/>
                      <w:vertAlign w:val="superscript"/>
                      <w:lang w:val="en-US" w:eastAsia="zh-CN"/>
                    </w:rPr>
                    <w:t>3</w:t>
                  </w:r>
                  <w:r>
                    <w:rPr>
                      <w:rFonts w:hint="eastAsia"/>
                      <w:color w:val="auto"/>
                      <w:sz w:val="21"/>
                      <w:szCs w:val="21"/>
                      <w:lang w:val="en-US" w:eastAsia="zh-CN"/>
                    </w:rPr>
                    <w:t>/h，送排风口设置高效过滤器，排风经活性炭处理后通过P1排气筒排放。</w:t>
                  </w:r>
                  <w:r>
                    <w:rPr>
                      <w:rFonts w:hint="eastAsia"/>
                      <w:color w:val="auto"/>
                      <w:sz w:val="21"/>
                      <w:szCs w:val="21"/>
                      <w:lang w:eastAsia="zh-CN"/>
                    </w:rPr>
                    <w:t>其他区域均为普通车间。</w:t>
                  </w:r>
                </w:p>
                <w:p>
                  <w:pPr>
                    <w:keepNext w:val="0"/>
                    <w:keepLines w:val="0"/>
                    <w:pageBreakBefore w:val="0"/>
                    <w:widowControl w:val="0"/>
                    <w:numPr>
                      <w:ilvl w:val="0"/>
                      <w:numId w:val="3"/>
                    </w:numPr>
                    <w:kinsoku/>
                    <w:wordWrap/>
                    <w:overflowPunct/>
                    <w:topLinePunct w:val="0"/>
                    <w:autoSpaceDE w:val="0"/>
                    <w:autoSpaceDN w:val="0"/>
                    <w:bidi w:val="0"/>
                    <w:adjustRightInd/>
                    <w:snapToGrid w:val="0"/>
                    <w:spacing w:line="240" w:lineRule="auto"/>
                    <w:ind w:left="0" w:leftChars="0" w:firstLine="0" w:firstLineChars="0"/>
                    <w:jc w:val="both"/>
                    <w:textAlignment w:val="auto"/>
                    <w:rPr>
                      <w:rFonts w:hint="eastAsia"/>
                      <w:color w:val="auto"/>
                      <w:sz w:val="21"/>
                      <w:szCs w:val="21"/>
                      <w:lang w:val="en-US" w:eastAsia="zh-CN"/>
                    </w:rPr>
                  </w:pPr>
                  <w:r>
                    <w:rPr>
                      <w:rFonts w:hint="eastAsia"/>
                      <w:color w:val="auto"/>
                      <w:sz w:val="21"/>
                      <w:szCs w:val="21"/>
                      <w:lang w:eastAsia="zh-CN"/>
                    </w:rPr>
                    <w:t>本项目通风橱尺寸高</w:t>
                  </w:r>
                  <w:r>
                    <w:rPr>
                      <w:rFonts w:hint="eastAsia"/>
                      <w:color w:val="auto"/>
                      <w:sz w:val="21"/>
                      <w:szCs w:val="21"/>
                      <w:lang w:val="en-US" w:eastAsia="zh-CN"/>
                    </w:rPr>
                    <w:t>2m×宽1m×长2m，风机风量为1850 m</w:t>
                  </w:r>
                  <w:r>
                    <w:rPr>
                      <w:rFonts w:hint="eastAsia"/>
                      <w:color w:val="auto"/>
                      <w:sz w:val="21"/>
                      <w:szCs w:val="21"/>
                      <w:vertAlign w:val="superscript"/>
                      <w:lang w:val="en-US" w:eastAsia="zh-CN"/>
                    </w:rPr>
                    <w:t>3</w:t>
                  </w:r>
                  <w:r>
                    <w:rPr>
                      <w:rFonts w:hint="eastAsia"/>
                      <w:color w:val="auto"/>
                      <w:sz w:val="21"/>
                      <w:szCs w:val="21"/>
                      <w:lang w:val="en-US" w:eastAsia="zh-CN"/>
                    </w:rPr>
                    <w:t>/h，计算得出每个通风橱的换风次数为462次/h。本项目</w:t>
                  </w:r>
                  <w:r>
                    <w:rPr>
                      <w:rFonts w:hint="eastAsia"/>
                      <w:color w:val="auto"/>
                      <w:sz w:val="21"/>
                      <w:szCs w:val="21"/>
                      <w:lang w:eastAsia="zh-CN"/>
                    </w:rPr>
                    <w:t>病理实验室设置</w:t>
                  </w:r>
                  <w:r>
                    <w:rPr>
                      <w:rFonts w:hint="eastAsia"/>
                      <w:color w:val="auto"/>
                      <w:sz w:val="21"/>
                      <w:szCs w:val="21"/>
                      <w:lang w:val="en-US" w:eastAsia="zh-CN"/>
                    </w:rPr>
                    <w:t>5台</w:t>
                  </w:r>
                  <w:r>
                    <w:rPr>
                      <w:rFonts w:hint="eastAsia"/>
                      <w:color w:val="auto"/>
                      <w:sz w:val="21"/>
                      <w:szCs w:val="21"/>
                      <w:lang w:eastAsia="zh-CN"/>
                    </w:rPr>
                    <w:t>通风橱，合计风量为</w:t>
                  </w:r>
                  <w:r>
                    <w:rPr>
                      <w:rFonts w:hint="eastAsia"/>
                      <w:color w:val="auto"/>
                      <w:sz w:val="21"/>
                      <w:szCs w:val="21"/>
                      <w:lang w:val="en-US" w:eastAsia="zh-CN"/>
                    </w:rPr>
                    <w:t>9250m</w:t>
                  </w:r>
                  <w:r>
                    <w:rPr>
                      <w:rFonts w:hint="eastAsia"/>
                      <w:color w:val="auto"/>
                      <w:sz w:val="21"/>
                      <w:szCs w:val="21"/>
                      <w:vertAlign w:val="superscript"/>
                      <w:lang w:val="en-US" w:eastAsia="zh-CN"/>
                    </w:rPr>
                    <w:t>3</w:t>
                  </w:r>
                  <w:r>
                    <w:rPr>
                      <w:rFonts w:hint="eastAsia"/>
                      <w:color w:val="auto"/>
                      <w:sz w:val="21"/>
                      <w:szCs w:val="21"/>
                      <w:lang w:val="en-US" w:eastAsia="zh-CN"/>
                    </w:rPr>
                    <w:t>/h。</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0"/>
                    <w:jc w:val="both"/>
                    <w:textAlignment w:val="auto"/>
                    <w:rPr>
                      <w:rFonts w:hint="default"/>
                      <w:color w:val="auto"/>
                      <w:sz w:val="21"/>
                      <w:szCs w:val="21"/>
                      <w:lang w:val="en-US"/>
                    </w:rPr>
                  </w:pPr>
                  <w:r>
                    <w:rPr>
                      <w:rFonts w:hint="eastAsia"/>
                      <w:color w:val="auto"/>
                      <w:sz w:val="21"/>
                      <w:szCs w:val="21"/>
                      <w:lang w:val="en-US" w:eastAsia="zh-CN"/>
                    </w:rPr>
                    <w:t>3.本项目病理实验室域设置单独排风系统，</w:t>
                  </w:r>
                  <w:r>
                    <w:rPr>
                      <w:rFonts w:hint="eastAsia"/>
                      <w:color w:val="auto"/>
                      <w:sz w:val="21"/>
                      <w:szCs w:val="21"/>
                      <w:lang w:eastAsia="zh-CN"/>
                    </w:rPr>
                    <w:t>风机风量为</w:t>
                  </w:r>
                  <w:r>
                    <w:rPr>
                      <w:rFonts w:hint="eastAsia"/>
                      <w:color w:val="auto"/>
                      <w:sz w:val="21"/>
                      <w:szCs w:val="21"/>
                      <w:lang w:val="en-US" w:eastAsia="zh-CN"/>
                    </w:rPr>
                    <w:t>1700 m</w:t>
                  </w:r>
                  <w:r>
                    <w:rPr>
                      <w:rFonts w:hint="eastAsia"/>
                      <w:color w:val="auto"/>
                      <w:sz w:val="21"/>
                      <w:szCs w:val="21"/>
                      <w:vertAlign w:val="superscript"/>
                      <w:lang w:val="en-US" w:eastAsia="zh-CN"/>
                    </w:rPr>
                    <w:t>3</w:t>
                  </w:r>
                  <w:r>
                    <w:rPr>
                      <w:rFonts w:hint="eastAsia"/>
                      <w:color w:val="auto"/>
                      <w:sz w:val="21"/>
                      <w:szCs w:val="21"/>
                      <w:lang w:val="en-US" w:eastAsia="zh-CN"/>
                    </w:rPr>
                    <w:t>/h，排风引至楼顶活性炭吸附箱处理，通过P1排气筒排放。4.</w:t>
                  </w:r>
                  <w:r>
                    <w:rPr>
                      <w:rFonts w:hint="eastAsia"/>
                      <w:color w:val="auto"/>
                      <w:sz w:val="21"/>
                      <w:szCs w:val="21"/>
                    </w:rPr>
                    <w:t>本项目</w:t>
                  </w:r>
                  <w:r>
                    <w:rPr>
                      <w:rFonts w:hint="eastAsia"/>
                      <w:color w:val="auto"/>
                      <w:sz w:val="21"/>
                      <w:szCs w:val="21"/>
                      <w:lang w:eastAsia="zh-CN"/>
                    </w:rPr>
                    <w:t>病理实验室设置</w:t>
                  </w:r>
                  <w:r>
                    <w:rPr>
                      <w:rFonts w:hint="eastAsia"/>
                      <w:color w:val="auto"/>
                      <w:sz w:val="21"/>
                      <w:szCs w:val="21"/>
                      <w:lang w:val="en-US" w:eastAsia="zh-CN"/>
                    </w:rPr>
                    <w:t>1台试剂柜，无排风系统。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eastAsia"/>
                      <w:color w:val="auto"/>
                      <w:sz w:val="21"/>
                      <w:szCs w:val="21"/>
                      <w:lang w:val="zh-CN"/>
                    </w:rPr>
                  </w:pPr>
                  <w:r>
                    <w:rPr>
                      <w:rFonts w:hint="eastAsia"/>
                      <w:color w:val="auto"/>
                      <w:sz w:val="21"/>
                      <w:szCs w:val="21"/>
                      <w:lang w:val="zh-CN"/>
                    </w:rPr>
                    <w:t>消毒、灭活</w:t>
                  </w:r>
                </w:p>
              </w:tc>
              <w:tc>
                <w:tcPr>
                  <w:tcW w:w="3517"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jc w:val="left"/>
                    <w:textAlignment w:val="auto"/>
                    <w:rPr>
                      <w:rFonts w:hint="default"/>
                      <w:color w:val="auto"/>
                      <w:sz w:val="21"/>
                      <w:szCs w:val="21"/>
                      <w:lang w:val="zh-CN"/>
                    </w:rPr>
                  </w:pPr>
                  <w:r>
                    <w:rPr>
                      <w:rFonts w:hint="eastAsia"/>
                      <w:color w:val="auto"/>
                      <w:sz w:val="21"/>
                      <w:szCs w:val="21"/>
                      <w:lang w:val="en-US" w:eastAsia="zh-CN"/>
                    </w:rPr>
                    <w:t>1.</w:t>
                  </w:r>
                  <w:r>
                    <w:rPr>
                      <w:rFonts w:hint="default"/>
                      <w:color w:val="auto"/>
                      <w:sz w:val="21"/>
                      <w:szCs w:val="21"/>
                      <w:lang w:val="zh-CN"/>
                    </w:rPr>
                    <w:t>本项目各实验室实验台上方使用紫外线灯消毒。</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0"/>
                    <w:jc w:val="left"/>
                    <w:textAlignment w:val="auto"/>
                    <w:rPr>
                      <w:rFonts w:hint="default"/>
                      <w:color w:val="auto"/>
                      <w:sz w:val="21"/>
                      <w:szCs w:val="21"/>
                      <w:lang w:val="zh-CN"/>
                    </w:rPr>
                  </w:pPr>
                  <w:r>
                    <w:rPr>
                      <w:rFonts w:hint="eastAsia"/>
                      <w:color w:val="auto"/>
                      <w:sz w:val="21"/>
                      <w:szCs w:val="21"/>
                      <w:lang w:val="en-US" w:eastAsia="zh-CN"/>
                    </w:rPr>
                    <w:t>2.鼠</w:t>
                  </w:r>
                  <w:r>
                    <w:rPr>
                      <w:rFonts w:hint="default"/>
                      <w:color w:val="auto"/>
                      <w:sz w:val="21"/>
                      <w:szCs w:val="21"/>
                      <w:lang w:val="zh-CN"/>
                    </w:rPr>
                    <w:t>饲养间使用75%酒精进行消毒，</w:t>
                  </w:r>
                  <w:r>
                    <w:rPr>
                      <w:rFonts w:hint="eastAsia"/>
                      <w:color w:val="auto"/>
                      <w:sz w:val="21"/>
                      <w:szCs w:val="21"/>
                      <w:lang w:val="zh-CN"/>
                    </w:rPr>
                    <w:t>兔饲养间使用</w:t>
                  </w:r>
                  <w:r>
                    <w:rPr>
                      <w:rFonts w:hint="default"/>
                      <w:color w:val="auto"/>
                      <w:sz w:val="21"/>
                      <w:szCs w:val="21"/>
                      <w:lang w:val="zh-CN"/>
                    </w:rPr>
                    <w:t>84消毒液</w:t>
                  </w:r>
                  <w:r>
                    <w:rPr>
                      <w:rFonts w:hint="eastAsia"/>
                      <w:color w:val="auto"/>
                      <w:sz w:val="21"/>
                      <w:szCs w:val="21"/>
                      <w:lang w:val="zh-CN"/>
                    </w:rPr>
                    <w:t>消毒</w:t>
                  </w:r>
                  <w:r>
                    <w:rPr>
                      <w:rFonts w:hint="default"/>
                      <w:color w:val="auto"/>
                      <w:sz w:val="21"/>
                      <w:szCs w:val="21"/>
                      <w:lang w:val="zh-CN"/>
                    </w:rPr>
                    <w:t>、手术器具使用75%酒精进行消毒。</w:t>
                  </w:r>
                  <w:r>
                    <w:rPr>
                      <w:rFonts w:hint="eastAsia"/>
                      <w:color w:val="auto"/>
                      <w:sz w:val="21"/>
                      <w:szCs w:val="21"/>
                      <w:lang w:val="en-US" w:eastAsia="zh-CN"/>
                    </w:rPr>
                    <w:t>设置洗消机、压力蒸汽灭菌器、对手术器具、动物鼠笼子进行清洗消毒。动物兔笼子在饲养间内消毒。</w:t>
                  </w:r>
                </w:p>
                <w:p>
                  <w:pPr>
                    <w:keepNext w:val="0"/>
                    <w:keepLines w:val="0"/>
                    <w:pageBreakBefore w:val="0"/>
                    <w:widowControl w:val="0"/>
                    <w:numPr>
                      <w:ilvl w:val="0"/>
                      <w:numId w:val="0"/>
                    </w:numPr>
                    <w:kinsoku/>
                    <w:wordWrap/>
                    <w:overflowPunct/>
                    <w:topLinePunct w:val="0"/>
                    <w:autoSpaceDE w:val="0"/>
                    <w:autoSpaceDN w:val="0"/>
                    <w:bidi w:val="0"/>
                    <w:adjustRightInd/>
                    <w:snapToGrid w:val="0"/>
                    <w:spacing w:line="240" w:lineRule="auto"/>
                    <w:ind w:leftChars="0"/>
                    <w:jc w:val="left"/>
                    <w:textAlignment w:val="auto"/>
                    <w:rPr>
                      <w:rFonts w:hint="default"/>
                      <w:color w:val="auto"/>
                      <w:sz w:val="21"/>
                      <w:szCs w:val="21"/>
                      <w:lang w:val="zh-CN"/>
                    </w:rPr>
                  </w:pPr>
                  <w:r>
                    <w:rPr>
                      <w:rFonts w:hint="eastAsia"/>
                      <w:color w:val="auto"/>
                      <w:sz w:val="21"/>
                      <w:szCs w:val="21"/>
                      <w:lang w:val="en-US" w:eastAsia="zh-CN"/>
                    </w:rPr>
                    <w:t>3.</w:t>
                  </w:r>
                  <w:r>
                    <w:rPr>
                      <w:rFonts w:hint="default"/>
                      <w:color w:val="auto"/>
                      <w:sz w:val="21"/>
                      <w:szCs w:val="21"/>
                      <w:lang w:val="zh-CN"/>
                    </w:rPr>
                    <w:t>本项目细胞实验均在生物安全柜中进行，</w:t>
                  </w:r>
                  <w:r>
                    <w:rPr>
                      <w:rFonts w:hint="eastAsia"/>
                      <w:color w:val="auto"/>
                      <w:sz w:val="21"/>
                      <w:szCs w:val="21"/>
                      <w:lang w:val="zh-CN"/>
                    </w:rPr>
                    <w:t>使用后</w:t>
                  </w:r>
                  <w:r>
                    <w:rPr>
                      <w:rFonts w:hint="default"/>
                      <w:color w:val="auto"/>
                      <w:sz w:val="21"/>
                      <w:szCs w:val="21"/>
                      <w:lang w:val="zh-CN"/>
                    </w:rPr>
                    <w:t>生物安全柜使用</w:t>
                  </w:r>
                  <w:r>
                    <w:rPr>
                      <w:rFonts w:hint="eastAsia"/>
                      <w:color w:val="auto"/>
                      <w:sz w:val="21"/>
                      <w:szCs w:val="21"/>
                      <w:lang w:val="zh-CN"/>
                    </w:rPr>
                    <w:t>酒精</w:t>
                  </w:r>
                  <w:r>
                    <w:rPr>
                      <w:rFonts w:hint="default"/>
                      <w:color w:val="auto"/>
                      <w:sz w:val="21"/>
                      <w:szCs w:val="21"/>
                      <w:lang w:val="zh-CN"/>
                    </w:rPr>
                    <w:t>消毒并用清水擦拭干净，最后打开生物安全柜紫外灯对内部进行紫外消毒30min。</w:t>
                  </w:r>
                </w:p>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color w:val="auto"/>
                      <w:sz w:val="21"/>
                      <w:szCs w:val="21"/>
                      <w:lang w:val="zh-CN"/>
                    </w:rPr>
                  </w:pPr>
                  <w:r>
                    <w:rPr>
                      <w:rFonts w:hint="eastAsia"/>
                      <w:color w:val="auto"/>
                      <w:sz w:val="21"/>
                      <w:szCs w:val="21"/>
                      <w:lang w:val="en-US" w:eastAsia="zh-CN"/>
                    </w:rPr>
                    <w:t>4.</w:t>
                  </w:r>
                  <w:r>
                    <w:rPr>
                      <w:rFonts w:hint="default"/>
                      <w:color w:val="auto"/>
                      <w:sz w:val="21"/>
                      <w:szCs w:val="21"/>
                      <w:lang w:val="zh-CN"/>
                    </w:rPr>
                    <w:t>废培养基经样本储藏间的压力蒸汽灭菌锅（121℃，30min）灭活处理</w:t>
                  </w:r>
                  <w:r>
                    <w:rPr>
                      <w:rFonts w:hint="eastAsia"/>
                      <w:color w:val="auto"/>
                      <w:sz w:val="21"/>
                      <w:szCs w:val="21"/>
                      <w:lang w:val="zh-CN"/>
                    </w:rPr>
                    <w:t>。</w:t>
                  </w:r>
                </w:p>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default"/>
                      <w:color w:val="auto"/>
                      <w:sz w:val="21"/>
                      <w:szCs w:val="21"/>
                      <w:lang w:val="zh-CN"/>
                    </w:rPr>
                  </w:pPr>
                  <w:r>
                    <w:rPr>
                      <w:rFonts w:hint="eastAsia"/>
                      <w:color w:val="auto"/>
                      <w:sz w:val="21"/>
                      <w:szCs w:val="21"/>
                      <w:lang w:val="en-US" w:eastAsia="zh-CN"/>
                    </w:rPr>
                    <w:t>5.</w:t>
                  </w:r>
                  <w:r>
                    <w:rPr>
                      <w:rFonts w:hint="default"/>
                      <w:color w:val="auto"/>
                      <w:sz w:val="21"/>
                      <w:szCs w:val="21"/>
                      <w:lang w:val="zh-CN"/>
                    </w:rPr>
                    <w:t>动物粪便使用84消毒液、75%酒精进行消毒。</w:t>
                  </w:r>
                </w:p>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default"/>
                      <w:color w:val="auto"/>
                      <w:sz w:val="21"/>
                      <w:szCs w:val="21"/>
                      <w:lang w:val="zh-CN"/>
                    </w:rPr>
                  </w:pPr>
                  <w:r>
                    <w:rPr>
                      <w:rFonts w:hint="eastAsia"/>
                      <w:color w:val="auto"/>
                      <w:sz w:val="21"/>
                      <w:szCs w:val="21"/>
                      <w:lang w:val="en-US" w:eastAsia="zh-CN"/>
                    </w:rPr>
                    <w:t>6.本项目危险废物</w:t>
                  </w:r>
                  <w:r>
                    <w:rPr>
                      <w:rFonts w:hint="eastAsia"/>
                      <w:color w:val="auto"/>
                      <w:sz w:val="21"/>
                      <w:szCs w:val="21"/>
                      <w:lang w:val="zh-CN"/>
                    </w:rPr>
                    <w:t>动物尸体，使用塑料袋包装冷冻于危废暂存间冰箱内，交由有资质单位处理处置，无消毒措施，符合《实验动物环境及设施》（GB14925-2010）</w:t>
                  </w:r>
                  <w:r>
                    <w:rPr>
                      <w:rFonts w:hint="eastAsia"/>
                      <w:color w:val="auto"/>
                      <w:sz w:val="21"/>
                      <w:szCs w:val="21"/>
                      <w:lang w:val="en-US" w:eastAsia="zh-CN"/>
                    </w:rPr>
                    <w:t>、《实验动物管理条例》（国家科委2号令）相关要求。每次在动物尸体清理后，关闭冰柜电源，用温水、84消毒液擦拭清洁冰箱，用84消毒液拖擦周围地面，30分钟后重新启动冰柜电源。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84" w:hRule="atLeast"/>
                <w:jc w:val="center"/>
              </w:trPr>
              <w:tc>
                <w:tcPr>
                  <w:tcW w:w="703" w:type="pct"/>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环保工程</w:t>
                  </w: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color w:val="auto"/>
                      <w:sz w:val="21"/>
                      <w:szCs w:val="21"/>
                      <w:lang w:val="zh-CN"/>
                    </w:rPr>
                  </w:pPr>
                  <w:r>
                    <w:rPr>
                      <w:rFonts w:hint="default"/>
                      <w:color w:val="auto"/>
                      <w:sz w:val="21"/>
                      <w:szCs w:val="21"/>
                      <w:lang w:val="zh-CN"/>
                    </w:rPr>
                    <w:t>废水</w:t>
                  </w:r>
                </w:p>
              </w:tc>
              <w:tc>
                <w:tcPr>
                  <w:tcW w:w="35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color w:val="auto"/>
                      <w:sz w:val="21"/>
                      <w:szCs w:val="21"/>
                    </w:rPr>
                  </w:pPr>
                  <w:r>
                    <w:rPr>
                      <w:rFonts w:hint="eastAsia" w:eastAsia="宋体"/>
                      <w:color w:val="auto"/>
                      <w:sz w:val="21"/>
                      <w:szCs w:val="21"/>
                      <w:lang w:val="en-US" w:eastAsia="zh-CN"/>
                    </w:rPr>
                    <w:t>本项目排水采用雨污分流制，雨水经厂区雨水管道收集后排入市政雨水管道。</w:t>
                  </w:r>
                  <w:r>
                    <w:rPr>
                      <w:rFonts w:hint="eastAsia" w:eastAsia="宋体"/>
                      <w:color w:val="auto"/>
                      <w:sz w:val="21"/>
                      <w:szCs w:val="21"/>
                      <w:highlight w:val="none"/>
                      <w:lang w:val="en-US" w:eastAsia="zh-CN"/>
                    </w:rPr>
                    <w:t>本项目</w:t>
                  </w:r>
                  <w:r>
                    <w:rPr>
                      <w:rFonts w:hint="eastAsia" w:eastAsia="宋体"/>
                      <w:color w:val="auto"/>
                      <w:sz w:val="21"/>
                      <w:szCs w:val="21"/>
                      <w:lang w:val="en-US" w:eastAsia="zh-CN"/>
                    </w:rPr>
                    <w:t>动物房清洗废水、手术器具清洁废水、</w:t>
                  </w:r>
                  <w:r>
                    <w:rPr>
                      <w:rFonts w:hint="eastAsia"/>
                      <w:color w:val="auto"/>
                      <w:sz w:val="21"/>
                      <w:szCs w:val="21"/>
                      <w:lang w:val="en-US" w:eastAsia="zh-CN"/>
                    </w:rPr>
                    <w:t>第三次实验清洗废水、实验服清洗废水经过滤、消毒处理，</w:t>
                  </w:r>
                  <w:r>
                    <w:rPr>
                      <w:rFonts w:hint="eastAsia" w:eastAsia="宋体"/>
                      <w:color w:val="auto"/>
                      <w:sz w:val="21"/>
                      <w:szCs w:val="21"/>
                      <w:highlight w:val="none"/>
                      <w:lang w:val="en-US" w:eastAsia="zh-CN"/>
                    </w:rPr>
                    <w:t>生活污水经化粪池静置沉淀</w:t>
                  </w:r>
                  <w:r>
                    <w:rPr>
                      <w:rFonts w:hint="eastAsia"/>
                      <w:color w:val="auto"/>
                      <w:sz w:val="21"/>
                      <w:szCs w:val="21"/>
                      <w:highlight w:val="none"/>
                      <w:lang w:val="en-US" w:eastAsia="zh-CN"/>
                    </w:rPr>
                    <w:t>处理</w:t>
                  </w:r>
                  <w:r>
                    <w:rPr>
                      <w:rFonts w:hint="eastAsia" w:eastAsia="宋体"/>
                      <w:color w:val="auto"/>
                      <w:sz w:val="21"/>
                      <w:szCs w:val="21"/>
                      <w:highlight w:val="none"/>
                      <w:lang w:val="en-US" w:eastAsia="zh-CN"/>
                    </w:rPr>
                    <w:t>，</w:t>
                  </w:r>
                  <w:r>
                    <w:rPr>
                      <w:rFonts w:hint="eastAsia"/>
                      <w:color w:val="auto"/>
                      <w:sz w:val="21"/>
                      <w:szCs w:val="21"/>
                      <w:highlight w:val="none"/>
                      <w:lang w:val="en-US" w:eastAsia="zh-CN"/>
                    </w:rPr>
                    <w:t>同</w:t>
                  </w:r>
                  <w:r>
                    <w:rPr>
                      <w:rFonts w:hint="eastAsia" w:eastAsia="宋体"/>
                      <w:color w:val="auto"/>
                      <w:sz w:val="21"/>
                      <w:szCs w:val="21"/>
                      <w:highlight w:val="none"/>
                      <w:lang w:val="en-US" w:eastAsia="zh-CN"/>
                    </w:rPr>
                    <w:t>净</w:t>
                  </w:r>
                  <w:r>
                    <w:rPr>
                      <w:rFonts w:hint="eastAsia" w:eastAsia="宋体"/>
                      <w:color w:val="auto"/>
                      <w:sz w:val="21"/>
                      <w:szCs w:val="21"/>
                      <w:lang w:val="en-US" w:eastAsia="zh-CN"/>
                    </w:rPr>
                    <w:t>水机浓水</w:t>
                  </w:r>
                  <w:r>
                    <w:rPr>
                      <w:rFonts w:hint="eastAsia"/>
                      <w:color w:val="auto"/>
                      <w:sz w:val="21"/>
                      <w:szCs w:val="21"/>
                      <w:lang w:val="en-US" w:eastAsia="zh-CN"/>
                    </w:rPr>
                    <w:t>混合</w:t>
                  </w:r>
                  <w:r>
                    <w:rPr>
                      <w:rFonts w:hint="eastAsia" w:eastAsia="宋体"/>
                      <w:color w:val="auto"/>
                      <w:sz w:val="21"/>
                      <w:szCs w:val="21"/>
                      <w:lang w:val="en-US" w:eastAsia="zh-CN"/>
                    </w:rPr>
                    <w:t>通过厂区总排口排入市政污水管网，最终排入咸阳路污水处理厂处理。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center"/>
                    <w:textAlignment w:val="auto"/>
                    <w:rPr>
                      <w:rFonts w:hint="default"/>
                      <w:color w:val="auto"/>
                      <w:sz w:val="21"/>
                      <w:szCs w:val="21"/>
                      <w:lang w:val="zh-CN"/>
                    </w:rPr>
                  </w:pPr>
                  <w:r>
                    <w:rPr>
                      <w:rFonts w:hint="default"/>
                      <w:color w:val="auto"/>
                      <w:sz w:val="21"/>
                      <w:szCs w:val="21"/>
                      <w:lang w:val="zh-CN"/>
                    </w:rPr>
                    <w:t>废气</w:t>
                  </w:r>
                </w:p>
              </w:tc>
              <w:tc>
                <w:tcPr>
                  <w:tcW w:w="3517"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left"/>
                    <w:textAlignment w:val="auto"/>
                    <w:rPr>
                      <w:rFonts w:hint="eastAsia" w:eastAsia="宋体"/>
                      <w:color w:val="auto"/>
                      <w:sz w:val="21"/>
                      <w:szCs w:val="21"/>
                      <w:lang w:eastAsia="zh-CN"/>
                    </w:rPr>
                  </w:pPr>
                  <w:r>
                    <w:rPr>
                      <w:rFonts w:hint="eastAsia"/>
                      <w:color w:val="auto"/>
                      <w:sz w:val="21"/>
                      <w:szCs w:val="21"/>
                      <w:lang w:eastAsia="zh-CN"/>
                    </w:rPr>
                    <w:t>本项目</w:t>
                  </w:r>
                  <w:r>
                    <w:rPr>
                      <w:rFonts w:hint="eastAsia" w:eastAsia="宋体"/>
                      <w:color w:val="auto"/>
                      <w:sz w:val="21"/>
                      <w:szCs w:val="21"/>
                      <w:lang w:eastAsia="zh-CN"/>
                    </w:rPr>
                    <w:t>实验过程、溶液配制产生的</w:t>
                  </w:r>
                  <w:r>
                    <w:rPr>
                      <w:rFonts w:hint="eastAsia"/>
                      <w:color w:val="auto"/>
                      <w:sz w:val="21"/>
                      <w:szCs w:val="21"/>
                      <w:lang w:eastAsia="zh-CN"/>
                    </w:rPr>
                    <w:t>废气</w:t>
                  </w:r>
                  <w:r>
                    <w:rPr>
                      <w:rFonts w:hint="eastAsia" w:eastAsia="宋体"/>
                      <w:color w:val="auto"/>
                      <w:sz w:val="21"/>
                      <w:szCs w:val="21"/>
                      <w:lang w:eastAsia="zh-CN"/>
                    </w:rPr>
                    <w:t>非甲烷总烃、TRVOC、甲醇、二甲苯、氯化氢、氨、臭气浓度，通过病理实验室通风橱全部收集</w:t>
                  </w:r>
                  <w:r>
                    <w:rPr>
                      <w:rFonts w:hint="eastAsia"/>
                      <w:color w:val="auto"/>
                      <w:sz w:val="21"/>
                      <w:szCs w:val="21"/>
                      <w:lang w:eastAsia="zh-CN"/>
                    </w:rPr>
                    <w:t>，</w:t>
                  </w:r>
                  <w:r>
                    <w:rPr>
                      <w:rFonts w:hint="eastAsia" w:eastAsia="宋体"/>
                      <w:color w:val="auto"/>
                      <w:sz w:val="21"/>
                      <w:szCs w:val="21"/>
                      <w:lang w:eastAsia="zh-CN"/>
                    </w:rPr>
                    <w:t>动物饲养</w:t>
                  </w:r>
                  <w:r>
                    <w:rPr>
                      <w:rFonts w:hint="eastAsia"/>
                      <w:color w:val="auto"/>
                      <w:sz w:val="21"/>
                      <w:szCs w:val="21"/>
                      <w:lang w:eastAsia="zh-CN"/>
                    </w:rPr>
                    <w:t>间消毒、饲养</w:t>
                  </w:r>
                  <w:r>
                    <w:rPr>
                      <w:rFonts w:hint="eastAsia" w:eastAsia="宋体"/>
                      <w:color w:val="auto"/>
                      <w:sz w:val="21"/>
                      <w:szCs w:val="21"/>
                      <w:lang w:eastAsia="zh-CN"/>
                    </w:rPr>
                    <w:t>过程产生的非甲烷总烃、TRVOC、</w:t>
                  </w:r>
                  <w:r>
                    <w:rPr>
                      <w:rFonts w:hint="eastAsia"/>
                      <w:color w:val="auto"/>
                      <w:sz w:val="21"/>
                      <w:szCs w:val="21"/>
                      <w:lang w:eastAsia="zh-CN"/>
                    </w:rPr>
                    <w:t>氨、硫化氢、</w:t>
                  </w:r>
                  <w:r>
                    <w:rPr>
                      <w:rFonts w:hint="eastAsia" w:eastAsia="宋体"/>
                      <w:color w:val="auto"/>
                      <w:sz w:val="21"/>
                      <w:szCs w:val="21"/>
                      <w:lang w:eastAsia="zh-CN"/>
                    </w:rPr>
                    <w:t>臭气浓度，通过洁净车间整体收集，经1套活性炭设施处理后通过1根20m高排气筒P1排放。</w:t>
                  </w:r>
                  <w:r>
                    <w:rPr>
                      <w:rFonts w:hint="eastAsia"/>
                      <w:color w:val="auto"/>
                      <w:sz w:val="21"/>
                      <w:szCs w:val="21"/>
                      <w:lang w:eastAsia="zh-CN"/>
                    </w:rPr>
                    <w:t>兔饲养间饲养过程产生的氨、硫化氢、</w:t>
                  </w:r>
                  <w:r>
                    <w:rPr>
                      <w:rFonts w:hint="eastAsia" w:eastAsia="宋体"/>
                      <w:color w:val="auto"/>
                      <w:sz w:val="21"/>
                      <w:szCs w:val="21"/>
                      <w:lang w:eastAsia="zh-CN"/>
                    </w:rPr>
                    <w:t>臭气浓度</w:t>
                  </w:r>
                  <w:r>
                    <w:rPr>
                      <w:rFonts w:hint="eastAsia"/>
                      <w:color w:val="auto"/>
                      <w:sz w:val="21"/>
                      <w:szCs w:val="21"/>
                      <w:lang w:eastAsia="zh-CN"/>
                    </w:rPr>
                    <w:t>喷洒植物型除臭剂后无组织排放。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357"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固废处置</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color w:val="auto"/>
                      <w:sz w:val="21"/>
                      <w:szCs w:val="21"/>
                      <w:lang w:eastAsia="zh-CN"/>
                    </w:rPr>
                  </w:pPr>
                  <w:r>
                    <w:rPr>
                      <w:color w:val="auto"/>
                      <w:sz w:val="21"/>
                      <w:szCs w:val="21"/>
                    </w:rPr>
                    <w:t>生活垃圾：</w:t>
                  </w:r>
                  <w:r>
                    <w:rPr>
                      <w:rFonts w:hint="default"/>
                      <w:color w:val="auto"/>
                      <w:sz w:val="21"/>
                      <w:szCs w:val="21"/>
                    </w:rPr>
                    <w:t>由</w:t>
                  </w:r>
                  <w:r>
                    <w:rPr>
                      <w:rFonts w:hint="eastAsia"/>
                      <w:color w:val="auto"/>
                      <w:sz w:val="21"/>
                      <w:szCs w:val="21"/>
                      <w:lang w:val="en-US" w:eastAsia="zh-CN"/>
                    </w:rPr>
                    <w:t>城市管理部门</w:t>
                  </w:r>
                  <w:r>
                    <w:rPr>
                      <w:rFonts w:hint="default"/>
                      <w:color w:val="auto"/>
                      <w:sz w:val="21"/>
                      <w:szCs w:val="21"/>
                    </w:rPr>
                    <w:t>及时清运</w:t>
                  </w:r>
                  <w:r>
                    <w:rPr>
                      <w:rFonts w:hint="eastAsia"/>
                      <w:color w:val="auto"/>
                      <w:sz w:val="21"/>
                      <w:szCs w:val="21"/>
                      <w:lang w:eastAsia="zh-CN"/>
                    </w:rPr>
                    <w:t>。</w:t>
                  </w:r>
                </w:p>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color w:val="auto"/>
                      <w:sz w:val="21"/>
                      <w:szCs w:val="21"/>
                      <w:lang w:val="en-US" w:eastAsia="zh-CN"/>
                    </w:rPr>
                  </w:pPr>
                  <w:r>
                    <w:rPr>
                      <w:rFonts w:hint="eastAsia"/>
                      <w:color w:val="auto"/>
                      <w:sz w:val="21"/>
                      <w:szCs w:val="21"/>
                      <w:lang w:val="en-US" w:eastAsia="zh-CN"/>
                    </w:rPr>
                    <w:t>危险废物：实验废液、实验废物（实验耗材枪头、离心管、载玻片、盖玻片、废试剂瓶等）、废活性炭、废UV灯管、动物尸体、滤渣暂存于危废暂存间，交由有资质的单位处理处置。</w:t>
                  </w:r>
                </w:p>
                <w:p>
                  <w:pPr>
                    <w:keepNext w:val="0"/>
                    <w:keepLines w:val="0"/>
                    <w:pageBreakBefore w:val="0"/>
                    <w:widowControl w:val="0"/>
                    <w:kinsoku/>
                    <w:wordWrap/>
                    <w:overflowPunct/>
                    <w:topLinePunct w:val="0"/>
                    <w:bidi w:val="0"/>
                    <w:adjustRightInd/>
                    <w:snapToGrid w:val="0"/>
                    <w:spacing w:line="240" w:lineRule="auto"/>
                    <w:jc w:val="left"/>
                    <w:textAlignment w:val="auto"/>
                    <w:rPr>
                      <w:rFonts w:hint="default"/>
                      <w:color w:val="auto"/>
                      <w:sz w:val="21"/>
                      <w:szCs w:val="21"/>
                      <w:lang w:val="en-US" w:eastAsia="zh-CN"/>
                    </w:rPr>
                  </w:pPr>
                  <w:r>
                    <w:rPr>
                      <w:rFonts w:hint="eastAsia"/>
                      <w:color w:val="auto"/>
                      <w:sz w:val="21"/>
                      <w:szCs w:val="21"/>
                      <w:lang w:val="en-US" w:eastAsia="zh-CN"/>
                    </w:rPr>
                    <w:t>一般固体废物：废包装物</w:t>
                  </w:r>
                  <w:r>
                    <w:rPr>
                      <w:color w:val="auto"/>
                      <w:sz w:val="21"/>
                      <w:szCs w:val="21"/>
                    </w:rPr>
                    <w:t>收集后</w:t>
                  </w:r>
                  <w:r>
                    <w:rPr>
                      <w:rFonts w:hint="eastAsia"/>
                      <w:color w:val="auto"/>
                      <w:sz w:val="21"/>
                      <w:szCs w:val="21"/>
                      <w:lang w:val="en-US" w:eastAsia="zh-CN"/>
                    </w:rPr>
                    <w:t>交由物资回收单位处理处置；废培养基、动物粪便经灭菌消毒处理后，由城市管理部门定期清运；净水设备废弃物合理收集，由城市管理部门定期清运。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01" w:hRule="atLeast"/>
                <w:jc w:val="center"/>
              </w:trPr>
              <w:tc>
                <w:tcPr>
                  <w:tcW w:w="703" w:type="pct"/>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p>
              </w:tc>
              <w:tc>
                <w:tcPr>
                  <w:tcW w:w="779"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color w:val="auto"/>
                      <w:sz w:val="21"/>
                      <w:szCs w:val="21"/>
                    </w:rPr>
                  </w:pPr>
                  <w:r>
                    <w:rPr>
                      <w:rFonts w:hint="default"/>
                      <w:color w:val="auto"/>
                      <w:sz w:val="21"/>
                      <w:szCs w:val="21"/>
                    </w:rPr>
                    <w:t>噪声治理</w:t>
                  </w:r>
                </w:p>
              </w:tc>
              <w:tc>
                <w:tcPr>
                  <w:tcW w:w="3517"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jc w:val="left"/>
                    <w:textAlignment w:val="auto"/>
                    <w:rPr>
                      <w:rFonts w:hint="eastAsia"/>
                      <w:color w:val="auto"/>
                      <w:sz w:val="21"/>
                      <w:szCs w:val="21"/>
                      <w:lang w:eastAsia="zh-CN"/>
                    </w:rPr>
                  </w:pPr>
                  <w:r>
                    <w:rPr>
                      <w:rFonts w:hint="eastAsia"/>
                      <w:color w:val="auto"/>
                      <w:sz w:val="21"/>
                      <w:szCs w:val="21"/>
                      <w:lang w:eastAsia="zh-CN"/>
                    </w:rPr>
                    <w:t>本项目室外噪声源运行噪声采取合理布局、基础减振、软管连接、洁净车间风机安装隔声罩等措施，室内噪声源采取墙体隔声、距离衰减等措施。</w:t>
                  </w:r>
                </w:p>
              </w:tc>
            </w:tr>
          </w:tbl>
          <w:p>
            <w:pPr>
              <w:pStyle w:val="4"/>
              <w:bidi w:val="0"/>
              <w:rPr>
                <w:b/>
                <w:bCs/>
                <w:color w:val="auto"/>
              </w:rPr>
            </w:pPr>
            <w:r>
              <w:rPr>
                <w:rFonts w:hint="eastAsia"/>
                <w:color w:val="auto"/>
                <w:lang w:val="en-US" w:eastAsia="zh-CN"/>
              </w:rPr>
              <w:t>2.2.2</w:t>
            </w:r>
            <w:r>
              <w:rPr>
                <w:b/>
                <w:bCs/>
                <w:color w:val="auto"/>
              </w:rPr>
              <w:t>产品方案</w:t>
            </w:r>
          </w:p>
          <w:p>
            <w:pPr>
              <w:pStyle w:val="8"/>
              <w:ind w:firstLine="480"/>
              <w:rPr>
                <w:color w:val="auto"/>
              </w:rPr>
            </w:pPr>
            <w:r>
              <w:rPr>
                <w:rFonts w:hint="eastAsia"/>
                <w:color w:val="auto"/>
                <w:lang w:val="en-US" w:eastAsia="zh-CN"/>
              </w:rPr>
              <w:t>本项目主要进行</w:t>
            </w:r>
            <w:r>
              <w:rPr>
                <w:rFonts w:hint="eastAsia" w:ascii="Times New Roman" w:hAnsi="Times New Roman" w:eastAsia="宋体" w:cs="Times New Roman"/>
                <w:color w:val="auto"/>
                <w:sz w:val="24"/>
                <w:szCs w:val="24"/>
                <w:lang w:val="en-US" w:eastAsia="zh-CN"/>
              </w:rPr>
              <w:t>HE染色实验、RT-qPCR相对定量实验、Western Blot检测、细胞滴片免疫组化实验、石蜡切片免疫组化实验</w:t>
            </w:r>
            <w:r>
              <w:rPr>
                <w:rFonts w:hint="eastAsia" w:cs="Times New Roman"/>
                <w:color w:val="auto"/>
                <w:sz w:val="24"/>
                <w:szCs w:val="24"/>
                <w:lang w:val="en-US" w:eastAsia="zh-CN"/>
              </w:rPr>
              <w:t>等实验</w:t>
            </w:r>
            <w:r>
              <w:rPr>
                <w:rFonts w:hint="eastAsia"/>
                <w:color w:val="auto"/>
                <w:sz w:val="24"/>
                <w:szCs w:val="24"/>
                <w:lang w:eastAsia="zh-CN"/>
              </w:rPr>
              <w:t>。</w:t>
            </w:r>
            <w:r>
              <w:rPr>
                <w:color w:val="auto"/>
              </w:rPr>
              <w:t>主要产品方案详见</w:t>
            </w:r>
            <w:r>
              <w:rPr>
                <w:rFonts w:hint="eastAsia"/>
                <w:color w:val="auto"/>
              </w:rPr>
              <w:t>下表</w:t>
            </w:r>
            <w:r>
              <w:rPr>
                <w:color w:val="auto"/>
              </w:rPr>
              <w:t>。</w:t>
            </w:r>
          </w:p>
          <w:p>
            <w:pPr>
              <w:pStyle w:val="83"/>
              <w:spacing w:before="120"/>
              <w:rPr>
                <w:color w:val="auto"/>
              </w:rPr>
            </w:pPr>
            <w:r>
              <w:rPr>
                <w:rFonts w:hint="eastAsia"/>
                <w:color w:val="auto"/>
              </w:rPr>
              <w:t xml:space="preserve">表2-3  </w:t>
            </w:r>
            <w:r>
              <w:rPr>
                <w:color w:val="auto"/>
              </w:rPr>
              <w:t>主要产品方案一览表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35"/>
              <w:gridCol w:w="708"/>
              <w:gridCol w:w="2432"/>
              <w:gridCol w:w="13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产品</w:t>
                  </w:r>
                </w:p>
              </w:tc>
              <w:tc>
                <w:tcPr>
                  <w:tcW w:w="42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实验类型</w:t>
                  </w: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研发规模</w:t>
                  </w:r>
                </w:p>
              </w:tc>
              <w:tc>
                <w:tcPr>
                  <w:tcW w:w="7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样本去向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HE染色实验报告</w:t>
                  </w:r>
                </w:p>
              </w:tc>
              <w:tc>
                <w:tcPr>
                  <w:tcW w:w="42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val="0"/>
                      <w:bCs w:val="0"/>
                      <w:color w:val="auto"/>
                      <w:sz w:val="21"/>
                      <w:szCs w:val="21"/>
                      <w:lang w:eastAsia="zh-CN"/>
                    </w:rPr>
                  </w:pPr>
                  <w:r>
                    <w:rPr>
                      <w:rFonts w:hint="eastAsia"/>
                      <w:b w:val="0"/>
                      <w:bCs w:val="0"/>
                      <w:color w:val="auto"/>
                      <w:sz w:val="21"/>
                      <w:szCs w:val="21"/>
                      <w:lang w:eastAsia="zh-CN"/>
                    </w:rPr>
                    <w:t>分析检测类</w:t>
                  </w: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200</w:t>
                  </w:r>
                  <w:r>
                    <w:rPr>
                      <w:rFonts w:hint="eastAsia"/>
                      <w:color w:val="auto"/>
                      <w:sz w:val="24"/>
                      <w:szCs w:val="24"/>
                      <w:lang w:val="en-US" w:eastAsia="zh-CN"/>
                    </w:rPr>
                    <w:t>份</w:t>
                  </w:r>
                </w:p>
              </w:tc>
              <w:tc>
                <w:tcPr>
                  <w:tcW w:w="78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r>
                    <w:rPr>
                      <w:rFonts w:hint="eastAsia"/>
                      <w:b w:val="0"/>
                      <w:bCs w:val="0"/>
                      <w:color w:val="auto"/>
                      <w:sz w:val="21"/>
                      <w:szCs w:val="21"/>
                      <w:lang w:val="en-US" w:eastAsia="zh-CN"/>
                    </w:rPr>
                    <w:t>实验样本返还客户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RT-qPCR相对定量实验报告</w:t>
                  </w: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rPr>
                  </w:pP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100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Western Blot检测报告</w:t>
                  </w: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val="0"/>
                      <w:bCs w:val="0"/>
                      <w:color w:val="auto"/>
                      <w:sz w:val="21"/>
                      <w:szCs w:val="21"/>
                    </w:rPr>
                  </w:pP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150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细胞滴片免疫组化实验报告</w:t>
                  </w: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80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石蜡切片免疫组化实验报告</w:t>
                  </w: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120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45" w:type="pct"/>
                  <w:tcBorders>
                    <w:tl2br w:val="nil"/>
                    <w:tr2bl w:val="nil"/>
                  </w:tcBorders>
                  <w:vAlign w:val="center"/>
                </w:tcPr>
                <w:p>
                  <w:pPr>
                    <w:keepNext w:val="0"/>
                    <w:keepLines w:val="0"/>
                    <w:pageBreakBefore w:val="0"/>
                    <w:widowControl w:val="0"/>
                    <w:kinsoku/>
                    <w:wordWrap/>
                    <w:overflowPunct/>
                    <w:topLinePunct w:val="0"/>
                    <w:bidi w:val="0"/>
                    <w:adjustRightInd/>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细胞实验（细胞划痕迁移检测、细胞活性检测、细胞增殖-毒性检测、MTT细胞增殖能力检测、流式细胞凋亡检测）</w:t>
                  </w:r>
                </w:p>
              </w:tc>
              <w:tc>
                <w:tcPr>
                  <w:tcW w:w="42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val="0"/>
                      <w:bCs w:val="0"/>
                      <w:color w:val="auto"/>
                      <w:sz w:val="21"/>
                      <w:szCs w:val="21"/>
                      <w:lang w:val="en-US" w:eastAsia="zh-CN"/>
                    </w:rPr>
                  </w:pPr>
                  <w:r>
                    <w:rPr>
                      <w:rFonts w:hint="eastAsia"/>
                      <w:color w:val="auto"/>
                      <w:sz w:val="21"/>
                      <w:szCs w:val="21"/>
                      <w:lang w:eastAsia="zh-CN"/>
                    </w:rPr>
                    <w:t>年出具检测报告</w:t>
                  </w:r>
                  <w:r>
                    <w:rPr>
                      <w:rFonts w:hint="eastAsia"/>
                      <w:b w:val="0"/>
                      <w:bCs w:val="0"/>
                      <w:color w:val="auto"/>
                      <w:sz w:val="21"/>
                      <w:szCs w:val="21"/>
                      <w:lang w:val="en-US" w:eastAsia="zh-CN"/>
                    </w:rPr>
                    <w:t>50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7"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rPr>
                  </w:pPr>
                  <w:r>
                    <w:rPr>
                      <w:rFonts w:hint="eastAsia" w:cs="Times New Roman"/>
                      <w:color w:val="auto"/>
                      <w:sz w:val="21"/>
                      <w:szCs w:val="21"/>
                      <w:lang w:val="en-US" w:eastAsia="zh-CN"/>
                    </w:rPr>
                    <w:t>合计</w:t>
                  </w:r>
                </w:p>
              </w:tc>
              <w:tc>
                <w:tcPr>
                  <w:tcW w:w="144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rFonts w:hint="eastAsia"/>
                      <w:color w:val="auto"/>
                      <w:sz w:val="21"/>
                      <w:szCs w:val="21"/>
                      <w:lang w:eastAsia="zh-CN"/>
                    </w:rPr>
                    <w:t>年出具检测报告</w:t>
                  </w:r>
                  <w:r>
                    <w:rPr>
                      <w:rFonts w:hint="eastAsia"/>
                      <w:color w:val="auto"/>
                      <w:sz w:val="21"/>
                      <w:szCs w:val="21"/>
                      <w:lang w:val="en-US" w:eastAsia="zh-CN"/>
                    </w:rPr>
                    <w:t>70</w:t>
                  </w:r>
                  <w:r>
                    <w:rPr>
                      <w:rFonts w:hint="eastAsia"/>
                      <w:b w:val="0"/>
                      <w:bCs w:val="0"/>
                      <w:color w:val="auto"/>
                      <w:sz w:val="21"/>
                      <w:szCs w:val="21"/>
                      <w:lang w:val="en-US" w:eastAsia="zh-CN"/>
                    </w:rPr>
                    <w:t>0</w:t>
                  </w:r>
                  <w:r>
                    <w:rPr>
                      <w:rFonts w:hint="eastAsia"/>
                      <w:color w:val="auto"/>
                      <w:sz w:val="24"/>
                      <w:szCs w:val="24"/>
                      <w:lang w:val="en-US" w:eastAsia="zh-CN"/>
                    </w:rPr>
                    <w:t>份</w:t>
                  </w:r>
                </w:p>
              </w:tc>
              <w:tc>
                <w:tcPr>
                  <w:tcW w:w="78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b/>
                      <w:bCs/>
                      <w:color w:val="auto"/>
                      <w:sz w:val="21"/>
                      <w:szCs w:val="21"/>
                      <w:lang w:val="en-US" w:eastAsia="zh-CN"/>
                    </w:rPr>
                  </w:pPr>
                </w:p>
              </w:tc>
            </w:tr>
          </w:tbl>
          <w:p>
            <w:pPr>
              <w:pStyle w:val="4"/>
              <w:bidi w:val="0"/>
              <w:rPr>
                <w:color w:val="auto"/>
              </w:rPr>
            </w:pPr>
            <w:r>
              <w:rPr>
                <w:rFonts w:hint="eastAsia"/>
                <w:color w:val="auto"/>
                <w:lang w:val="en-US" w:eastAsia="zh-CN"/>
              </w:rPr>
              <w:t>2.2.3</w:t>
            </w:r>
            <w:r>
              <w:rPr>
                <w:color w:val="auto"/>
              </w:rPr>
              <w:t>生产设备</w:t>
            </w:r>
          </w:p>
          <w:p>
            <w:pPr>
              <w:spacing w:line="360" w:lineRule="auto"/>
              <w:ind w:firstLine="480" w:firstLineChars="200"/>
              <w:rPr>
                <w:rFonts w:hint="eastAsia" w:eastAsia="宋体"/>
                <w:color w:val="auto"/>
                <w:lang w:eastAsia="zh-CN"/>
              </w:rPr>
            </w:pPr>
            <w:r>
              <w:rPr>
                <w:color w:val="auto"/>
              </w:rPr>
              <w:t>本项目生产设备见下表</w:t>
            </w:r>
            <w:r>
              <w:rPr>
                <w:rFonts w:hint="eastAsia"/>
                <w:color w:val="auto"/>
                <w:lang w:eastAsia="zh-CN"/>
              </w:rPr>
              <w:t>。</w:t>
            </w:r>
          </w:p>
          <w:p>
            <w:pPr>
              <w:pStyle w:val="83"/>
              <w:bidi w:val="0"/>
              <w:rPr>
                <w:rFonts w:hint="default"/>
                <w:color w:val="auto"/>
              </w:rPr>
            </w:pPr>
            <w:r>
              <w:rPr>
                <w:rFonts w:hint="eastAsia"/>
                <w:color w:val="auto"/>
                <w:lang w:val="en-US" w:eastAsia="zh-CN"/>
              </w:rPr>
              <w:t xml:space="preserve">表2-4  </w:t>
            </w:r>
            <w:r>
              <w:rPr>
                <w:rFonts w:hint="default"/>
                <w:color w:val="auto"/>
                <w:lang w:val="en-US" w:eastAsia="zh-CN"/>
              </w:rPr>
              <w:t>主要</w:t>
            </w:r>
            <w:bookmarkStart w:id="2" w:name="设备"/>
            <w:bookmarkEnd w:id="2"/>
            <w:r>
              <w:rPr>
                <w:rFonts w:hint="default"/>
                <w:color w:val="auto"/>
                <w:lang w:val="en-US" w:eastAsia="zh-CN"/>
              </w:rPr>
              <w:t>生产设备一览表</w:t>
            </w:r>
          </w:p>
          <w:tbl>
            <w:tblPr>
              <w:tblStyle w:val="29"/>
              <w:tblW w:w="49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131"/>
              <w:gridCol w:w="1230"/>
              <w:gridCol w:w="694"/>
              <w:gridCol w:w="1017"/>
              <w:gridCol w:w="25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序号</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设备名称</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设备型号</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台/套数</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位置</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b/>
                      <w:bCs/>
                      <w:color w:val="auto"/>
                      <w:kern w:val="0"/>
                      <w:sz w:val="21"/>
                      <w:szCs w:val="21"/>
                      <w:lang w:val="en-US" w:eastAsia="zh-CN"/>
                    </w:rPr>
                  </w:pPr>
                  <w:r>
                    <w:rPr>
                      <w:rFonts w:hint="eastAsia" w:ascii="Times New Roman" w:hAnsi="Times New Roman" w:cs="Times New Roman" w:eastAsiaTheme="minorEastAsia"/>
                      <w:b/>
                      <w:bCs/>
                      <w:color w:val="auto"/>
                      <w:kern w:val="0"/>
                      <w:sz w:val="21"/>
                      <w:szCs w:val="21"/>
                      <w:lang w:val="en-US" w:eastAsia="zh-CN"/>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石蜡切片机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JJQ-P3016</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10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切石蜡包埋的组织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扫片机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扫描切片、电子成像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冰冻切片机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CM1900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切冷冻的组织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石蜡包埋机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JB-L8</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包埋蜡块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冻台</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加速凝固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电解质分析仪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IMS-972 Popular</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检测离子含量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7</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全自动生化分析仪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BS-180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生化检测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pH</w:t>
                  </w:r>
                  <w:r>
                    <w:rPr>
                      <w:rFonts w:hint="eastAsia" w:ascii="Times New Roman" w:hAnsi="Times New Roman" w:cs="Times New Roman" w:eastAsiaTheme="minorEastAsia"/>
                      <w:color w:val="auto"/>
                      <w:kern w:val="0"/>
                      <w:sz w:val="21"/>
                      <w:szCs w:val="21"/>
                      <w:lang w:val="en-US" w:eastAsia="zh-CN"/>
                    </w:rPr>
                    <w:t>计</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FE20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测定溶液酸碱度值的仪器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涡旋振荡器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QL-861</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通用迷你振荡器，可用来振荡试管或者其它型号小容器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ascii="宋体" w:hAnsi="宋体" w:cs="宋体"/>
                      <w:color w:val="auto"/>
                      <w:kern w:val="0"/>
                      <w:sz w:val="21"/>
                      <w:szCs w:val="21"/>
                      <w:highlight w:val="none"/>
                      <w:lang w:bidi="ar"/>
                    </w:rPr>
                    <w:t>显微镜</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观察切片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宋体" w:hAnsi="宋体" w:cs="宋体"/>
                      <w:color w:val="auto"/>
                      <w:kern w:val="0"/>
                      <w:sz w:val="21"/>
                      <w:szCs w:val="21"/>
                      <w:highlight w:val="none"/>
                      <w:lang w:val="en-US" w:eastAsia="zh-CN"/>
                    </w:rPr>
                    <w:t>烤箱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普通冰箱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组化笔</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抗体、试剂等在被画圈内不易流失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通风橱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1850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5</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收集实验废气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color w:val="auto"/>
                      <w:sz w:val="21"/>
                      <w:szCs w:val="21"/>
                      <w:lang w:val="en-US" w:eastAsia="zh-CN"/>
                    </w:rPr>
                  </w:pPr>
                  <w:r>
                    <w:rPr>
                      <w:rFonts w:hint="eastAsia" w:ascii="宋体" w:hAnsi="宋体" w:cs="宋体"/>
                      <w:color w:val="auto"/>
                      <w:kern w:val="0"/>
                      <w:sz w:val="21"/>
                      <w:szCs w:val="21"/>
                      <w:highlight w:val="none"/>
                      <w:lang w:val="en-US" w:eastAsia="zh-CN"/>
                    </w:rPr>
                    <w:t>脱水机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c>
                <w:tcPr>
                  <w:tcW w:w="10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分子实验室</w:t>
                  </w:r>
                </w:p>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切片脱水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color w:val="auto"/>
                      <w:sz w:val="21"/>
                      <w:szCs w:val="21"/>
                      <w:lang w:val="en-US" w:eastAsia="zh-CN"/>
                    </w:rPr>
                  </w:pPr>
                  <w:r>
                    <w:rPr>
                      <w:rFonts w:hint="eastAsia" w:ascii="宋体" w:hAnsi="宋体" w:cs="宋体"/>
                      <w:color w:val="auto"/>
                      <w:kern w:val="0"/>
                      <w:sz w:val="21"/>
                      <w:szCs w:val="21"/>
                      <w:highlight w:val="none"/>
                      <w:lang w:val="en-US" w:eastAsia="zh-CN"/>
                    </w:rPr>
                    <w:t>染色机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切片染色、漂洗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17</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color w:val="auto"/>
                      <w:sz w:val="21"/>
                      <w:szCs w:val="21"/>
                      <w:lang w:val="en-US" w:eastAsia="zh-CN"/>
                    </w:rPr>
                  </w:pPr>
                  <w:r>
                    <w:rPr>
                      <w:rFonts w:hint="eastAsia" w:ascii="宋体" w:hAnsi="宋体" w:cs="宋体"/>
                      <w:b w:val="0"/>
                      <w:bCs w:val="0"/>
                      <w:color w:val="auto"/>
                      <w:kern w:val="0"/>
                      <w:sz w:val="21"/>
                      <w:szCs w:val="21"/>
                      <w:highlight w:val="none"/>
                      <w:lang w:val="en-US" w:eastAsia="zh-CN"/>
                    </w:rPr>
                    <w:t>组织摊片机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石蜡切片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离心机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5810R</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利用离心力</w:t>
                  </w:r>
                  <w:r>
                    <w:rPr>
                      <w:rFonts w:hint="eastAsia" w:cs="Times New Roman" w:eastAsiaTheme="minorEastAsia"/>
                      <w:color w:val="auto"/>
                      <w:kern w:val="0"/>
                      <w:sz w:val="21"/>
                      <w:szCs w:val="21"/>
                      <w:lang w:val="en-US" w:eastAsia="zh-CN"/>
                    </w:rPr>
                    <w:t>分离</w:t>
                  </w:r>
                  <w:r>
                    <w:rPr>
                      <w:rFonts w:hint="default" w:ascii="Times New Roman" w:hAnsi="Times New Roman" w:cs="Times New Roman" w:eastAsiaTheme="minorEastAsia"/>
                      <w:color w:val="auto"/>
                      <w:kern w:val="0"/>
                      <w:sz w:val="21"/>
                      <w:szCs w:val="21"/>
                      <w:lang w:val="en-US" w:eastAsia="zh-CN"/>
                    </w:rPr>
                    <w:t>固体颗粒或液体与液体</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离心机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ST16R</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96孔板离心机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2500m</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超净工作台</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SW-CJ-2D</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实验台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气浴摇床</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THZ-82A</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水浴摇床</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SHA-C</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普通</w:t>
                  </w:r>
                  <w:r>
                    <w:rPr>
                      <w:rFonts w:hint="eastAsia" w:ascii="Times New Roman" w:hAnsi="Times New Roman" w:cs="Times New Roman" w:eastAsiaTheme="minorEastAsia"/>
                      <w:color w:val="auto"/>
                      <w:kern w:val="0"/>
                      <w:sz w:val="21"/>
                      <w:szCs w:val="21"/>
                      <w:lang w:val="en-US" w:eastAsia="zh-CN"/>
                    </w:rPr>
                    <w:t>PCR仪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Pcr扩增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25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梯度PCR仪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Veriti</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26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PCR仪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DL9700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27</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垂水平电泳套装（核酸专用）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JY-SPCT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核酸电泳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细胞流式仪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对细胞进行自动分析和分选</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29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小型微量离心机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利用离心力</w:t>
                  </w:r>
                  <w:r>
                    <w:rPr>
                      <w:rFonts w:hint="eastAsia" w:cs="Times New Roman" w:eastAsiaTheme="minorEastAsia"/>
                      <w:color w:val="auto"/>
                      <w:kern w:val="0"/>
                      <w:sz w:val="21"/>
                      <w:szCs w:val="21"/>
                      <w:lang w:val="en-US" w:eastAsia="zh-CN"/>
                    </w:rPr>
                    <w:t>分离</w:t>
                  </w:r>
                  <w:r>
                    <w:rPr>
                      <w:rFonts w:hint="default" w:ascii="Times New Roman" w:hAnsi="Times New Roman" w:cs="Times New Roman" w:eastAsiaTheme="minorEastAsia"/>
                      <w:color w:val="auto"/>
                      <w:kern w:val="0"/>
                      <w:sz w:val="21"/>
                      <w:szCs w:val="21"/>
                      <w:lang w:val="en-US" w:eastAsia="zh-CN"/>
                    </w:rPr>
                    <w:t>固体颗粒或液体与液体</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30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荧光定量PCR仪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7300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Pcr扩增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31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荧光定量PCR仪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7500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Pcr扩增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超微量分光光度计</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2000C</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是将成分复杂的光，分解为光谱线的科学仪器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超微量分光光度计</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ND-1000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凝胶成像仪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UNIVERSAL HOO2</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主要用于蛋白质、核酸凝胶成像及分析</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脱色摇床</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TS-200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脱色摇床应用于电泳凝胶分离谱带的固定</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垂直电泳套装（蛋白专用）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测定、分离、制备DNA以及测定分子量</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37</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电热恒温箱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303-00B</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利用电热丝隔层加热，</w:t>
                  </w:r>
                  <w:r>
                    <w:rPr>
                      <w:rFonts w:hint="eastAsia" w:ascii="Times New Roman" w:hAnsi="Times New Roman" w:cs="Times New Roman" w:eastAsiaTheme="minorEastAsia"/>
                      <w:color w:val="auto"/>
                      <w:kern w:val="0"/>
                      <w:sz w:val="21"/>
                      <w:szCs w:val="21"/>
                      <w:lang w:val="en-US" w:eastAsia="zh-CN"/>
                    </w:rPr>
                    <w:t>使</w:t>
                  </w:r>
                  <w:r>
                    <w:rPr>
                      <w:rFonts w:hint="default" w:ascii="Times New Roman" w:hAnsi="Times New Roman" w:cs="Times New Roman" w:eastAsiaTheme="minorEastAsia"/>
                      <w:color w:val="auto"/>
                      <w:kern w:val="0"/>
                      <w:sz w:val="21"/>
                      <w:szCs w:val="21"/>
                      <w:lang w:val="en-US" w:eastAsia="zh-CN"/>
                    </w:rPr>
                    <w:t>物体干燥的设备</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岛津电化学检测器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L-ECD-6A</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测量物质的电信号变化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色谱工作站</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N2000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一种辅助色谱仪器采样、收集色谱检测器当中的电压信号数据分析处理的工作站辅助软件。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荧光酶标仪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FLUOROSKAN  ASCENT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是酶联免疫吸附试验的专用仪器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ascii="Times New Roman" w:hAnsi="Times New Roman" w:cs="Times New Roman" w:eastAsiaTheme="minorEastAsia"/>
                      <w:color w:val="auto"/>
                      <w:kern w:val="0"/>
                      <w:sz w:val="21"/>
                      <w:szCs w:val="21"/>
                      <w:lang w:val="en-US" w:eastAsia="zh-CN"/>
                    </w:rPr>
                    <w:t>洗板机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1575</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清洗酶标板的</w:t>
                  </w:r>
                  <w:r>
                    <w:rPr>
                      <w:rFonts w:hint="eastAsia" w:ascii="Times New Roman" w:hAnsi="Times New Roman" w:cs="Times New Roman" w:eastAsiaTheme="minorEastAsia"/>
                      <w:color w:val="auto"/>
                      <w:kern w:val="0"/>
                      <w:sz w:val="21"/>
                      <w:szCs w:val="21"/>
                      <w:lang w:val="en-US" w:eastAsia="zh-CN"/>
                    </w:rPr>
                    <w:t>仪器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21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可见紫外分光光度计</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uLTROSPEC 2100 pro</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光谱分析仪器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21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L5S</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化学发光光凝胶成像仪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5200</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用于采集电泳凝胶、膜、微孔板等样品的数字图像</w:t>
                  </w:r>
                  <w:r>
                    <w:rPr>
                      <w:rFonts w:hint="eastAsia" w:ascii="Times New Roman" w:hAnsi="Times New Roman" w:cs="Times New Roman" w:eastAsiaTheme="minorEastAsia"/>
                      <w:color w:val="auto"/>
                      <w:kern w:val="0"/>
                      <w:sz w:val="21"/>
                      <w:szCs w:val="21"/>
                      <w:lang w:val="en-US" w:eastAsia="zh-CN"/>
                    </w:rPr>
                    <w:t>，</w:t>
                  </w:r>
                  <w:r>
                    <w:rPr>
                      <w:rFonts w:hint="default" w:ascii="Times New Roman" w:hAnsi="Times New Roman" w:cs="Times New Roman" w:eastAsiaTheme="minorEastAsia"/>
                      <w:color w:val="auto"/>
                      <w:kern w:val="0"/>
                      <w:sz w:val="21"/>
                      <w:szCs w:val="21"/>
                      <w:lang w:val="en-US" w:eastAsia="zh-CN"/>
                    </w:rPr>
                    <w:t>并对获得的图像进行数据分析</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超声波细胞破碎仪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FC-1000N</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破碎细胞等物质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湿</w:t>
                  </w:r>
                  <w:r>
                    <w:rPr>
                      <w:rFonts w:hint="eastAsia" w:ascii="Times New Roman" w:hAnsi="Times New Roman" w:cs="Times New Roman" w:eastAsiaTheme="minorEastAsia"/>
                      <w:color w:val="auto"/>
                      <w:kern w:val="0"/>
                      <w:sz w:val="21"/>
                      <w:szCs w:val="21"/>
                      <w:lang w:val="en-US" w:eastAsia="zh-CN"/>
                    </w:rPr>
                    <w:t>转</w:t>
                  </w:r>
                  <w:r>
                    <w:rPr>
                      <w:rFonts w:hint="eastAsia" w:cs="Times New Roman" w:eastAsiaTheme="minorEastAsia"/>
                      <w:color w:val="auto"/>
                      <w:kern w:val="0"/>
                      <w:sz w:val="21"/>
                      <w:szCs w:val="21"/>
                      <w:lang w:val="en-US" w:eastAsia="zh-CN"/>
                    </w:rPr>
                    <w:t>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核酸及蛋白质样品进行快速转移电泳的装置</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水浴锅</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恒温加热和其它温度试验</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金属浴</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恒温加热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微量振荡器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MH-2</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对培养皿中的液体进行混匀</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微量比色皿</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若干</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比色皿用来盛装参比液、样品溶液</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pH计</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PHS-3E</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测定溶液酸碱度值的仪器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eastAsiaTheme="minorEastAsia"/>
                      <w:color w:val="auto"/>
                      <w:kern w:val="0"/>
                      <w:sz w:val="21"/>
                      <w:szCs w:val="21"/>
                      <w:lang w:val="en-US" w:eastAsia="zh-CN"/>
                    </w:rPr>
                  </w:pPr>
                  <w:r>
                    <w:rPr>
                      <w:rFonts w:hint="eastAsia" w:ascii="宋体" w:hAnsi="宋体" w:cs="宋体"/>
                      <w:b w:val="0"/>
                      <w:bCs w:val="0"/>
                      <w:color w:val="auto"/>
                      <w:kern w:val="0"/>
                      <w:sz w:val="21"/>
                      <w:szCs w:val="21"/>
                      <w:highlight w:val="none"/>
                      <w:lang w:val="en-US" w:eastAsia="zh-CN"/>
                    </w:rPr>
                    <w:t>制冰机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实验制冰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eastAsia" w:ascii="Times New Roman" w:hAnsi="Times New Roman" w:cs="Times New Roman" w:eastAsiaTheme="minorEastAsia"/>
                      <w:color w:val="auto"/>
                      <w:kern w:val="0"/>
                      <w:sz w:val="21"/>
                      <w:szCs w:val="21"/>
                      <w:lang w:val="en-US" w:eastAsia="zh-CN" w:bidi="ar-SA"/>
                    </w:rPr>
                  </w:pPr>
                  <w:r>
                    <w:rPr>
                      <w:rFonts w:hint="eastAsia" w:ascii="宋体" w:hAnsi="宋体" w:cs="宋体"/>
                      <w:color w:val="auto"/>
                      <w:kern w:val="0"/>
                      <w:sz w:val="21"/>
                      <w:szCs w:val="21"/>
                      <w:highlight w:val="none"/>
                      <w:lang w:val="en-US" w:eastAsia="zh-CN"/>
                    </w:rPr>
                    <w:t>高速低温组织研磨仪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宋体" w:hAnsi="宋体" w:cs="宋体"/>
                      <w:color w:val="auto"/>
                      <w:kern w:val="0"/>
                      <w:sz w:val="21"/>
                      <w:szCs w:val="21"/>
                      <w:highlight w:val="none"/>
                      <w:lang w:val="en-US" w:eastAsia="zh-CN"/>
                    </w:rPr>
                    <w:t>组织研磨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53</w:t>
                  </w:r>
                </w:p>
              </w:tc>
              <w:tc>
                <w:tcPr>
                  <w:tcW w:w="213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highlight w:val="none"/>
                      <w:lang w:eastAsia="zh-CN"/>
                    </w:rPr>
                    <w:t>电子天平</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万分之一</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物质称量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21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百分之一</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rPr>
                  </w:pPr>
                  <w:r>
                    <w:rPr>
                      <w:rFonts w:hint="eastAsia" w:cs="Times New Roman" w:eastAsiaTheme="minorEastAsia"/>
                      <w:color w:val="auto"/>
                      <w:kern w:val="0"/>
                      <w:sz w:val="21"/>
                      <w:szCs w:val="21"/>
                      <w:lang w:val="en-US" w:eastAsia="zh-CN"/>
                    </w:rPr>
                    <w:t>物质称量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w:t>
                  </w:r>
                </w:p>
              </w:tc>
              <w:tc>
                <w:tcPr>
                  <w:tcW w:w="2131"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highlight w:val="none"/>
                      <w:vertAlign w:val="baseline"/>
                      <w:lang w:val="en-US" w:eastAsia="zh-CN"/>
                    </w:rPr>
                    <w:t>低温高速离心机</w:t>
                  </w:r>
                </w:p>
              </w:tc>
              <w:tc>
                <w:tcPr>
                  <w:tcW w:w="1230"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Eppendor</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ascii="Times New Roman" w:hAnsi="Times New Roman" w:eastAsia="宋体" w:cs="Times New Roman"/>
                      <w:color w:val="auto"/>
                      <w:kern w:val="2"/>
                      <w:sz w:val="21"/>
                      <w:szCs w:val="21"/>
                      <w:lang w:val="en-US" w:eastAsia="zh-CN" w:bidi="ar-SA"/>
                    </w:rPr>
                  </w:pPr>
                  <w:r>
                    <w:rPr>
                      <w:rFonts w:hint="eastAsia" w:cs="Times New Roman"/>
                      <w:b w:val="0"/>
                      <w:bCs w:val="0"/>
                      <w:color w:val="auto"/>
                      <w:sz w:val="21"/>
                      <w:szCs w:val="21"/>
                      <w:highlight w:val="none"/>
                      <w:vertAlign w:val="baseline"/>
                      <w:lang w:val="en-US" w:eastAsia="zh-CN"/>
                    </w:rPr>
                    <w:t>f5424R</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利用离心力分离固体颗粒或液体与液体。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eastAsia="zh-CN"/>
                    </w:rPr>
                  </w:pPr>
                  <w:r>
                    <w:rPr>
                      <w:rFonts w:hint="eastAsia" w:ascii="Times New Roman" w:hAnsi="Times New Roman" w:cs="Times New Roman" w:eastAsiaTheme="minorEastAsia"/>
                      <w:color w:val="auto"/>
                      <w:kern w:val="0"/>
                      <w:sz w:val="21"/>
                      <w:szCs w:val="21"/>
                      <w:lang w:val="en-US" w:eastAsia="zh-CN"/>
                    </w:rPr>
                    <w:t>超低温冰箱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sz w:val="21"/>
                      <w:szCs w:val="21"/>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w:t>
                  </w:r>
                </w:p>
              </w:tc>
              <w:tc>
                <w:tcPr>
                  <w:tcW w:w="1017"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样本储藏间</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用于保存</w:t>
                  </w:r>
                  <w:r>
                    <w:rPr>
                      <w:rFonts w:hint="default" w:ascii="Times New Roman" w:hAnsi="Times New Roman" w:cs="Times New Roman" w:eastAsiaTheme="minorEastAsia"/>
                      <w:color w:val="auto"/>
                      <w:kern w:val="0"/>
                      <w:sz w:val="21"/>
                      <w:szCs w:val="21"/>
                      <w:lang w:val="en-US" w:eastAsia="zh-CN"/>
                    </w:rPr>
                    <w:t>低温试验</w:t>
                  </w:r>
                  <w:r>
                    <w:rPr>
                      <w:rFonts w:hint="eastAsia" w:ascii="Times New Roman" w:hAnsi="Times New Roman" w:cs="Times New Roman" w:eastAsiaTheme="minorEastAsia"/>
                      <w:color w:val="auto"/>
                      <w:kern w:val="0"/>
                      <w:sz w:val="21"/>
                      <w:szCs w:val="21"/>
                      <w:lang w:val="en-US" w:eastAsia="zh-CN"/>
                    </w:rPr>
                    <w:t>的</w:t>
                  </w:r>
                  <w:r>
                    <w:rPr>
                      <w:rFonts w:hint="default" w:ascii="Times New Roman" w:hAnsi="Times New Roman" w:cs="Times New Roman" w:eastAsiaTheme="minorEastAsia"/>
                      <w:color w:val="auto"/>
                      <w:kern w:val="0"/>
                      <w:sz w:val="21"/>
                      <w:szCs w:val="21"/>
                      <w:lang w:val="en-US" w:eastAsia="zh-CN"/>
                    </w:rPr>
                    <w:t>血浆、生物材料、试剂、生物制品、化学试剂、菌种、生物样本等</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2131"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eastAsia" w:ascii="Times New Roman" w:hAnsi="Times New Roman" w:cs="Times New Roman" w:eastAsiaTheme="minorEastAsia"/>
                      <w:color w:val="auto"/>
                      <w:kern w:val="0"/>
                      <w:sz w:val="21"/>
                      <w:szCs w:val="21"/>
                      <w:lang w:val="en-US" w:eastAsia="zh-CN"/>
                    </w:rPr>
                  </w:pPr>
                  <w:r>
                    <w:rPr>
                      <w:color w:val="auto"/>
                      <w:sz w:val="21"/>
                      <w:szCs w:val="21"/>
                      <w:highlight w:val="none"/>
                    </w:rPr>
                    <w:t>高压蒸汽灭菌锅</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color w:val="auto"/>
                      <w:sz w:val="21"/>
                      <w:szCs w:val="21"/>
                      <w:lang w:eastAsia="zh-CN"/>
                    </w:rPr>
                  </w:pPr>
                  <w:r>
                    <w:rPr>
                      <w:color w:val="auto"/>
                      <w:sz w:val="21"/>
                      <w:szCs w:val="21"/>
                      <w:highlight w:val="none"/>
                    </w:rPr>
                    <w:t>灭菌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57</w:t>
                  </w:r>
                </w:p>
              </w:tc>
              <w:tc>
                <w:tcPr>
                  <w:tcW w:w="213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rPr>
                      <w:rFonts w:hint="eastAsia" w:ascii="Times New Roman" w:hAnsi="Times New Roman" w:cs="Times New Roman" w:eastAsiaTheme="minorEastAsia"/>
                      <w:color w:val="auto"/>
                      <w:kern w:val="0"/>
                      <w:sz w:val="21"/>
                      <w:szCs w:val="21"/>
                      <w:lang w:val="en-US" w:eastAsia="zh-CN"/>
                    </w:rPr>
                  </w:pPr>
                  <w:r>
                    <w:rPr>
                      <w:rFonts w:hint="eastAsia"/>
                      <w:color w:val="auto"/>
                      <w:sz w:val="21"/>
                      <w:szCs w:val="21"/>
                      <w:highlight w:val="none"/>
                      <w:lang w:val="en-US" w:eastAsia="zh-CN"/>
                    </w:rPr>
                    <w:t>压力锅</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olor w:val="auto"/>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highlight w:val="none"/>
                      <w:lang w:val="en-US" w:eastAsia="zh-CN"/>
                    </w:rPr>
                  </w:pPr>
                  <w:r>
                    <w:rPr>
                      <w:rFonts w:hint="eastAsia" w:ascii="Times New Roman" w:hAnsi="Times New Roman" w:cs="Times New Roman" w:eastAsiaTheme="minorEastAsia"/>
                      <w:color w:val="auto"/>
                      <w:kern w:val="0"/>
                      <w:sz w:val="21"/>
                      <w:szCs w:val="21"/>
                      <w:lang w:val="en-US" w:eastAsia="zh-CN"/>
                    </w:rPr>
                    <w:t>生化培养箱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SPX-350B</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rPr>
                  </w:pPr>
                  <w:r>
                    <w:rPr>
                      <w:rFonts w:hint="default" w:ascii="Times New Roman" w:hAnsi="Times New Roman" w:cs="Times New Roman" w:eastAsiaTheme="minorEastAsia"/>
                      <w:color w:val="auto"/>
                      <w:kern w:val="0"/>
                      <w:sz w:val="21"/>
                      <w:szCs w:val="21"/>
                      <w:lang w:val="en-US" w:eastAsia="zh-CN"/>
                    </w:rPr>
                    <w:t>细菌/霉菌/微生物的培养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二级生物安全柜</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BHC-13002B2</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空气净化负压安全装置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减压阀</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2</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调节压力，稳定阀门</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w:t>
                  </w:r>
                </w:p>
              </w:tc>
              <w:tc>
                <w:tcPr>
                  <w:tcW w:w="21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宋体" w:hAnsi="宋体" w:cs="宋体"/>
                      <w:color w:val="auto"/>
                      <w:kern w:val="0"/>
                      <w:sz w:val="21"/>
                      <w:szCs w:val="21"/>
                      <w:highlight w:val="none"/>
                      <w:lang w:val="en-US" w:eastAsia="zh-CN"/>
                    </w:rPr>
                  </w:pPr>
                  <w:r>
                    <w:rPr>
                      <w:rFonts w:hint="eastAsia" w:ascii="Times New Roman" w:hAnsi="Times New Roman" w:cs="Times New Roman" w:eastAsiaTheme="minorEastAsia"/>
                      <w:color w:val="auto"/>
                      <w:kern w:val="0"/>
                      <w:sz w:val="21"/>
                      <w:szCs w:val="21"/>
                      <w:lang w:val="en-US" w:eastAsia="zh-CN"/>
                    </w:rPr>
                    <w:t>微型台式真空泵</w:t>
                  </w:r>
                </w:p>
              </w:tc>
              <w:tc>
                <w:tcPr>
                  <w:tcW w:w="123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GL-802B</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用于离心后上清液和沉淀物的提取</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21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sz w:val="21"/>
                      <w:szCs w:val="21"/>
                    </w:rPr>
                  </w:pPr>
                </w:p>
              </w:tc>
              <w:tc>
                <w:tcPr>
                  <w:tcW w:w="12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color w:val="auto"/>
                      <w:sz w:val="21"/>
                      <w:szCs w:val="21"/>
                    </w:rPr>
                  </w:pP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细胞房2</w:t>
                  </w: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color w:val="auto"/>
                      <w:sz w:val="21"/>
                      <w:szCs w:val="21"/>
                      <w:lang w:val="en-US" w:eastAsia="zh-CN"/>
                    </w:rPr>
                  </w:pPr>
                  <w:r>
                    <w:rPr>
                      <w:rFonts w:hint="eastAsia" w:cs="Times New Roman" w:eastAsiaTheme="minorEastAsia"/>
                      <w:color w:val="auto"/>
                      <w:kern w:val="0"/>
                      <w:sz w:val="21"/>
                      <w:szCs w:val="21"/>
                      <w:lang w:val="en-US" w:eastAsia="zh-CN"/>
                    </w:rPr>
                    <w:t>普通冰箱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储存细胞实验的样本、试剂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63</w:t>
                  </w:r>
                </w:p>
              </w:tc>
              <w:tc>
                <w:tcPr>
                  <w:tcW w:w="21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color w:val="auto"/>
                      <w:sz w:val="21"/>
                      <w:szCs w:val="21"/>
                      <w:lang w:val="en-US" w:eastAsia="zh-CN"/>
                    </w:rPr>
                  </w:pPr>
                  <w:r>
                    <w:rPr>
                      <w:rFonts w:hint="eastAsia" w:ascii="宋体" w:hAnsi="宋体" w:cs="宋体"/>
                      <w:color w:val="auto"/>
                      <w:kern w:val="0"/>
                      <w:sz w:val="21"/>
                      <w:szCs w:val="21"/>
                      <w:highlight w:val="none"/>
                      <w:lang w:bidi="ar"/>
                    </w:rPr>
                    <w:t>细胞培养箱</w:t>
                  </w:r>
                </w:p>
              </w:tc>
              <w:tc>
                <w:tcPr>
                  <w:tcW w:w="123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细胞房2</w:t>
                  </w: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宋体" w:hAnsi="宋体" w:cs="宋体"/>
                      <w:color w:val="auto"/>
                      <w:kern w:val="0"/>
                      <w:sz w:val="21"/>
                      <w:szCs w:val="21"/>
                      <w:highlight w:val="none"/>
                      <w:lang w:bidi="ar"/>
                    </w:rPr>
                    <w:t>细胞培养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64</w:t>
                  </w:r>
                </w:p>
              </w:tc>
              <w:tc>
                <w:tcPr>
                  <w:tcW w:w="21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宋体" w:hAnsi="宋体" w:cs="宋体"/>
                      <w:b w:val="0"/>
                      <w:bCs w:val="0"/>
                      <w:color w:val="auto"/>
                      <w:kern w:val="0"/>
                      <w:sz w:val="21"/>
                      <w:szCs w:val="21"/>
                      <w:highlight w:val="none"/>
                      <w:lang w:val="en-US" w:eastAsia="zh-CN"/>
                    </w:rPr>
                  </w:pPr>
                </w:p>
              </w:tc>
              <w:tc>
                <w:tcPr>
                  <w:tcW w:w="12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eastAsia="zh-CN"/>
                    </w:rPr>
                    <w:t>超净台</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细胞房2</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实验工作台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66</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离心机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eastAsiaTheme="minorEastAsia"/>
                      <w:color w:val="auto"/>
                      <w:kern w:val="0"/>
                      <w:sz w:val="21"/>
                      <w:szCs w:val="21"/>
                      <w:lang w:val="en-US" w:eastAsia="zh-CN"/>
                    </w:rPr>
                    <w:t>3</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s="Times New Roman" w:eastAsiaTheme="minorEastAsia"/>
                      <w:color w:val="auto"/>
                      <w:kern w:val="0"/>
                      <w:sz w:val="21"/>
                      <w:szCs w:val="21"/>
                      <w:lang w:val="en-US" w:eastAsia="zh-CN"/>
                    </w:rPr>
                    <w:t>细胞房1</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利用离心力</w:t>
                  </w:r>
                  <w:r>
                    <w:rPr>
                      <w:rFonts w:hint="eastAsia" w:cs="Times New Roman" w:eastAsiaTheme="minorEastAsia"/>
                      <w:color w:val="auto"/>
                      <w:kern w:val="0"/>
                      <w:sz w:val="21"/>
                      <w:szCs w:val="21"/>
                      <w:lang w:val="en-US" w:eastAsia="zh-CN"/>
                    </w:rPr>
                    <w:t>分离</w:t>
                  </w:r>
                  <w:r>
                    <w:rPr>
                      <w:rFonts w:hint="default" w:ascii="Times New Roman" w:hAnsi="Times New Roman" w:cs="Times New Roman" w:eastAsiaTheme="minorEastAsia"/>
                      <w:color w:val="auto"/>
                      <w:kern w:val="0"/>
                      <w:sz w:val="21"/>
                      <w:szCs w:val="21"/>
                      <w:lang w:val="en-US" w:eastAsia="zh-CN"/>
                    </w:rPr>
                    <w:t>固体颗粒或液体与液体</w:t>
                  </w:r>
                  <w:r>
                    <w:rPr>
                      <w:rFonts w:hint="eastAsia" w:cs="Times New Roman" w:eastAsiaTheme="minorEastAsia"/>
                      <w:color w:val="auto"/>
                      <w:kern w:val="0"/>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67</w:t>
                  </w:r>
                </w:p>
              </w:tc>
              <w:tc>
                <w:tcPr>
                  <w:tcW w:w="2131"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ascii="宋体" w:hAnsi="宋体" w:cs="宋体"/>
                      <w:color w:val="auto"/>
                      <w:kern w:val="0"/>
                      <w:sz w:val="21"/>
                      <w:szCs w:val="21"/>
                      <w:highlight w:val="none"/>
                      <w:lang w:bidi="ar"/>
                    </w:rPr>
                    <w:t>细胞计数仪</w:t>
                  </w:r>
                </w:p>
              </w:tc>
              <w:tc>
                <w:tcPr>
                  <w:tcW w:w="1230"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细胞房1</w:t>
                  </w:r>
                </w:p>
              </w:tc>
              <w:tc>
                <w:tcPr>
                  <w:tcW w:w="2574"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eastAsia="zh-CN"/>
                    </w:rPr>
                    <w:t>细胞实验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1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p>
              </w:tc>
              <w:tc>
                <w:tcPr>
                  <w:tcW w:w="2131"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p>
              </w:tc>
              <w:tc>
                <w:tcPr>
                  <w:tcW w:w="1230"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细胞房2</w:t>
                  </w:r>
                </w:p>
              </w:tc>
              <w:tc>
                <w:tcPr>
                  <w:tcW w:w="2574"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68</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rPr>
                      <w:color w:val="auto"/>
                      <w:sz w:val="21"/>
                      <w:szCs w:val="21"/>
                    </w:rPr>
                  </w:pPr>
                  <w:r>
                    <w:rPr>
                      <w:rFonts w:hint="eastAsia" w:ascii="宋体" w:hAnsi="宋体" w:cs="宋体"/>
                      <w:color w:val="auto"/>
                      <w:kern w:val="0"/>
                      <w:sz w:val="21"/>
                      <w:szCs w:val="21"/>
                      <w:highlight w:val="none"/>
                      <w:lang w:bidi="ar"/>
                    </w:rPr>
                    <w:t>液氮罐</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100L</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细胞房3</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液氮储存罐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69</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宋体" w:hAnsi="宋体" w:cs="宋体"/>
                      <w:color w:val="auto"/>
                      <w:kern w:val="0"/>
                      <w:sz w:val="21"/>
                      <w:szCs w:val="21"/>
                      <w:highlight w:val="none"/>
                      <w:lang w:bidi="ar"/>
                    </w:rPr>
                  </w:pPr>
                  <w:r>
                    <w:rPr>
                      <w:rFonts w:hint="eastAsia" w:cs="Times New Roman" w:eastAsiaTheme="minorEastAsia"/>
                      <w:color w:val="auto"/>
                      <w:kern w:val="0"/>
                      <w:sz w:val="21"/>
                      <w:szCs w:val="21"/>
                      <w:lang w:val="en-US" w:eastAsia="zh-CN"/>
                    </w:rPr>
                    <w:t>细胞流式仪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细胞房3</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细胞分析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动物饮水机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洗消前室</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动物饮水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净水机</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60L/h</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洗消前室</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动物饮水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72</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移液枪</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60</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各实验室</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微量液体移取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73</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普通</w:t>
                  </w:r>
                  <w:r>
                    <w:rPr>
                      <w:rFonts w:hint="eastAsia" w:ascii="Times New Roman" w:hAnsi="Times New Roman" w:cs="Times New Roman" w:eastAsiaTheme="minorEastAsia"/>
                      <w:color w:val="auto"/>
                      <w:kern w:val="0"/>
                      <w:sz w:val="21"/>
                      <w:szCs w:val="21"/>
                      <w:lang w:val="en-US" w:eastAsia="zh-CN"/>
                    </w:rPr>
                    <w:t>冰箱</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s="Times New Roman" w:eastAsiaTheme="minorEastAsia"/>
                      <w:color w:val="auto"/>
                      <w:kern w:val="0"/>
                      <w:sz w:val="21"/>
                      <w:szCs w:val="21"/>
                      <w:lang w:val="en-US" w:eastAsia="zh-CN"/>
                    </w:rPr>
                    <w:t>危废暂存间</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ascii="Times New Roman" w:hAnsi="Times New Roman" w:cs="Times New Roman" w:eastAsiaTheme="minorEastAsia"/>
                      <w:color w:val="auto"/>
                      <w:kern w:val="0"/>
                      <w:sz w:val="21"/>
                      <w:szCs w:val="21"/>
                      <w:lang w:val="en-US" w:eastAsia="zh-CN"/>
                    </w:rPr>
                    <w:t>用于保存</w:t>
                  </w:r>
                  <w:r>
                    <w:rPr>
                      <w:rFonts w:hint="eastAsia" w:cs="Times New Roman" w:eastAsiaTheme="minorEastAsia"/>
                      <w:color w:val="auto"/>
                      <w:kern w:val="0"/>
                      <w:sz w:val="21"/>
                      <w:szCs w:val="21"/>
                      <w:lang w:val="en-US" w:eastAsia="zh-CN"/>
                    </w:rPr>
                    <w:t>动物实验尸体。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74</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压力蒸汽灭菌器</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ascii="Times New Roman" w:hAnsi="Times New Roman" w:cs="Times New Roman" w:eastAsiaTheme="minorEastAsia"/>
                      <w:color w:val="auto"/>
                      <w:kern w:val="0"/>
                      <w:sz w:val="21"/>
                      <w:szCs w:val="21"/>
                      <w:lang w:val="en-US" w:eastAsia="zh-CN"/>
                    </w:rPr>
                    <w:t>BKQ-Z450H，450L</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olor w:val="auto"/>
                      <w:sz w:val="21"/>
                      <w:szCs w:val="21"/>
                      <w:lang w:val="en-US" w:eastAsia="zh-CN"/>
                    </w:rPr>
                    <w:t>洗消前室</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灭菌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 w:hRule="atLeast"/>
                <w:jc w:val="center"/>
              </w:trPr>
              <w:tc>
                <w:tcPr>
                  <w:tcW w:w="71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75</w:t>
                  </w:r>
                </w:p>
              </w:tc>
              <w:tc>
                <w:tcPr>
                  <w:tcW w:w="2131"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过滤+消毒污水设备</w:t>
                  </w:r>
                </w:p>
              </w:tc>
              <w:tc>
                <w:tcPr>
                  <w:tcW w:w="1230"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1m</w:t>
                  </w:r>
                  <w:r>
                    <w:rPr>
                      <w:rFonts w:hint="eastAsia" w:cs="Times New Roman" w:eastAsiaTheme="minorEastAsia"/>
                      <w:color w:val="auto"/>
                      <w:kern w:val="0"/>
                      <w:sz w:val="21"/>
                      <w:szCs w:val="21"/>
                      <w:vertAlign w:val="superscript"/>
                      <w:lang w:val="en-US" w:eastAsia="zh-CN"/>
                    </w:rPr>
                    <w:t>3</w:t>
                  </w:r>
                  <w:r>
                    <w:rPr>
                      <w:rFonts w:hint="eastAsia" w:cs="Times New Roman" w:eastAsiaTheme="minorEastAsia"/>
                      <w:color w:val="auto"/>
                      <w:kern w:val="0"/>
                      <w:sz w:val="21"/>
                      <w:szCs w:val="21"/>
                      <w:lang w:val="en-US" w:eastAsia="zh-CN"/>
                    </w:rPr>
                    <w:t>/h</w:t>
                  </w:r>
                </w:p>
              </w:tc>
              <w:tc>
                <w:tcPr>
                  <w:tcW w:w="69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w:t>
                  </w:r>
                </w:p>
              </w:tc>
              <w:tc>
                <w:tcPr>
                  <w:tcW w:w="101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三楼公共设备间</w:t>
                  </w:r>
                </w:p>
              </w:tc>
              <w:tc>
                <w:tcPr>
                  <w:tcW w:w="2574"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废水消毒</w:t>
                  </w:r>
                </w:p>
              </w:tc>
            </w:tr>
          </w:tbl>
          <w:p>
            <w:pPr>
              <w:pStyle w:val="4"/>
              <w:bidi w:val="0"/>
              <w:rPr>
                <w:rFonts w:hint="default"/>
                <w:color w:val="auto"/>
                <w:lang w:val="en-US"/>
              </w:rPr>
            </w:pPr>
            <w:r>
              <w:rPr>
                <w:rFonts w:hint="eastAsia"/>
                <w:color w:val="auto"/>
                <w:lang w:val="en-US" w:eastAsia="zh-CN"/>
              </w:rPr>
              <w:t>2.2.4原辅材料</w:t>
            </w:r>
          </w:p>
          <w:p>
            <w:pPr>
              <w:spacing w:line="360" w:lineRule="auto"/>
              <w:ind w:firstLine="480" w:firstLineChars="200"/>
              <w:rPr>
                <w:color w:val="auto"/>
              </w:rPr>
            </w:pPr>
            <w:r>
              <w:rPr>
                <w:rFonts w:hint="eastAsia"/>
                <w:color w:val="auto"/>
              </w:rPr>
              <w:t>本项目</w:t>
            </w:r>
            <w:r>
              <w:rPr>
                <w:rFonts w:hint="eastAsia"/>
                <w:color w:val="auto"/>
                <w:lang w:val="en-US" w:eastAsia="zh-CN"/>
              </w:rPr>
              <w:t>主要原辅材料消耗情况见下表，</w:t>
            </w:r>
            <w:r>
              <w:rPr>
                <w:rFonts w:hint="eastAsia"/>
                <w:color w:val="auto"/>
              </w:rPr>
              <w:t>来源均为外购</w:t>
            </w:r>
            <w:r>
              <w:rPr>
                <w:rFonts w:hint="eastAsia"/>
                <w:color w:val="auto"/>
                <w:lang w:val="en-US" w:eastAsia="zh-CN"/>
              </w:rPr>
              <w:t>。有机试剂、无机试剂均暂存于病理实验室试剂柜，少量暂存于病理实验室操作台上。</w:t>
            </w:r>
            <w:r>
              <w:rPr>
                <w:rFonts w:hint="default" w:ascii="Times New Roman" w:hAnsi="Times New Roman" w:cs="Times New Roman" w:eastAsiaTheme="minorEastAsia"/>
                <w:color w:val="auto"/>
                <w:kern w:val="0"/>
                <w:sz w:val="24"/>
                <w:szCs w:val="24"/>
                <w:highlight w:val="none"/>
                <w:lang w:val="en-US" w:eastAsia="zh-CN"/>
              </w:rPr>
              <w:t>RT-qPCR相对定量实验</w:t>
            </w:r>
            <w:r>
              <w:rPr>
                <w:rFonts w:hint="eastAsia" w:ascii="Times New Roman" w:hAnsi="Times New Roman" w:cs="Times New Roman" w:eastAsiaTheme="minorEastAsia"/>
                <w:color w:val="auto"/>
                <w:kern w:val="0"/>
                <w:sz w:val="24"/>
                <w:szCs w:val="24"/>
                <w:highlight w:val="none"/>
                <w:lang w:val="en-US" w:eastAsia="zh-CN"/>
              </w:rPr>
              <w:t>、</w:t>
            </w:r>
            <w:r>
              <w:rPr>
                <w:rFonts w:hint="default" w:ascii="Times New Roman" w:hAnsi="Times New Roman" w:cs="Times New Roman" w:eastAsiaTheme="minorEastAsia"/>
                <w:color w:val="auto"/>
                <w:kern w:val="0"/>
                <w:sz w:val="24"/>
                <w:szCs w:val="24"/>
                <w:highlight w:val="none"/>
                <w:lang w:val="en-US" w:eastAsia="zh-CN"/>
              </w:rPr>
              <w:t>Western Blot检测</w:t>
            </w:r>
            <w:r>
              <w:rPr>
                <w:rFonts w:hint="eastAsia" w:ascii="Times New Roman" w:hAnsi="Times New Roman" w:cs="Times New Roman" w:eastAsiaTheme="minorEastAsia"/>
                <w:color w:val="auto"/>
                <w:kern w:val="0"/>
                <w:sz w:val="24"/>
                <w:szCs w:val="24"/>
                <w:highlight w:val="none"/>
                <w:lang w:val="en-US" w:eastAsia="zh-CN"/>
              </w:rPr>
              <w:t>中用到的蛋白质、核酸</w:t>
            </w:r>
            <w:r>
              <w:rPr>
                <w:rFonts w:hint="eastAsia"/>
                <w:color w:val="auto"/>
                <w:sz w:val="24"/>
                <w:szCs w:val="24"/>
                <w:lang w:val="en-US" w:eastAsia="zh-CN"/>
              </w:rPr>
              <w:t>检测试剂暂存于病理实验室冰箱。细胞实验培养基等原材料暂存于细胞实验室冰箱内。</w:t>
            </w:r>
          </w:p>
          <w:p>
            <w:pPr>
              <w:pStyle w:val="7"/>
              <w:bidi w:val="0"/>
              <w:rPr>
                <w:color w:val="auto"/>
              </w:rPr>
            </w:pPr>
            <w:r>
              <w:rPr>
                <w:color w:val="auto"/>
              </w:rPr>
              <w:t>表</w:t>
            </w:r>
            <w:r>
              <w:rPr>
                <w:rFonts w:hint="eastAsia"/>
                <w:color w:val="auto"/>
                <w:lang w:val="en-US" w:eastAsia="zh-CN"/>
              </w:rPr>
              <w:t>2-5</w:t>
            </w:r>
            <w:r>
              <w:rPr>
                <w:color w:val="auto"/>
              </w:rPr>
              <w:t xml:space="preserve">   </w:t>
            </w:r>
            <w:r>
              <w:rPr>
                <w:rFonts w:hint="eastAsia"/>
                <w:color w:val="auto"/>
                <w:lang w:val="en-US" w:eastAsia="zh-CN"/>
              </w:rPr>
              <w:t>原辅材料</w:t>
            </w:r>
            <w:r>
              <w:rPr>
                <w:rFonts w:hint="eastAsia"/>
                <w:color w:val="auto"/>
              </w:rPr>
              <w:t>消耗情况</w:t>
            </w:r>
            <w:r>
              <w:rPr>
                <w:color w:val="auto"/>
              </w:rPr>
              <w:t>一览表</w:t>
            </w:r>
            <w:bookmarkStart w:id="3" w:name="_Toc258830134"/>
            <w:bookmarkStart w:id="4" w:name="_Toc193169547"/>
          </w:p>
          <w:bookmarkEnd w:id="3"/>
          <w:bookmarkEnd w:id="4"/>
          <w:tbl>
            <w:tblPr>
              <w:tblStyle w:val="29"/>
              <w:tblW w:w="84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
              <w:gridCol w:w="1885"/>
              <w:gridCol w:w="1211"/>
              <w:gridCol w:w="1050"/>
              <w:gridCol w:w="1104"/>
              <w:gridCol w:w="1088"/>
              <w:gridCol w:w="16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原料名称</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包装方式</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用量（</w:t>
                  </w:r>
                  <w:r>
                    <w:rPr>
                      <w:rFonts w:hint="default" w:ascii="Times New Roman" w:hAnsi="Times New Roman" w:cs="Times New Roman" w:eastAsiaTheme="minorEastAsia"/>
                      <w:b/>
                      <w:bCs/>
                      <w:color w:val="auto"/>
                      <w:sz w:val="21"/>
                      <w:szCs w:val="21"/>
                      <w:lang w:val="en-US" w:eastAsia="zh-CN"/>
                    </w:rPr>
                    <w:t>/</w:t>
                  </w:r>
                  <w:r>
                    <w:rPr>
                      <w:rFonts w:hint="default" w:ascii="Times New Roman" w:hAnsi="Times New Roman" w:cs="Times New Roman" w:eastAsiaTheme="minorEastAsia"/>
                      <w:b/>
                      <w:bCs/>
                      <w:color w:val="auto"/>
                      <w:sz w:val="21"/>
                      <w:szCs w:val="21"/>
                    </w:rPr>
                    <w:t>年）</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厂内最大贮存量</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存放位置</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rPr>
                  </w:pPr>
                  <w:r>
                    <w:rPr>
                      <w:rFonts w:hint="eastAsia"/>
                      <w:color w:val="auto"/>
                      <w:sz w:val="21"/>
                      <w:szCs w:val="21"/>
                      <w:lang w:val="en-US" w:eastAsia="zh-CN"/>
                    </w:rPr>
                    <w:t>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细胞培养板</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1500个</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300个</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仓库</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细胞培养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二氧化碳气瓶</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40L钢瓶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样本储藏室</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细胞培养箱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3</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氮气气瓶</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40L钢瓶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样本储藏室</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组织研磨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4</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color w:val="auto"/>
                      <w:sz w:val="21"/>
                      <w:szCs w:val="21"/>
                    </w:rPr>
                    <w:t>无水乙醇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17桶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3桶</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病理实验室试剂柜、操作台</w:t>
                  </w: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HE染色实验报告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5</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color w:val="auto"/>
                      <w:sz w:val="21"/>
                      <w:szCs w:val="21"/>
                    </w:rPr>
                    <w:t>二甲苯</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伊红</w:t>
                  </w:r>
                  <w:r>
                    <w:rPr>
                      <w:rFonts w:hint="default" w:ascii="Times New Roman" w:hAnsi="Times New Roman" w:cs="Times New Roman" w:eastAsiaTheme="minorEastAsia"/>
                      <w:color w:val="auto"/>
                      <w:sz w:val="21"/>
                      <w:szCs w:val="21"/>
                    </w:rPr>
                    <w:t>染液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苏木素染液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8</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分化液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9</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color w:val="auto"/>
                      <w:kern w:val="2"/>
                      <w:sz w:val="21"/>
                      <w:szCs w:val="21"/>
                      <w:lang w:val="en-US" w:eastAsia="zh-CN" w:bidi="ar-SA"/>
                    </w:rPr>
                  </w:pPr>
                  <w:r>
                    <w:rPr>
                      <w:rFonts w:hint="default" w:ascii="Times New Roman" w:hAnsi="Times New Roman" w:cs="Times New Roman" w:eastAsiaTheme="minorEastAsia"/>
                      <w:bCs/>
                      <w:color w:val="auto"/>
                      <w:sz w:val="21"/>
                      <w:szCs w:val="21"/>
                    </w:rPr>
                    <w:t>中性树胶</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36瓶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10</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琼脂糖</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100g/瓶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病理实验室冰箱</w:t>
                  </w: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RT-qPCR相对定量实验报告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rPr>
                    <w:t xml:space="preserve"> 总 RNA 提取试剂</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24支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12</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rPr>
                    <w:t>6×</w:t>
                  </w:r>
                  <w:r>
                    <w:rPr>
                      <w:rFonts w:hint="eastAsia" w:cs="Times New Roman" w:eastAsiaTheme="minorEastAsia"/>
                      <w:color w:val="auto"/>
                      <w:sz w:val="21"/>
                      <w:szCs w:val="21"/>
                      <w:shd w:val="clear" w:color="auto" w:fill="FFFFFF"/>
                      <w:lang w:eastAsia="zh-CN"/>
                    </w:rPr>
                    <w:t>核酸点样缓冲液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15支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13</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kern w:val="2"/>
                      <w:sz w:val="21"/>
                      <w:szCs w:val="21"/>
                      <w:shd w:val="clear" w:color="auto" w:fill="FFFFFF"/>
                      <w:lang w:val="en-US" w:eastAsia="zh-CN" w:bidi="ar-SA"/>
                    </w:rPr>
                    <w:t>核酸标准品</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14</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kern w:val="2"/>
                      <w:sz w:val="21"/>
                      <w:szCs w:val="21"/>
                      <w:shd w:val="clear" w:color="auto" w:fill="FFFFFF"/>
                      <w:lang w:val="en-US" w:eastAsia="zh-CN" w:bidi="ar-SA"/>
                    </w:rPr>
                    <w:t>核酸反转录试剂盒</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w:t>
                  </w:r>
                  <w:r>
                    <w:rPr>
                      <w:rFonts w:hint="eastAsia" w:cs="Times New Roman" w:eastAsiaTheme="minorEastAsia"/>
                      <w:color w:val="auto"/>
                      <w:kern w:val="2"/>
                      <w:sz w:val="21"/>
                      <w:szCs w:val="21"/>
                      <w:shd w:val="clear" w:color="auto" w:fill="FFFFFF"/>
                      <w:lang w:val="en-US" w:eastAsia="zh-CN" w:bidi="ar-SA"/>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r>
                    <w:rPr>
                      <w:rFonts w:hint="eastAsia" w:cs="Times New Roman" w:eastAsiaTheme="minorEastAsia"/>
                      <w:color w:val="auto"/>
                      <w:kern w:val="2"/>
                      <w:sz w:val="21"/>
                      <w:szCs w:val="21"/>
                      <w:shd w:val="clear" w:color="auto" w:fill="FFFFFF"/>
                      <w:lang w:val="en-US" w:eastAsia="zh-CN" w:bidi="ar-SA"/>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15</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kern w:val="2"/>
                      <w:sz w:val="21"/>
                      <w:szCs w:val="21"/>
                      <w:shd w:val="clear" w:color="auto" w:fill="FFFFFF"/>
                      <w:lang w:val="en-US" w:eastAsia="zh-CN" w:bidi="ar-SA"/>
                    </w:rPr>
                    <w:t>PCR荧光染料</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sz w:val="21"/>
                      <w:szCs w:val="21"/>
                      <w:shd w:val="clear" w:color="auto" w:fill="FFFFFF"/>
                      <w:lang w:val="en-US" w:eastAsia="zh-CN"/>
                    </w:rPr>
                    <w:t xml:space="preserve">0.1ml </w:t>
                  </w:r>
                  <w:r>
                    <w:rPr>
                      <w:rFonts w:hint="default" w:ascii="Times New Roman" w:hAnsi="Times New Roman" w:cs="Times New Roman" w:eastAsiaTheme="minorEastAsia"/>
                      <w:color w:val="auto"/>
                      <w:sz w:val="21"/>
                      <w:szCs w:val="21"/>
                      <w:shd w:val="clear" w:color="auto" w:fill="FFFFFF"/>
                    </w:rPr>
                    <w:t>96</w:t>
                  </w:r>
                  <w:r>
                    <w:rPr>
                      <w:rFonts w:hint="eastAsia" w:cs="Times New Roman" w:eastAsiaTheme="minorEastAsia"/>
                      <w:color w:val="auto"/>
                      <w:sz w:val="21"/>
                      <w:szCs w:val="21"/>
                      <w:shd w:val="clear" w:color="auto" w:fill="FFFFFF"/>
                      <w:lang w:eastAsia="zh-CN"/>
                    </w:rPr>
                    <w:t>孔光学反应板</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35支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2支</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分子实验室</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sz w:val="21"/>
                      <w:szCs w:val="21"/>
                      <w:shd w:val="clear" w:color="auto" w:fill="FFFFFF"/>
                      <w:lang w:val="en-US" w:eastAsia="zh-CN"/>
                    </w:rPr>
                    <w:t xml:space="preserve">0.2ml </w:t>
                  </w:r>
                  <w:r>
                    <w:rPr>
                      <w:rFonts w:hint="default" w:ascii="Times New Roman" w:hAnsi="Times New Roman" w:cs="Times New Roman" w:eastAsiaTheme="minorEastAsia"/>
                      <w:color w:val="auto"/>
                      <w:sz w:val="21"/>
                      <w:szCs w:val="21"/>
                      <w:shd w:val="clear" w:color="auto" w:fill="FFFFFF"/>
                    </w:rPr>
                    <w:t>96</w:t>
                  </w:r>
                  <w:r>
                    <w:rPr>
                      <w:rFonts w:hint="eastAsia" w:cs="Times New Roman" w:eastAsiaTheme="minorEastAsia"/>
                      <w:color w:val="auto"/>
                      <w:sz w:val="21"/>
                      <w:szCs w:val="21"/>
                      <w:shd w:val="clear" w:color="auto" w:fill="FFFFFF"/>
                      <w:lang w:eastAsia="zh-CN"/>
                    </w:rPr>
                    <w:t>孔光学反应板</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18</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eastAsia" w:cs="Times New Roman" w:eastAsiaTheme="minorEastAsia"/>
                      <w:color w:val="auto"/>
                      <w:kern w:val="2"/>
                      <w:sz w:val="21"/>
                      <w:szCs w:val="21"/>
                      <w:shd w:val="clear" w:color="auto" w:fill="FFFFFF"/>
                      <w:lang w:val="en-US" w:eastAsia="zh-CN" w:bidi="ar-SA"/>
                    </w:rPr>
                    <w:t>去酶水</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24支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5支</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病理实验室冰箱</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19</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rPr>
                    <w:t>异丙醇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20</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rPr>
                    <w:t>无水乙醇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kern w:val="2"/>
                      <w:sz w:val="21"/>
                      <w:szCs w:val="21"/>
                      <w:shd w:val="clear" w:color="auto" w:fill="FFFFFF"/>
                      <w:lang w:val="en-US" w:eastAsia="zh-CN" w:bidi="ar-SA"/>
                    </w:rPr>
                  </w:pPr>
                  <w:r>
                    <w:rPr>
                      <w:rFonts w:hint="default" w:ascii="Times New Roman" w:hAnsi="Times New Roman" w:cs="Times New Roman" w:eastAsiaTheme="minorEastAsia"/>
                      <w:color w:val="auto"/>
                      <w:sz w:val="21"/>
                      <w:szCs w:val="21"/>
                      <w:shd w:val="clear" w:color="auto" w:fill="FFFFFF"/>
                    </w:rPr>
                    <w:t>引物</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200管</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100管</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22</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RIPA裂解液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15瓶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33瓶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Western Blot检测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23</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BCA蛋白浓度测定试剂盒</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w:t>
                  </w:r>
                  <w:r>
                    <w:rPr>
                      <w:rFonts w:hint="default" w:ascii="Times New Roman" w:hAnsi="Times New Roman" w:cs="Times New Roman" w:eastAsiaTheme="minorEastAsia"/>
                      <w:b w:val="0"/>
                      <w:bCs w:val="0"/>
                      <w:color w:val="auto"/>
                      <w:sz w:val="21"/>
                      <w:szCs w:val="21"/>
                      <w:vertAlign w:val="baseline"/>
                      <w:lang w:val="en-US" w:eastAsia="zh-CN"/>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2</w:t>
                  </w:r>
                  <w:r>
                    <w:rPr>
                      <w:rFonts w:hint="default" w:ascii="Times New Roman" w:hAnsi="Times New Roman" w:cs="Times New Roman" w:eastAsiaTheme="minorEastAsia"/>
                      <w:b w:val="0"/>
                      <w:bCs w:val="0"/>
                      <w:color w:val="auto"/>
                      <w:sz w:val="21"/>
                      <w:szCs w:val="21"/>
                      <w:vertAlign w:val="baseline"/>
                      <w:lang w:val="en-US" w:eastAsia="zh-CN"/>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24</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5×蛋白上样缓冲液（含DTT）</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25</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SDS-PAGE凝胶制备试剂盒</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300</w:t>
                  </w:r>
                  <w:r>
                    <w:rPr>
                      <w:rFonts w:hint="default" w:ascii="Times New Roman" w:hAnsi="Times New Roman" w:cs="Times New Roman" w:eastAsiaTheme="minorEastAsia"/>
                      <w:b w:val="0"/>
                      <w:bCs w:val="0"/>
                      <w:color w:val="auto"/>
                      <w:sz w:val="21"/>
                      <w:szCs w:val="21"/>
                      <w:vertAlign w:val="baseline"/>
                      <w:lang w:val="en-US" w:eastAsia="zh-CN"/>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w:t>
                  </w:r>
                  <w:r>
                    <w:rPr>
                      <w:rFonts w:hint="default" w:ascii="Times New Roman" w:hAnsi="Times New Roman" w:cs="Times New Roman" w:eastAsiaTheme="minorEastAsia"/>
                      <w:b w:val="0"/>
                      <w:bCs w:val="0"/>
                      <w:color w:val="auto"/>
                      <w:sz w:val="21"/>
                      <w:szCs w:val="21"/>
                      <w:vertAlign w:val="baseline"/>
                      <w:lang w:val="en-US" w:eastAsia="zh-CN"/>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26</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彩虹245广谱蛋白Marker</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27</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ECL Plus超敏发光液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28</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一抗二抗</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color w:val="auto"/>
                      <w:sz w:val="21"/>
                      <w:szCs w:val="21"/>
                      <w:lang w:val="en-US" w:eastAsia="zh-CN"/>
                    </w:rPr>
                    <w:t>29</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10×</w:t>
                  </w:r>
                  <w:r>
                    <w:rPr>
                      <w:rFonts w:hint="eastAsia" w:cs="Times New Roman" w:eastAsiaTheme="minorEastAsia"/>
                      <w:b w:val="0"/>
                      <w:bCs w:val="0"/>
                      <w:color w:val="auto"/>
                      <w:sz w:val="21"/>
                      <w:szCs w:val="21"/>
                      <w:vertAlign w:val="baseline"/>
                      <w:lang w:val="en-US" w:eastAsia="zh-CN"/>
                    </w:rPr>
                    <w:t>等渗缓冲盐溶液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30</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5×Tris甘氨酸缓冲液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31</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cs="Times New Roman" w:eastAsiaTheme="minorEastAsia"/>
                      <w:b w:val="0"/>
                      <w:bCs w:val="0"/>
                      <w:color w:val="auto"/>
                      <w:sz w:val="21"/>
                      <w:szCs w:val="21"/>
                      <w:vertAlign w:val="baseline"/>
                      <w:lang w:val="en-US" w:eastAsia="zh-CN"/>
                    </w:rPr>
                    <w:t>电泳试剂盒（分离胶、浓缩胶、缓冲液）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100</w:t>
                  </w:r>
                  <w:r>
                    <w:rPr>
                      <w:rFonts w:hint="eastAsia" w:cs="Times New Roman" w:eastAsiaTheme="minorEastAsia"/>
                      <w:b w:val="0"/>
                      <w:bCs w:val="0"/>
                      <w:color w:val="auto"/>
                      <w:sz w:val="21"/>
                      <w:szCs w:val="21"/>
                      <w:vertAlign w:val="baseline"/>
                      <w:lang w:val="en-US" w:eastAsia="zh-CN"/>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75</w:t>
                  </w:r>
                  <w:r>
                    <w:rPr>
                      <w:rFonts w:hint="eastAsia" w:cs="Times New Roman" w:eastAsiaTheme="minorEastAsia"/>
                      <w:b w:val="0"/>
                      <w:bCs w:val="0"/>
                      <w:color w:val="auto"/>
                      <w:sz w:val="21"/>
                      <w:szCs w:val="21"/>
                      <w:vertAlign w:val="baseline"/>
                      <w:lang w:val="en-US" w:eastAsia="zh-CN"/>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32</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10×转膜液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33</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脱脂奶粉</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分子实验室</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34</w:t>
                  </w:r>
                </w:p>
              </w:tc>
              <w:tc>
                <w:tcPr>
                  <w:tcW w:w="1885" w:type="dxa"/>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default" w:ascii="Times New Roman" w:hAnsi="Times New Roman" w:cs="Times New Roman" w:eastAsiaTheme="minorEastAsia"/>
                      <w:b w:val="0"/>
                      <w:bCs w:val="0"/>
                      <w:color w:val="auto"/>
                      <w:sz w:val="21"/>
                      <w:szCs w:val="21"/>
                      <w:vertAlign w:val="baseline"/>
                      <w:lang w:val="en-US" w:eastAsia="zh-CN"/>
                    </w:rPr>
                    <w:t>无水甲醇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3桶</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病理实验室试剂柜</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35</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无水乙醇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细胞滴片免疫组化实验报告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二甲苯</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eastAsiaTheme="minorEastAsia"/>
                      <w:color w:val="auto"/>
                      <w:sz w:val="21"/>
                      <w:szCs w:val="21"/>
                    </w:rPr>
                    <w:t>EDTA抗原修复液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病理实验室冰箱</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38</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柠檬酸抗原修复液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39</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自发荧光淬灭剂</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40</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免疫染色通透液(TritonX-100)</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BSA</w:t>
                  </w:r>
                  <w:r>
                    <w:rPr>
                      <w:rFonts w:hint="eastAsia" w:cs="Times New Roman" w:eastAsiaTheme="minorEastAsia"/>
                      <w:color w:val="auto"/>
                      <w:sz w:val="21"/>
                      <w:szCs w:val="21"/>
                      <w:lang w:eastAsia="zh-CN"/>
                    </w:rPr>
                    <w:t>血清蛋白</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42</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PBS缓冲液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43</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DAPI染液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24瓶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44</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荧光淬灭封片剂</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45</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无水乙醇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病理实验室试剂柜</w:t>
                  </w: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highlight w:val="none"/>
                      <w:lang w:val="en-US" w:eastAsia="zh-CN"/>
                    </w:rPr>
                    <w:t>石蜡切片免疫组化实验报告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46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二甲苯</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病理实验室试剂柜</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3%双氧水</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30瓶</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病理实验室冰箱</w:t>
                  </w: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48</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苏木素染液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24瓶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49</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33%盐酸水溶液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50</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eastAsia" w:cs="Times New Roman" w:eastAsiaTheme="minorEastAsia"/>
                      <w:bCs/>
                      <w:color w:val="auto"/>
                      <w:sz w:val="21"/>
                      <w:szCs w:val="21"/>
                      <w:lang w:val="en-US" w:eastAsia="zh-CN"/>
                    </w:rPr>
                    <w:t>1%</w:t>
                  </w:r>
                  <w:r>
                    <w:rPr>
                      <w:rFonts w:hint="default" w:ascii="Times New Roman" w:hAnsi="Times New Roman" w:cs="Times New Roman" w:eastAsiaTheme="minorEastAsia"/>
                      <w:bCs/>
                      <w:color w:val="auto"/>
                      <w:sz w:val="21"/>
                      <w:szCs w:val="21"/>
                    </w:rPr>
                    <w:t>氨水溶液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Cs/>
                      <w:color w:val="auto"/>
                      <w:sz w:val="21"/>
                      <w:szCs w:val="21"/>
                    </w:rPr>
                    <w:t>中性树脂</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52</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highlight w:val="yellow"/>
                      <w:lang w:val="en-US" w:eastAsia="zh-CN" w:bidi="ar-SA"/>
                    </w:rPr>
                  </w:pPr>
                  <w:r>
                    <w:rPr>
                      <w:rFonts w:hint="default" w:ascii="Times New Roman" w:hAnsi="Times New Roman" w:cs="Times New Roman" w:eastAsiaTheme="minorEastAsia"/>
                      <w:color w:val="auto"/>
                      <w:sz w:val="21"/>
                      <w:szCs w:val="21"/>
                    </w:rPr>
                    <w:t>柠檬酸抗原修复液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53</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PBS缓冲液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54</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val="en-US" w:eastAsia="zh-CN"/>
                    </w:rPr>
                    <w:t>EDTA</w:t>
                  </w:r>
                  <w:r>
                    <w:rPr>
                      <w:rFonts w:hint="eastAsia" w:cs="Times New Roman" w:eastAsiaTheme="minorEastAsia"/>
                      <w:color w:val="auto"/>
                      <w:sz w:val="21"/>
                      <w:szCs w:val="21"/>
                      <w:lang w:val="en-US" w:eastAsia="zh-CN"/>
                    </w:rPr>
                    <w:t>（乙二胺四乙酸）</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250ml/瓶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24瓶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3瓶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55</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lang w:eastAsia="zh-CN"/>
                    </w:rPr>
                    <w:t>山羊血清</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1瓶</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sz w:val="21"/>
                      <w:szCs w:val="21"/>
                    </w:rPr>
                    <w:t>DAB显色试剂盒</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60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Cs/>
                      <w:color w:val="auto"/>
                      <w:kern w:val="2"/>
                      <w:sz w:val="21"/>
                      <w:szCs w:val="21"/>
                      <w:highlight w:val="yellow"/>
                      <w:lang w:val="en-US" w:eastAsia="zh-CN" w:bidi="ar-SA"/>
                    </w:rPr>
                  </w:pPr>
                  <w:r>
                    <w:rPr>
                      <w:rFonts w:hint="default" w:ascii="Times New Roman" w:hAnsi="Times New Roman" w:cs="Times New Roman" w:eastAsiaTheme="minorEastAsia"/>
                      <w:bCs/>
                      <w:color w:val="auto"/>
                      <w:sz w:val="21"/>
                      <w:szCs w:val="21"/>
                      <w:highlight w:val="none"/>
                    </w:rPr>
                    <w:t>一抗</w:t>
                  </w:r>
                  <w:r>
                    <w:rPr>
                      <w:rFonts w:hint="default" w:ascii="Times New Roman" w:hAnsi="Times New Roman" w:cs="Times New Roman" w:eastAsiaTheme="minorEastAsia"/>
                      <w:bCs/>
                      <w:color w:val="auto"/>
                      <w:sz w:val="21"/>
                      <w:szCs w:val="21"/>
                    </w:rPr>
                    <w:t>二抗</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50支</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10支</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58</w:t>
                  </w:r>
                </w:p>
              </w:tc>
              <w:tc>
                <w:tcPr>
                  <w:tcW w:w="1885" w:type="dxa"/>
                  <w:tcBorders>
                    <w:tl2br w:val="nil"/>
                    <w:tr2bl w:val="nil"/>
                  </w:tcBorders>
                  <w:noWrap w:val="0"/>
                  <w:vAlign w:val="top"/>
                </w:tcPr>
                <w:p>
                  <w:pPr>
                    <w:spacing w:line="380" w:lineRule="exact"/>
                    <w:ind w:firstLine="0" w:firstLineChars="0"/>
                    <w:jc w:val="center"/>
                    <w:rPr>
                      <w:rFonts w:hint="eastAsia" w:ascii="Times New Roman" w:hAnsi="Times New Roman" w:cs="Times New Roman" w:eastAsiaTheme="minorEastAsia"/>
                      <w:bCs/>
                      <w:color w:val="auto"/>
                      <w:kern w:val="2"/>
                      <w:sz w:val="21"/>
                      <w:szCs w:val="21"/>
                      <w:lang w:val="en-US" w:eastAsia="zh-CN" w:bidi="ar-SA"/>
                    </w:rPr>
                  </w:pPr>
                  <w:r>
                    <w:rPr>
                      <w:rFonts w:hint="eastAsia"/>
                      <w:bCs/>
                      <w:color w:val="auto"/>
                      <w:sz w:val="21"/>
                      <w:szCs w:val="21"/>
                      <w:highlight w:val="none"/>
                    </w:rPr>
                    <w:t>FBS</w:t>
                  </w:r>
                  <w:r>
                    <w:rPr>
                      <w:rFonts w:hint="eastAsia"/>
                      <w:color w:val="auto"/>
                      <w:sz w:val="21"/>
                      <w:szCs w:val="21"/>
                      <w:highlight w:val="none"/>
                      <w:lang w:eastAsia="zh-CN"/>
                    </w:rPr>
                    <w:t>胎牛血清</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10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color w:val="auto"/>
                      <w:kern w:val="0"/>
                      <w:sz w:val="21"/>
                      <w:szCs w:val="21"/>
                      <w:lang w:val="en-US" w:eastAsia="zh-CN" w:bidi="ar-SA"/>
                    </w:rPr>
                  </w:pPr>
                  <w:r>
                    <w:rPr>
                      <w:rFonts w:hint="eastAsia"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sz w:val="21"/>
                      <w:szCs w:val="21"/>
                    </w:rPr>
                    <w:t>盒</w:t>
                  </w:r>
                </w:p>
              </w:tc>
              <w:tc>
                <w:tcPr>
                  <w:tcW w:w="1088"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细胞房冰箱</w:t>
                  </w:r>
                </w:p>
              </w:tc>
              <w:tc>
                <w:tcPr>
                  <w:tcW w:w="1609" w:type="dxa"/>
                  <w:vMerge w:val="restar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细胞培养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59</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eastAsia"/>
                      <w:bCs/>
                      <w:color w:val="auto"/>
                      <w:sz w:val="21"/>
                      <w:szCs w:val="21"/>
                      <w:highlight w:val="none"/>
                    </w:rPr>
                    <w:t>DMEM/F12培养基</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60</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Cs/>
                      <w:color w:val="auto"/>
                      <w:sz w:val="21"/>
                      <w:szCs w:val="21"/>
                    </w:rPr>
                  </w:pPr>
                  <w:r>
                    <w:rPr>
                      <w:rFonts w:hint="eastAsia"/>
                      <w:bCs/>
                      <w:color w:val="auto"/>
                      <w:sz w:val="21"/>
                      <w:szCs w:val="21"/>
                      <w:highlight w:val="none"/>
                    </w:rPr>
                    <w:t>DMEM/HIGH培养基</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61</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bCs/>
                      <w:color w:val="auto"/>
                      <w:sz w:val="21"/>
                      <w:szCs w:val="21"/>
                      <w:lang w:eastAsia="zh-CN"/>
                    </w:rPr>
                  </w:pPr>
                  <w:r>
                    <w:rPr>
                      <w:rFonts w:hint="eastAsia"/>
                      <w:bCs/>
                      <w:color w:val="auto"/>
                      <w:sz w:val="21"/>
                      <w:szCs w:val="21"/>
                      <w:highlight w:val="none"/>
                    </w:rPr>
                    <w:t>MEM/EBSS培养基</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62</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bCs/>
                      <w:color w:val="auto"/>
                      <w:sz w:val="21"/>
                      <w:szCs w:val="21"/>
                      <w:lang w:eastAsia="zh-CN"/>
                    </w:rPr>
                  </w:pPr>
                  <w:r>
                    <w:rPr>
                      <w:rFonts w:hint="eastAsia"/>
                      <w:bCs/>
                      <w:color w:val="auto"/>
                      <w:sz w:val="21"/>
                      <w:szCs w:val="21"/>
                      <w:highlight w:val="none"/>
                    </w:rPr>
                    <w:t>改良型RPMI-1640培养基</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63</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bCs/>
                      <w:color w:val="auto"/>
                      <w:sz w:val="21"/>
                      <w:szCs w:val="21"/>
                      <w:lang w:eastAsia="zh-CN"/>
                    </w:rPr>
                  </w:pPr>
                  <w:r>
                    <w:rPr>
                      <w:rFonts w:hint="default" w:ascii="Times New Roman" w:hAnsi="Times New Roman" w:eastAsia="宋体" w:cs="Times New Roman"/>
                      <w:b w:val="0"/>
                      <w:bCs/>
                      <w:color w:val="auto"/>
                      <w:sz w:val="21"/>
                      <w:szCs w:val="21"/>
                      <w:highlight w:val="none"/>
                      <w:lang w:val="en-US" w:eastAsia="zh-CN"/>
                    </w:rPr>
                    <w:t>胰蛋白酶</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64</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eastAsiaTheme="minorEastAsia"/>
                      <w:bCs/>
                      <w:color w:val="auto"/>
                      <w:sz w:val="21"/>
                      <w:szCs w:val="21"/>
                      <w:lang w:eastAsia="zh-CN"/>
                    </w:rPr>
                  </w:pPr>
                  <w:r>
                    <w:rPr>
                      <w:rFonts w:hint="default" w:ascii="Times New Roman" w:hAnsi="Times New Roman" w:eastAsia="宋体" w:cs="Times New Roman"/>
                      <w:b w:val="0"/>
                      <w:bCs/>
                      <w:color w:val="auto"/>
                      <w:sz w:val="21"/>
                      <w:szCs w:val="21"/>
                      <w:highlight w:val="none"/>
                      <w:lang w:val="en-US" w:eastAsia="zh-CN"/>
                    </w:rPr>
                    <w:t>DMSO</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1885" w:type="dxa"/>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 xml:space="preserve"> MTT溶液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5mg/ml</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w:t>
                  </w:r>
                  <w:r>
                    <w:rPr>
                      <w:rFonts w:hint="default" w:ascii="Times New Roman" w:hAnsi="Times New Roman" w:cs="Times New Roman" w:eastAsiaTheme="minorEastAsia"/>
                      <w:color w:val="auto"/>
                      <w:sz w:val="21"/>
                      <w:szCs w:val="21"/>
                    </w:rPr>
                    <w:t>盒</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w:t>
                  </w:r>
                  <w:r>
                    <w:rPr>
                      <w:rFonts w:hint="default" w:ascii="Times New Roman" w:hAnsi="Times New Roman" w:cs="Times New Roman" w:eastAsiaTheme="minorEastAsia"/>
                      <w:color w:val="auto"/>
                      <w:sz w:val="21"/>
                      <w:szCs w:val="21"/>
                    </w:rPr>
                    <w:t>盒</w:t>
                  </w:r>
                </w:p>
              </w:tc>
              <w:tc>
                <w:tcPr>
                  <w:tcW w:w="108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p>
              </w:tc>
              <w:tc>
                <w:tcPr>
                  <w:tcW w:w="160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66</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84消毒液</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洗消前室</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67</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无水乙醇消毒</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25L/桶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手术室</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rPr>
                  </w:pPr>
                  <w:r>
                    <w:rPr>
                      <w:rFonts w:hint="eastAsia" w:ascii="Times New Roman" w:hAnsi="Times New Roman" w:eastAsia="宋体" w:cs="Times New Roman"/>
                      <w:color w:val="auto"/>
                      <w:sz w:val="21"/>
                      <w:szCs w:val="21"/>
                      <w:lang w:val="en-US" w:eastAsia="zh-CN"/>
                    </w:rPr>
                    <w:t>68</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鼠动物饲料</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600kg</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100kg</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鼠饲养间</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动物饲养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color w:val="auto"/>
                      <w:sz w:val="21"/>
                      <w:szCs w:val="21"/>
                      <w:lang w:val="en-US" w:eastAsia="zh-CN"/>
                    </w:rPr>
                  </w:pPr>
                  <w:r>
                    <w:rPr>
                      <w:rFonts w:hint="eastAsia" w:cs="Times New Roman" w:eastAsiaTheme="minorEastAsia"/>
                      <w:b w:val="0"/>
                      <w:bCs w:val="0"/>
                      <w:color w:val="auto"/>
                      <w:sz w:val="21"/>
                      <w:szCs w:val="21"/>
                      <w:lang w:val="en-US" w:eastAsia="zh-CN"/>
                    </w:rPr>
                    <w:t>69</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兔子动物饲料</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2000kg</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100kg</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饲兔养间</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动物饲养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70</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植物型除臭剂（无需配置）</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1000g/瓶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兔饲养间</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除臭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71</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二氧化氯消毒片</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1kg/瓶</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50瓶</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洗消前室</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污水消毒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2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s="Times New Roman" w:eastAsiaTheme="minorEastAsia"/>
                      <w:b w:val="0"/>
                      <w:bCs w:val="0"/>
                      <w:color w:val="auto"/>
                      <w:sz w:val="21"/>
                      <w:szCs w:val="21"/>
                      <w:lang w:val="en-US" w:eastAsia="zh-CN"/>
                    </w:rPr>
                  </w:pPr>
                  <w:r>
                    <w:rPr>
                      <w:rFonts w:hint="eastAsia" w:cs="Times New Roman" w:eastAsiaTheme="minorEastAsia"/>
                      <w:b w:val="0"/>
                      <w:bCs w:val="0"/>
                      <w:color w:val="auto"/>
                      <w:sz w:val="21"/>
                      <w:szCs w:val="21"/>
                      <w:lang w:val="en-US" w:eastAsia="zh-CN"/>
                    </w:rPr>
                    <w:t>72</w:t>
                  </w:r>
                </w:p>
              </w:tc>
              <w:tc>
                <w:tcPr>
                  <w:tcW w:w="1885"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动物垫料</w:t>
                  </w:r>
                </w:p>
              </w:tc>
              <w:tc>
                <w:tcPr>
                  <w:tcW w:w="121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25kg/袋</w:t>
                  </w:r>
                </w:p>
              </w:tc>
              <w:tc>
                <w:tcPr>
                  <w:tcW w:w="1050"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40袋</w:t>
                  </w:r>
                </w:p>
              </w:tc>
              <w:tc>
                <w:tcPr>
                  <w:tcW w:w="1104"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5袋</w:t>
                  </w:r>
                </w:p>
              </w:tc>
              <w:tc>
                <w:tcPr>
                  <w:tcW w:w="108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饲养间</w:t>
                  </w:r>
                </w:p>
              </w:tc>
              <w:tc>
                <w:tcPr>
                  <w:tcW w:w="1609"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吸收动物粪便、尿液</w:t>
                  </w:r>
                </w:p>
              </w:tc>
            </w:tr>
          </w:tbl>
          <w:p>
            <w:pPr>
              <w:pStyle w:val="83"/>
              <w:bidi w:val="0"/>
              <w:rPr>
                <w:rFonts w:hint="default"/>
                <w:color w:val="auto"/>
              </w:rPr>
            </w:pPr>
            <w:r>
              <w:rPr>
                <w:rFonts w:hint="eastAsia"/>
                <w:color w:val="auto"/>
                <w:lang w:val="en-US" w:eastAsia="zh-CN"/>
              </w:rPr>
              <w:t>表2-6  使用化学品汇总</w:t>
            </w:r>
            <w:r>
              <w:rPr>
                <w:rFonts w:hint="default"/>
                <w:color w:val="auto"/>
              </w:rPr>
              <w:t>一览表</w:t>
            </w:r>
          </w:p>
          <w:tbl>
            <w:tblPr>
              <w:tblStyle w:val="29"/>
              <w:tblW w:w="84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1"/>
              <w:gridCol w:w="2293"/>
              <w:gridCol w:w="1521"/>
              <w:gridCol w:w="1296"/>
              <w:gridCol w:w="1328"/>
              <w:gridCol w:w="13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135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名称</w:t>
                  </w:r>
                </w:p>
              </w:tc>
              <w:tc>
                <w:tcPr>
                  <w:tcW w:w="897"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规格</w:t>
                  </w:r>
                </w:p>
              </w:tc>
              <w:tc>
                <w:tcPr>
                  <w:tcW w:w="764"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年用量</w:t>
                  </w:r>
                </w:p>
              </w:tc>
              <w:tc>
                <w:tcPr>
                  <w:tcW w:w="7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最大暂存量</w:t>
                  </w:r>
                </w:p>
              </w:tc>
              <w:tc>
                <w:tcPr>
                  <w:tcW w:w="7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储存位置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eastAsiaTheme="minorEastAsia"/>
                      <w:color w:val="auto"/>
                      <w:sz w:val="21"/>
                      <w:szCs w:val="21"/>
                    </w:rPr>
                    <w:t>无水乙醇</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25L/桶</w:t>
                  </w:r>
                </w:p>
              </w:tc>
              <w:tc>
                <w:tcPr>
                  <w:tcW w:w="764"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48桶</w:t>
                  </w:r>
                </w:p>
              </w:tc>
              <w:tc>
                <w:tcPr>
                  <w:tcW w:w="783"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12桶</w:t>
                  </w:r>
                </w:p>
              </w:tc>
              <w:tc>
                <w:tcPr>
                  <w:tcW w:w="783"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病理实验室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2</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eastAsiaTheme="minorEastAsia"/>
                      <w:color w:val="auto"/>
                      <w:sz w:val="21"/>
                      <w:szCs w:val="21"/>
                    </w:rPr>
                    <w:t>二甲苯</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250ml/瓶</w:t>
                  </w:r>
                </w:p>
              </w:tc>
              <w:tc>
                <w:tcPr>
                  <w:tcW w:w="7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300</w:t>
                  </w:r>
                  <w:r>
                    <w:rPr>
                      <w:rFonts w:hint="eastAsia" w:cs="Times New Roman" w:eastAsiaTheme="minorEastAsia"/>
                      <w:color w:val="auto"/>
                      <w:kern w:val="0"/>
                      <w:sz w:val="21"/>
                      <w:szCs w:val="21"/>
                      <w:lang w:val="en-US" w:eastAsia="zh-CN"/>
                    </w:rPr>
                    <w:t>瓶</w:t>
                  </w:r>
                </w:p>
              </w:tc>
              <w:tc>
                <w:tcPr>
                  <w:tcW w:w="78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27</w:t>
                  </w:r>
                  <w:r>
                    <w:rPr>
                      <w:rFonts w:hint="eastAsia" w:cs="Times New Roman" w:eastAsiaTheme="minorEastAsia"/>
                      <w:color w:val="auto"/>
                      <w:kern w:val="0"/>
                      <w:sz w:val="21"/>
                      <w:szCs w:val="21"/>
                      <w:lang w:val="en-US" w:eastAsia="zh-CN"/>
                    </w:rPr>
                    <w:t>瓶</w:t>
                  </w:r>
                </w:p>
              </w:tc>
              <w:tc>
                <w:tcPr>
                  <w:tcW w:w="783"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sz w:val="21"/>
                      <w:szCs w:val="21"/>
                      <w:shd w:val="clear" w:color="auto" w:fill="FFFFFF"/>
                    </w:rPr>
                    <w:t>异丙醇</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250ml/瓶</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3瓶</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1瓶</w:t>
                  </w:r>
                </w:p>
              </w:tc>
              <w:tc>
                <w:tcPr>
                  <w:tcW w:w="7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4</w:t>
                  </w:r>
                </w:p>
              </w:tc>
              <w:tc>
                <w:tcPr>
                  <w:tcW w:w="1352"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b w:val="0"/>
                      <w:bCs w:val="0"/>
                      <w:color w:val="auto"/>
                      <w:sz w:val="21"/>
                      <w:szCs w:val="21"/>
                      <w:vertAlign w:val="baseline"/>
                      <w:lang w:val="en-US" w:eastAsia="zh-CN"/>
                    </w:rPr>
                    <w:t>无水甲醇</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25L/桶</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30桶</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3桶</w:t>
                  </w:r>
                </w:p>
              </w:tc>
              <w:tc>
                <w:tcPr>
                  <w:tcW w:w="7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5</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sz w:val="21"/>
                      <w:szCs w:val="21"/>
                    </w:rPr>
                    <w:t>3%双氧水</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250ml/瓶</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100瓶</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s="Times New Roman" w:eastAsiaTheme="minorEastAsia"/>
                      <w:color w:val="auto"/>
                      <w:kern w:val="0"/>
                      <w:sz w:val="21"/>
                      <w:szCs w:val="21"/>
                      <w:lang w:val="en-US" w:eastAsia="zh-CN"/>
                    </w:rPr>
                    <w:t>30瓶</w:t>
                  </w:r>
                </w:p>
              </w:tc>
              <w:tc>
                <w:tcPr>
                  <w:tcW w:w="7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6</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color w:val="auto"/>
                      <w:sz w:val="21"/>
                      <w:szCs w:val="21"/>
                      <w:lang w:val="en-US" w:eastAsia="zh-CN"/>
                    </w:rPr>
                    <w:t>33%</w:t>
                  </w:r>
                  <w:r>
                    <w:rPr>
                      <w:rFonts w:hint="default" w:ascii="Times New Roman" w:hAnsi="Times New Roman" w:cs="Times New Roman" w:eastAsiaTheme="minorEastAsia"/>
                      <w:color w:val="auto"/>
                      <w:sz w:val="21"/>
                      <w:szCs w:val="21"/>
                    </w:rPr>
                    <w:t>盐酸水溶液</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12瓶</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7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7</w:t>
                  </w:r>
                </w:p>
              </w:tc>
              <w:tc>
                <w:tcPr>
                  <w:tcW w:w="1352"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color w:val="auto"/>
                      <w:sz w:val="21"/>
                      <w:szCs w:val="21"/>
                      <w:vertAlign w:val="baseline"/>
                      <w:lang w:val="en-US" w:eastAsia="zh-CN"/>
                    </w:rPr>
                  </w:pPr>
                  <w:r>
                    <w:rPr>
                      <w:rFonts w:hint="eastAsia" w:cs="Times New Roman" w:eastAsiaTheme="minorEastAsia"/>
                      <w:bCs/>
                      <w:color w:val="auto"/>
                      <w:sz w:val="21"/>
                      <w:szCs w:val="21"/>
                      <w:lang w:val="en-US" w:eastAsia="zh-CN"/>
                    </w:rPr>
                    <w:t>1%</w:t>
                  </w:r>
                  <w:r>
                    <w:rPr>
                      <w:rFonts w:hint="default" w:ascii="Times New Roman" w:hAnsi="Times New Roman" w:cs="Times New Roman" w:eastAsiaTheme="minorEastAsia"/>
                      <w:bCs/>
                      <w:color w:val="auto"/>
                      <w:sz w:val="21"/>
                      <w:szCs w:val="21"/>
                    </w:rPr>
                    <w:t>氨水溶液</w:t>
                  </w:r>
                </w:p>
              </w:tc>
              <w:tc>
                <w:tcPr>
                  <w:tcW w:w="89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250ml/瓶</w:t>
                  </w:r>
                </w:p>
              </w:tc>
              <w:tc>
                <w:tcPr>
                  <w:tcW w:w="764"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2瓶</w:t>
                  </w:r>
                </w:p>
              </w:tc>
              <w:tc>
                <w:tcPr>
                  <w:tcW w:w="783"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1瓶</w:t>
                  </w:r>
                </w:p>
              </w:tc>
              <w:tc>
                <w:tcPr>
                  <w:tcW w:w="783"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1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8</w:t>
                  </w:r>
                </w:p>
              </w:tc>
              <w:tc>
                <w:tcPr>
                  <w:tcW w:w="2293"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84消毒液</w:t>
                  </w:r>
                </w:p>
              </w:tc>
              <w:tc>
                <w:tcPr>
                  <w:tcW w:w="1521"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500ml/瓶</w:t>
                  </w:r>
                </w:p>
              </w:tc>
              <w:tc>
                <w:tcPr>
                  <w:tcW w:w="1296"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10瓶</w:t>
                  </w:r>
                </w:p>
              </w:tc>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5瓶</w:t>
                  </w:r>
                </w:p>
              </w:tc>
              <w:tc>
                <w:tcPr>
                  <w:tcW w:w="1328" w:type="dxa"/>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洗消前室</w:t>
                  </w:r>
                </w:p>
              </w:tc>
            </w:tr>
          </w:tbl>
          <w:p>
            <w:pPr>
              <w:pStyle w:val="83"/>
              <w:bidi w:val="0"/>
              <w:rPr>
                <w:rFonts w:hint="default"/>
                <w:color w:val="auto"/>
              </w:rPr>
            </w:pPr>
            <w:r>
              <w:rPr>
                <w:rFonts w:hint="eastAsia"/>
                <w:color w:val="auto"/>
                <w:lang w:val="en-US" w:eastAsia="zh-CN"/>
              </w:rPr>
              <w:t xml:space="preserve">表2-7  </w:t>
            </w:r>
            <w:r>
              <w:rPr>
                <w:rFonts w:hint="default"/>
                <w:color w:val="auto"/>
                <w:lang w:val="en-US" w:eastAsia="zh-CN"/>
              </w:rPr>
              <w:t>主要</w:t>
            </w:r>
            <w:r>
              <w:rPr>
                <w:rFonts w:hint="eastAsia"/>
                <w:color w:val="auto"/>
                <w:lang w:val="en-US" w:eastAsia="zh-CN"/>
              </w:rPr>
              <w:t>实验耗材使用</w:t>
            </w:r>
            <w:r>
              <w:rPr>
                <w:rFonts w:hint="default"/>
                <w:color w:val="auto"/>
              </w:rPr>
              <w:t>情况一览表</w:t>
            </w:r>
          </w:p>
          <w:tbl>
            <w:tblPr>
              <w:tblStyle w:val="29"/>
              <w:tblW w:w="847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2610"/>
              <w:gridCol w:w="38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153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设备名称</w:t>
                  </w:r>
                </w:p>
              </w:tc>
              <w:tc>
                <w:tcPr>
                  <w:tcW w:w="229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型号、规格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载玻片、盖玻片</w:t>
                  </w:r>
                </w:p>
              </w:tc>
              <w:tc>
                <w:tcPr>
                  <w:tcW w:w="2290"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2</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烧杯</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50mL，100mL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量筒</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default"/>
                      <w:color w:val="auto"/>
                      <w:sz w:val="21"/>
                      <w:szCs w:val="21"/>
                      <w:lang w:val="en-US" w:eastAsia="zh-CN"/>
                    </w:rPr>
                    <w:t>10mL，50mL，100mL</w:t>
                  </w:r>
                  <w:r>
                    <w:rPr>
                      <w:rFonts w:hint="eastAsia"/>
                      <w:color w:val="auto"/>
                      <w:sz w:val="21"/>
                      <w:szCs w:val="21"/>
                      <w:lang w:val="en-US" w:eastAsia="zh-CN"/>
                    </w:rPr>
                    <w:t>，</w:t>
                  </w:r>
                  <w:r>
                    <w:rPr>
                      <w:rFonts w:hint="default"/>
                      <w:color w:val="auto"/>
                      <w:sz w:val="21"/>
                      <w:szCs w:val="21"/>
                      <w:lang w:val="en-US" w:eastAsia="zh-CN"/>
                    </w:rPr>
                    <w:t>250mL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4</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培养皿</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5</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玻璃棒</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6</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离心管</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15ml</w:t>
                  </w:r>
                  <w:r>
                    <w:rPr>
                      <w:rFonts w:hint="eastAsia" w:cs="Times New Roman" w:eastAsiaTheme="minorEastAsia"/>
                      <w:color w:val="auto"/>
                      <w:kern w:val="0"/>
                      <w:sz w:val="21"/>
                      <w:szCs w:val="21"/>
                      <w:lang w:val="en-US" w:eastAsia="zh-CN"/>
                    </w:rPr>
                    <w:t>、</w:t>
                  </w:r>
                  <w:r>
                    <w:rPr>
                      <w:rFonts w:hint="default" w:ascii="Times New Roman" w:hAnsi="Times New Roman" w:cs="Times New Roman" w:eastAsiaTheme="minorEastAsia"/>
                      <w:color w:val="auto"/>
                      <w:kern w:val="0"/>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7</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枪头</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r>
                    <w:rPr>
                      <w:rFonts w:hint="default" w:ascii="Times New Roman" w:hAnsi="Times New Roman" w:cs="Times New Roman" w:eastAsiaTheme="minorEastAsia"/>
                      <w:color w:val="auto"/>
                      <w:kern w:val="0"/>
                      <w:sz w:val="21"/>
                      <w:szCs w:val="21"/>
                      <w:lang w:val="en-US" w:eastAsia="zh-CN"/>
                    </w:rPr>
                    <w:t>10ul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8</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冻存管</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15ml</w:t>
                  </w:r>
                  <w:r>
                    <w:rPr>
                      <w:rFonts w:hint="eastAsia" w:cs="Times New Roman" w:eastAsiaTheme="minorEastAsia"/>
                      <w:color w:val="auto"/>
                      <w:kern w:val="0"/>
                      <w:sz w:val="21"/>
                      <w:szCs w:val="21"/>
                      <w:lang w:val="en-US" w:eastAsia="zh-CN"/>
                    </w:rPr>
                    <w:t>、</w:t>
                  </w:r>
                  <w:r>
                    <w:rPr>
                      <w:rFonts w:hint="default" w:ascii="Times New Roman" w:hAnsi="Times New Roman" w:cs="Times New Roman" w:eastAsiaTheme="minorEastAsia"/>
                      <w:color w:val="auto"/>
                      <w:kern w:val="0"/>
                      <w:sz w:val="21"/>
                      <w:szCs w:val="21"/>
                      <w:lang w:val="en-US" w:eastAsia="zh-CN"/>
                    </w:rPr>
                    <w:t>50ml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9</w:t>
                  </w:r>
                </w:p>
              </w:tc>
              <w:tc>
                <w:tcPr>
                  <w:tcW w:w="153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s="Times New Roman" w:eastAsiaTheme="minorEastAsia"/>
                      <w:color w:val="auto"/>
                      <w:kern w:val="0"/>
                      <w:sz w:val="21"/>
                      <w:szCs w:val="21"/>
                      <w:lang w:val="en-US" w:eastAsia="zh-CN"/>
                    </w:rPr>
                  </w:pPr>
                  <w:r>
                    <w:rPr>
                      <w:rFonts w:hint="default" w:ascii="Times New Roman" w:hAnsi="Times New Roman" w:cs="Times New Roman" w:eastAsiaTheme="minorEastAsia"/>
                      <w:color w:val="auto"/>
                      <w:kern w:val="0"/>
                      <w:sz w:val="21"/>
                      <w:szCs w:val="21"/>
                      <w:lang w:val="en-US" w:eastAsia="zh-CN"/>
                    </w:rPr>
                    <w:t>细胞培养板</w:t>
                  </w:r>
                </w:p>
              </w:tc>
              <w:tc>
                <w:tcPr>
                  <w:tcW w:w="229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w:t>
                  </w:r>
                </w:p>
              </w:tc>
            </w:tr>
          </w:tbl>
          <w:p>
            <w:pPr>
              <w:pStyle w:val="8"/>
              <w:ind w:firstLine="48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Cs w:val="21"/>
                <w:highlight w:val="none"/>
                <w:lang w:val="en-US" w:eastAsia="zh-CN"/>
              </w:rPr>
              <w:t>Western Blot检测、RT-qPCR相对定量实验、细胞实验涉及的实验试剂多为生物试剂。</w:t>
            </w:r>
            <w:r>
              <w:rPr>
                <w:rFonts w:hint="default" w:ascii="Times New Roman" w:hAnsi="Times New Roman" w:cs="Times New Roman"/>
                <w:color w:val="auto"/>
                <w:lang w:val="en-US" w:eastAsia="zh-CN"/>
              </w:rPr>
              <w:t>本项目</w:t>
            </w:r>
            <w:r>
              <w:rPr>
                <w:rFonts w:hint="default" w:ascii="Times New Roman" w:hAnsi="Times New Roman" w:cs="Times New Roman"/>
                <w:color w:val="auto"/>
              </w:rPr>
              <w:t>原辅材料</w:t>
            </w:r>
            <w:r>
              <w:rPr>
                <w:rFonts w:hint="default" w:ascii="Times New Roman" w:hAnsi="Times New Roman" w:cs="Times New Roman"/>
                <w:color w:val="auto"/>
                <w:lang w:eastAsia="zh-CN"/>
              </w:rPr>
              <w:t>涉及的化学品及染料的</w:t>
            </w:r>
            <w:r>
              <w:rPr>
                <w:rFonts w:hint="default" w:ascii="Times New Roman" w:hAnsi="Times New Roman" w:cs="Times New Roman"/>
                <w:color w:val="auto"/>
              </w:rPr>
              <w:t>组分及</w:t>
            </w:r>
            <w:r>
              <w:rPr>
                <w:rFonts w:hint="default" w:ascii="Times New Roman" w:hAnsi="Times New Roman" w:cs="Times New Roman"/>
                <w:color w:val="auto"/>
                <w:lang w:eastAsia="zh-CN"/>
              </w:rPr>
              <w:t>理化性质</w:t>
            </w:r>
            <w:r>
              <w:rPr>
                <w:rFonts w:hint="default" w:ascii="Times New Roman" w:hAnsi="Times New Roman" w:cs="Times New Roman"/>
                <w:color w:val="auto"/>
              </w:rPr>
              <w:t>见下表</w:t>
            </w:r>
            <w:r>
              <w:rPr>
                <w:rFonts w:hint="default" w:ascii="Times New Roman" w:hAnsi="Times New Roman" w:cs="Times New Roman"/>
                <w:color w:val="auto"/>
                <w:lang w:eastAsia="zh-CN"/>
              </w:rPr>
              <w:t>。</w:t>
            </w:r>
          </w:p>
          <w:p>
            <w:pPr>
              <w:pStyle w:val="83"/>
              <w:spacing w:before="120"/>
              <w:rPr>
                <w:color w:val="auto"/>
              </w:rPr>
            </w:pPr>
            <w:r>
              <w:rPr>
                <w:rFonts w:hint="eastAsia"/>
                <w:color w:val="auto"/>
              </w:rPr>
              <w:t>表2-</w:t>
            </w:r>
            <w:r>
              <w:rPr>
                <w:rFonts w:hint="eastAsia"/>
                <w:color w:val="auto"/>
                <w:lang w:val="en-US" w:eastAsia="zh-CN"/>
              </w:rPr>
              <w:t>8</w:t>
            </w:r>
            <w:r>
              <w:rPr>
                <w:rFonts w:hint="eastAsia"/>
                <w:color w:val="auto"/>
              </w:rPr>
              <w:t xml:space="preserve">  物料组分理化性质</w:t>
            </w:r>
            <w:r>
              <w:rPr>
                <w:color w:val="auto"/>
              </w:rPr>
              <w:t>一览表</w:t>
            </w:r>
          </w:p>
          <w:tbl>
            <w:tblPr>
              <w:tblStyle w:val="29"/>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262"/>
              <w:gridCol w:w="1279"/>
              <w:gridCol w:w="5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13" w:type="pct"/>
                  <w:tcBorders>
                    <w:tl2br w:val="nil"/>
                    <w:tr2bl w:val="nil"/>
                  </w:tcBorders>
                  <w:vAlign w:val="center"/>
                </w:tcPr>
                <w:p>
                  <w:pPr>
                    <w:pStyle w:val="84"/>
                    <w:rPr>
                      <w:b/>
                      <w:bCs/>
                      <w:color w:val="auto"/>
                      <w:sz w:val="21"/>
                      <w:szCs w:val="21"/>
                    </w:rPr>
                  </w:pPr>
                  <w:r>
                    <w:rPr>
                      <w:b/>
                      <w:bCs/>
                      <w:color w:val="auto"/>
                      <w:sz w:val="21"/>
                      <w:szCs w:val="21"/>
                    </w:rPr>
                    <w:t>序号</w:t>
                  </w:r>
                </w:p>
              </w:tc>
              <w:tc>
                <w:tcPr>
                  <w:tcW w:w="746" w:type="pct"/>
                  <w:tcBorders>
                    <w:tl2br w:val="nil"/>
                    <w:tr2bl w:val="nil"/>
                  </w:tcBorders>
                  <w:vAlign w:val="center"/>
                </w:tcPr>
                <w:p>
                  <w:pPr>
                    <w:pStyle w:val="84"/>
                    <w:rPr>
                      <w:b/>
                      <w:bCs/>
                      <w:color w:val="auto"/>
                      <w:sz w:val="21"/>
                      <w:szCs w:val="21"/>
                    </w:rPr>
                  </w:pPr>
                  <w:r>
                    <w:rPr>
                      <w:rFonts w:hint="eastAsia"/>
                      <w:b/>
                      <w:bCs/>
                      <w:color w:val="auto"/>
                      <w:sz w:val="21"/>
                      <w:szCs w:val="21"/>
                    </w:rPr>
                    <w:t>名称</w:t>
                  </w:r>
                </w:p>
              </w:tc>
              <w:tc>
                <w:tcPr>
                  <w:tcW w:w="756" w:type="pct"/>
                  <w:tcBorders>
                    <w:tl2br w:val="nil"/>
                    <w:tr2bl w:val="nil"/>
                  </w:tcBorders>
                  <w:vAlign w:val="center"/>
                </w:tcPr>
                <w:p>
                  <w:pPr>
                    <w:pStyle w:val="84"/>
                    <w:rPr>
                      <w:rFonts w:hint="default" w:eastAsia="宋体"/>
                      <w:b/>
                      <w:bCs/>
                      <w:color w:val="auto"/>
                      <w:sz w:val="21"/>
                      <w:szCs w:val="21"/>
                      <w:lang w:val="en-US" w:eastAsia="zh-CN"/>
                    </w:rPr>
                  </w:pPr>
                  <w:r>
                    <w:rPr>
                      <w:rFonts w:hint="eastAsia"/>
                      <w:b/>
                      <w:bCs/>
                      <w:color w:val="auto"/>
                      <w:sz w:val="21"/>
                      <w:szCs w:val="21"/>
                      <w:lang w:val="en-US" w:eastAsia="zh-CN"/>
                    </w:rPr>
                    <w:t>CAS号</w:t>
                  </w:r>
                </w:p>
              </w:tc>
              <w:tc>
                <w:tcPr>
                  <w:tcW w:w="3084" w:type="pct"/>
                  <w:tcBorders>
                    <w:tl2br w:val="nil"/>
                    <w:tr2bl w:val="nil"/>
                  </w:tcBorders>
                  <w:vAlign w:val="center"/>
                </w:tcPr>
                <w:p>
                  <w:pPr>
                    <w:pStyle w:val="84"/>
                    <w:rPr>
                      <w:b/>
                      <w:bCs/>
                      <w:color w:val="auto"/>
                      <w:sz w:val="21"/>
                      <w:szCs w:val="21"/>
                    </w:rPr>
                  </w:pPr>
                  <w:r>
                    <w:rPr>
                      <w:rFonts w:hint="eastAsia"/>
                      <w:b/>
                      <w:bCs/>
                      <w:color w:val="auto"/>
                      <w:sz w:val="21"/>
                      <w:szCs w:val="21"/>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无水乙醇</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default"/>
                      <w:color w:val="auto"/>
                      <w:sz w:val="21"/>
                      <w:szCs w:val="21"/>
                      <w:lang w:val="en-US" w:eastAsia="zh-CN"/>
                    </w:rPr>
                    <w:t>64-17-5</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color w:val="auto"/>
                      <w:sz w:val="21"/>
                      <w:szCs w:val="21"/>
                      <w:lang w:val="en-US" w:eastAsia="zh-CN"/>
                    </w:rPr>
                  </w:pPr>
                  <w:r>
                    <w:rPr>
                      <w:rFonts w:hint="default"/>
                      <w:color w:val="auto"/>
                      <w:sz w:val="21"/>
                      <w:szCs w:val="21"/>
                      <w:lang w:val="en-US" w:eastAsia="zh-CN"/>
                    </w:rPr>
                    <w:t>纯度较高的乙醇水溶液。熔点-114℃</w:t>
                  </w:r>
                  <w:r>
                    <w:rPr>
                      <w:rFonts w:hint="eastAsia"/>
                      <w:color w:val="auto"/>
                      <w:sz w:val="21"/>
                      <w:szCs w:val="21"/>
                      <w:lang w:val="en-US" w:eastAsia="zh-CN"/>
                    </w:rPr>
                    <w:t>、</w:t>
                  </w:r>
                  <w:r>
                    <w:rPr>
                      <w:rFonts w:hint="default"/>
                      <w:color w:val="auto"/>
                      <w:sz w:val="21"/>
                      <w:szCs w:val="21"/>
                      <w:lang w:val="en-US" w:eastAsia="zh-CN"/>
                    </w:rPr>
                    <w:t>密度0.79g/cm</w:t>
                  </w:r>
                  <w:r>
                    <w:rPr>
                      <w:rFonts w:hint="eastAsia"/>
                      <w:color w:val="auto"/>
                      <w:sz w:val="21"/>
                      <w:szCs w:val="21"/>
                      <w:lang w:val="en-US" w:eastAsia="zh-CN"/>
                    </w:rPr>
                    <w:t>、</w:t>
                  </w:r>
                  <w:r>
                    <w:rPr>
                      <w:rFonts w:hint="default"/>
                      <w:color w:val="auto"/>
                      <w:sz w:val="21"/>
                      <w:szCs w:val="21"/>
                      <w:lang w:val="en-US" w:eastAsia="zh-CN"/>
                    </w:rPr>
                    <w:t>沸点78℃</w:t>
                  </w:r>
                  <w:r>
                    <w:rPr>
                      <w:rFonts w:hint="eastAsia"/>
                      <w:color w:val="auto"/>
                      <w:sz w:val="21"/>
                      <w:szCs w:val="21"/>
                      <w:lang w:val="en-US" w:eastAsia="zh-CN"/>
                    </w:rPr>
                    <w:t>。乙醇在常温常压下是一种易挥发的无色透明液体，低毒性，乙醇的水溶液具有酒香的气味，并略带刺激性，味甘。乙醇易燃，其蒸气能与空气形成爆炸性混合物。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二甲苯</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1330-20-7</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color w:val="auto"/>
                      <w:sz w:val="21"/>
                      <w:szCs w:val="21"/>
                      <w:lang w:val="en-US" w:eastAsia="zh-CN"/>
                    </w:rPr>
                  </w:pPr>
                  <w:r>
                    <w:rPr>
                      <w:rFonts w:hint="default"/>
                      <w:color w:val="auto"/>
                      <w:sz w:val="21"/>
                      <w:szCs w:val="21"/>
                      <w:lang w:val="en-US" w:eastAsia="zh-CN"/>
                    </w:rPr>
                    <w:t>为无色透明液体</w:t>
                  </w:r>
                  <w:r>
                    <w:rPr>
                      <w:rFonts w:hint="eastAsia"/>
                      <w:color w:val="auto"/>
                      <w:sz w:val="21"/>
                      <w:szCs w:val="21"/>
                      <w:lang w:val="en-US" w:eastAsia="zh-CN"/>
                    </w:rPr>
                    <w:t>，有芳香烃的特殊气味。具刺激性气味、易燃，</w:t>
                  </w:r>
                  <w:r>
                    <w:rPr>
                      <w:rFonts w:hint="default"/>
                      <w:color w:val="auto"/>
                      <w:sz w:val="21"/>
                      <w:szCs w:val="21"/>
                      <w:lang w:val="en-US" w:eastAsia="zh-CN"/>
                    </w:rPr>
                    <w:t>分子量318.49</w:t>
                  </w:r>
                  <w:r>
                    <w:rPr>
                      <w:rFonts w:hint="eastAsia"/>
                      <w:color w:val="auto"/>
                      <w:sz w:val="21"/>
                      <w:szCs w:val="21"/>
                      <w:lang w:val="en-US" w:eastAsia="zh-CN"/>
                    </w:rPr>
                    <w:t>，</w:t>
                  </w:r>
                  <w:r>
                    <w:rPr>
                      <w:rFonts w:hint="default"/>
                      <w:color w:val="auto"/>
                      <w:sz w:val="21"/>
                      <w:szCs w:val="21"/>
                      <w:lang w:val="en-US" w:eastAsia="zh-CN"/>
                    </w:rPr>
                    <w:t>密度0.86g/mLat 25°C(lit.)</w:t>
                  </w:r>
                  <w:r>
                    <w:rPr>
                      <w:rFonts w:hint="eastAsia"/>
                      <w:color w:val="auto"/>
                      <w:sz w:val="21"/>
                      <w:szCs w:val="21"/>
                      <w:lang w:val="en-US" w:eastAsia="zh-CN"/>
                    </w:rPr>
                    <w:t>，</w:t>
                  </w:r>
                  <w:r>
                    <w:rPr>
                      <w:rFonts w:hint="default"/>
                      <w:color w:val="auto"/>
                      <w:sz w:val="21"/>
                      <w:szCs w:val="21"/>
                      <w:lang w:val="en-US" w:eastAsia="zh-CN"/>
                    </w:rPr>
                    <w:t>熔点-34 °C</w:t>
                  </w: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3</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异丙醇</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67-63-0</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常温常压下是一种无色有强烈气味的可燃液体，能与水形成共沸混合物(含水12.3%)。易生成过氧化物。低毒，半数致死量（大鼠，经口）2524mg/kg。高浓度蒸气有麻醉性、刺激性。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88"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4</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无水甲醇</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67-56-1</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无色透明液体，易挥发；燃烧时无烟，有蓝色火焰。分子量32.04，沸点64.7℃。无色有酒精气味易挥发的液体。人口服中毒最低剂量约为100mg/kg体重，经口摄入0.3～1g/kg可致死。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5</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3%双氧水</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7722-84-1</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外观为无色透明液体，是一种强氧化剂。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6</w:t>
                  </w:r>
                </w:p>
              </w:tc>
              <w:tc>
                <w:tcPr>
                  <w:tcW w:w="7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33%盐酸水溶液</w:t>
                  </w:r>
                </w:p>
              </w:tc>
              <w:tc>
                <w:tcPr>
                  <w:tcW w:w="7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bCs/>
                      <w:color w:val="auto"/>
                      <w:sz w:val="21"/>
                      <w:szCs w:val="21"/>
                      <w:lang w:val="en-US" w:eastAsia="zh-CN"/>
                    </w:rPr>
                    <w:t>7647-01-0</w:t>
                  </w:r>
                </w:p>
              </w:tc>
              <w:tc>
                <w:tcPr>
                  <w:tcW w:w="3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盐酸的性状为无色透明的液体，有强烈的刺鼻气味，具有较高的腐蚀性。与水混溶，溶于碱液。熔点(℃)： -114.8(纯)</w:t>
                  </w:r>
                  <w:r>
                    <w:rPr>
                      <w:rFonts w:hint="eastAsia" w:cs="Times New Roman"/>
                      <w:color w:val="auto"/>
                      <w:kern w:val="2"/>
                      <w:sz w:val="21"/>
                      <w:szCs w:val="21"/>
                      <w:lang w:val="en-US" w:eastAsia="zh-CN" w:bidi="ar-SA"/>
                    </w:rPr>
                    <w:t>、</w:t>
                  </w:r>
                  <w:r>
                    <w:rPr>
                      <w:rFonts w:hint="eastAsia" w:ascii="Times New Roman" w:hAnsi="Times New Roman" w:eastAsia="宋体" w:cs="Times New Roman"/>
                      <w:color w:val="auto"/>
                      <w:kern w:val="2"/>
                      <w:sz w:val="21"/>
                      <w:szCs w:val="21"/>
                      <w:lang w:val="en-US" w:eastAsia="zh-CN" w:bidi="ar-SA"/>
                    </w:rPr>
                    <w:t>沸点(℃)： 108.6(20%)</w:t>
                  </w:r>
                  <w:r>
                    <w:rPr>
                      <w:rFonts w:hint="eastAsia" w:cs="Times New Roman"/>
                      <w:color w:val="auto"/>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7</w:t>
                  </w:r>
                </w:p>
              </w:tc>
              <w:tc>
                <w:tcPr>
                  <w:tcW w:w="74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1%氨水溶液</w:t>
                  </w:r>
                </w:p>
              </w:tc>
              <w:tc>
                <w:tcPr>
                  <w:tcW w:w="7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1336-21-6</w:t>
                  </w:r>
                </w:p>
              </w:tc>
              <w:tc>
                <w:tcPr>
                  <w:tcW w:w="308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氨水为气体氨的水溶液。氨易挥发逸出，有强烈刺激臭味。纯氨水为无色透明液体，具有挥发、腐蚀等特性。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94"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8</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苏木素染液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10241-1-40</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苏木素、无水乙醇、硫酸铝钾、氧化汞、冰醋酸和蒸馏水。</w:t>
                  </w:r>
                  <w:r>
                    <w:rPr>
                      <w:rFonts w:hint="eastAsia" w:ascii="Times New Roman" w:hAnsi="Times New Roman" w:eastAsia="宋体" w:cs="Times New Roman"/>
                      <w:color w:val="auto"/>
                      <w:sz w:val="21"/>
                      <w:szCs w:val="21"/>
                      <w:highlight w:val="none"/>
                      <w:lang w:val="en-US" w:eastAsia="zh-CN"/>
                    </w:rPr>
                    <w:t>添加氧化汞，能使氧化汞完全分解于苏木素液中，又不会很快完全氧化，使染液一直处于染色力最强的三氧化苏木素状态，达到Harris苏木素染液长期最佳使用效果。硫酸铝钾起媒染作用</w:t>
                  </w:r>
                  <w:r>
                    <w:rPr>
                      <w:rFonts w:hint="eastAsia"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与组织结合促进染色。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7"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9</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PBS缓冲液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主要成分为</w:t>
                  </w:r>
                  <w:r>
                    <w:rPr>
                      <w:rFonts w:hint="eastAsia"/>
                      <w:color w:val="auto"/>
                      <w:sz w:val="21"/>
                      <w:szCs w:val="21"/>
                      <w:lang w:val="en-US" w:eastAsia="zh-CN"/>
                    </w:rPr>
                    <w:t>磷酸氢钠、磷酸氢钾、氯化钠、氯化钾。一般作为溶剂，稀释生物试剂。具有盐平衡、可调整的适宜pH缓冲作用，可以破坏生物蛋白的结构及生物特性。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10</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DAB显色试剂盒</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5378-6-1</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由DAB色原、DAB底物缓冲液、多聚合物过氧化氢酶组成</w:t>
                  </w: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11</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伊红染液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37281-6-32</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color w:val="auto"/>
                      <w:sz w:val="21"/>
                      <w:szCs w:val="21"/>
                      <w:lang w:val="en-US" w:eastAsia="zh-CN"/>
                    </w:rPr>
                  </w:pPr>
                  <w:r>
                    <w:rPr>
                      <w:rFonts w:hint="default"/>
                      <w:color w:val="auto"/>
                      <w:sz w:val="21"/>
                      <w:szCs w:val="21"/>
                      <w:lang w:val="en-US" w:eastAsia="zh-CN"/>
                    </w:rPr>
                    <w:t>伊红又称曙红</w:t>
                  </w:r>
                  <w:r>
                    <w:rPr>
                      <w:rFonts w:hint="eastAsia"/>
                      <w:color w:val="auto"/>
                      <w:sz w:val="21"/>
                      <w:szCs w:val="21"/>
                      <w:lang w:val="en-US" w:eastAsia="zh-CN"/>
                    </w:rPr>
                    <w:t>，</w:t>
                  </w:r>
                  <w:r>
                    <w:rPr>
                      <w:rFonts w:hint="default"/>
                      <w:color w:val="auto"/>
                      <w:sz w:val="21"/>
                      <w:szCs w:val="21"/>
                      <w:lang w:val="en-US" w:eastAsia="zh-CN"/>
                    </w:rPr>
                    <w:t>属人工合成染料中的呫吨类染料</w:t>
                  </w:r>
                  <w:r>
                    <w:rPr>
                      <w:rFonts w:hint="eastAsia"/>
                      <w:color w:val="auto"/>
                      <w:sz w:val="21"/>
                      <w:szCs w:val="21"/>
                      <w:lang w:val="en-US" w:eastAsia="zh-CN"/>
                    </w:rPr>
                    <w:t>，</w:t>
                  </w:r>
                  <w:r>
                    <w:rPr>
                      <w:rFonts w:hint="default"/>
                      <w:color w:val="auto"/>
                      <w:sz w:val="21"/>
                      <w:szCs w:val="21"/>
                      <w:lang w:val="en-US" w:eastAsia="zh-CN"/>
                    </w:rPr>
                    <w:t>为桃红色或粉红色的粉末。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highlight w:val="yellow"/>
                      <w:lang w:val="en-US" w:eastAsia="zh-CN"/>
                    </w:rPr>
                  </w:pPr>
                  <w:r>
                    <w:rPr>
                      <w:rFonts w:hint="eastAsia"/>
                      <w:color w:val="auto"/>
                      <w:sz w:val="21"/>
                      <w:szCs w:val="21"/>
                      <w:highlight w:val="none"/>
                      <w:lang w:val="en-US" w:eastAsia="zh-CN"/>
                    </w:rPr>
                    <w:t>12</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1%盐酸酒精</w:t>
                  </w:r>
                  <w:r>
                    <w:rPr>
                      <w:rFonts w:hint="eastAsia"/>
                      <w:color w:val="auto"/>
                      <w:sz w:val="21"/>
                      <w:szCs w:val="21"/>
                      <w:highlight w:val="none"/>
                      <w:lang w:eastAsia="zh-CN"/>
                    </w:rPr>
                    <w:t>分化液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3471-9</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主要成分为盐酸、乙醇，组织染色后用某些特定的溶液将组织过多结合的染色剂脱去。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13</w:t>
                  </w:r>
                </w:p>
              </w:tc>
              <w:tc>
                <w:tcPr>
                  <w:tcW w:w="74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highlight w:val="none"/>
                      <w:lang w:val="en-US" w:eastAsia="zh-CN"/>
                    </w:rPr>
                    <w:t>EDTA抗原修复液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1378-9-3</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要由乙二胺四乙酸二钠组成。产品pH值：9.0±0.2。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14</w:t>
                  </w:r>
                </w:p>
              </w:tc>
              <w:tc>
                <w:tcPr>
                  <w:tcW w:w="74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DAPI染液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8877-09-6</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ascii="Times New Roman" w:hAnsi="Times New Roman" w:eastAsia="宋体" w:cs="Times New Roman"/>
                      <w:color w:val="auto"/>
                      <w:kern w:val="2"/>
                      <w:sz w:val="21"/>
                      <w:szCs w:val="21"/>
                      <w:lang w:val="en-US" w:eastAsia="zh-CN" w:bidi="ar-SA"/>
                    </w:rPr>
                  </w:pPr>
                  <w:r>
                    <w:rPr>
                      <w:rFonts w:hint="default"/>
                      <w:color w:val="auto"/>
                      <w:sz w:val="21"/>
                      <w:szCs w:val="21"/>
                      <w:highlight w:val="none"/>
                      <w:lang w:val="en-US" w:eastAsia="zh-CN"/>
                    </w:rPr>
                    <w:t>主要由DAPI、溶剂、防腐剂等组成。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eastAsia"/>
                      <w:color w:val="auto"/>
                      <w:sz w:val="21"/>
                      <w:szCs w:val="21"/>
                      <w:lang w:val="en-US" w:eastAsia="zh-CN"/>
                    </w:rPr>
                  </w:pPr>
                  <w:r>
                    <w:rPr>
                      <w:rFonts w:hint="eastAsia"/>
                      <w:color w:val="auto"/>
                      <w:sz w:val="21"/>
                      <w:szCs w:val="21"/>
                      <w:lang w:val="en-US" w:eastAsia="zh-CN"/>
                    </w:rPr>
                    <w:t>15</w:t>
                  </w:r>
                </w:p>
              </w:tc>
              <w:tc>
                <w:tcPr>
                  <w:tcW w:w="74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eastAsiaTheme="minorEastAsia"/>
                      <w:color w:val="auto"/>
                      <w:sz w:val="21"/>
                      <w:szCs w:val="21"/>
                      <w:highlight w:val="none"/>
                    </w:rPr>
                    <w:t>荧光淬灭封片剂</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099-3-901</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以高纯度甘油为介质，内含抗荧光淬灭剂。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16</w:t>
                  </w:r>
                </w:p>
              </w:tc>
              <w:tc>
                <w:tcPr>
                  <w:tcW w:w="74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eastAsia" w:cs="Times New Roman" w:eastAsiaTheme="minorEastAsia"/>
                      <w:bCs/>
                      <w:color w:val="auto"/>
                      <w:sz w:val="21"/>
                      <w:szCs w:val="21"/>
                      <w:lang w:val="en-US" w:eastAsia="zh-CN"/>
                    </w:rPr>
                    <w:t>84消毒液</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color w:val="auto"/>
                      <w:sz w:val="21"/>
                      <w:szCs w:val="21"/>
                      <w:lang w:val="en-US" w:eastAsia="zh-CN"/>
                    </w:rPr>
                  </w:pPr>
                  <w:r>
                    <w:rPr>
                      <w:rFonts w:hint="eastAsia"/>
                      <w:color w:val="auto"/>
                      <w:sz w:val="21"/>
                      <w:szCs w:val="21"/>
                      <w:lang w:val="en-US" w:eastAsia="zh-CN"/>
                    </w:rPr>
                    <w:t>主要为次氯酸钠，用于物体表面和环境等的消毒，为无色或淡黄色液体，且具有刺激性气味现被广泛用于宾馆、旅游、医院、食品加工行业、家庭等的卫生消毒。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17</w:t>
                  </w:r>
                </w:p>
              </w:tc>
              <w:tc>
                <w:tcPr>
                  <w:tcW w:w="74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植物型除臭剂</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color w:val="auto"/>
                      <w:sz w:val="21"/>
                      <w:szCs w:val="21"/>
                      <w:lang w:val="en-US" w:eastAsia="zh-CN"/>
                    </w:rPr>
                  </w:pPr>
                  <w:r>
                    <w:rPr>
                      <w:rFonts w:hint="eastAsia"/>
                      <w:color w:val="auto"/>
                      <w:sz w:val="21"/>
                      <w:szCs w:val="21"/>
                      <w:lang w:val="en-US" w:eastAsia="zh-CN"/>
                    </w:rPr>
                    <w:t>主要成分采用丝兰、银杏叶、茶多酚、葡萄籽、樟科植物、桉叶油、松油等多种植物提取物精制而成。具有抑菌、杀菌和除臭功效，对氨、硫化氢等无机物和低分子脂肪酸、胺类、醛类、酮类、醚类、卤代烃等有机物等</w:t>
                  </w:r>
                </w:p>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color w:val="auto"/>
                      <w:sz w:val="21"/>
                      <w:szCs w:val="21"/>
                      <w:lang w:val="en-US" w:eastAsia="zh-CN"/>
                    </w:rPr>
                  </w:pPr>
                  <w:r>
                    <w:rPr>
                      <w:rFonts w:hint="eastAsia"/>
                      <w:color w:val="auto"/>
                      <w:sz w:val="21"/>
                      <w:szCs w:val="21"/>
                      <w:lang w:val="en-US" w:eastAsia="zh-CN"/>
                    </w:rPr>
                    <w:t>恶臭有吸附、遮盖、良好的分解，或者与异味分子发生碰撞, 进行反应，促使异味分子发生改变原有分子结构, 使之失去臭味，达到去除臭味的效果。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413"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18</w:t>
                  </w:r>
                </w:p>
              </w:tc>
              <w:tc>
                <w:tcPr>
                  <w:tcW w:w="746" w:type="pct"/>
                  <w:tcBorders>
                    <w:tl2br w:val="nil"/>
                    <w:tr2bl w:val="nil"/>
                  </w:tcBorders>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二氧化氯消毒片</w:t>
                  </w:r>
                </w:p>
              </w:tc>
              <w:tc>
                <w:tcPr>
                  <w:tcW w:w="756"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3084" w:type="pct"/>
                  <w:tcBorders>
                    <w:tl2br w:val="nil"/>
                    <w:tr2bl w:val="nil"/>
                  </w:tcBorders>
                  <w:vAlign w:val="center"/>
                </w:tcPr>
                <w:p>
                  <w:pPr>
                    <w:keepNext w:val="0"/>
                    <w:keepLines w:val="0"/>
                    <w:pageBreakBefore w:val="0"/>
                    <w:widowControl/>
                    <w:suppressLineNumbers w:val="0"/>
                    <w:kinsoku/>
                    <w:overflowPunct/>
                    <w:topLinePunct w:val="0"/>
                    <w:autoSpaceDE/>
                    <w:autoSpaceDN/>
                    <w:bidi w:val="0"/>
                    <w:adjustRightInd/>
                    <w:snapToGrid w:val="0"/>
                    <w:spacing w:line="240" w:lineRule="auto"/>
                    <w:ind w:firstLine="0" w:firstLineChars="0"/>
                    <w:jc w:val="left"/>
                    <w:textAlignment w:val="center"/>
                    <w:rPr>
                      <w:rFonts w:hint="eastAsia"/>
                      <w:color w:val="auto"/>
                      <w:sz w:val="21"/>
                      <w:szCs w:val="21"/>
                      <w:lang w:val="en-US" w:eastAsia="zh-CN"/>
                    </w:rPr>
                  </w:pPr>
                  <w:r>
                    <w:rPr>
                      <w:rFonts w:eastAsia="Helvetica"/>
                      <w:color w:val="auto"/>
                      <w:sz w:val="21"/>
                      <w:szCs w:val="21"/>
                      <w:shd w:val="clear" w:color="auto" w:fill="FFFFFF"/>
                    </w:rPr>
                    <w:t>二氧化氯，是一种</w:t>
                  </w:r>
                  <w:r>
                    <w:rPr>
                      <w:color w:val="auto"/>
                    </w:rPr>
                    <w:fldChar w:fldCharType="begin"/>
                  </w:r>
                  <w:r>
                    <w:rPr>
                      <w:color w:val="auto"/>
                    </w:rPr>
                    <w:instrText xml:space="preserve"> HYPERLINK "https://baike.baidu.com/item/%E6%97%A0%E6%9C%BA%E5%8C%96%E5%90%88%E7%89%A9/10716655?fromModule=lemma_inlink" \t "https://baike.baidu.com/item/%E4%BA%8C%E6%B0%A7%E5%8C%96%E6%B0%AF/_blank" </w:instrText>
                  </w:r>
                  <w:r>
                    <w:rPr>
                      <w:color w:val="auto"/>
                    </w:rPr>
                    <w:fldChar w:fldCharType="separate"/>
                  </w:r>
                  <w:r>
                    <w:rPr>
                      <w:rStyle w:val="36"/>
                      <w:rFonts w:eastAsia="Helvetica"/>
                      <w:color w:val="auto"/>
                      <w:sz w:val="21"/>
                      <w:szCs w:val="21"/>
                      <w:u w:val="none"/>
                      <w:shd w:val="clear" w:color="auto" w:fill="FFFFFF"/>
                    </w:rPr>
                    <w:t>无机化合物</w:t>
                  </w:r>
                  <w:r>
                    <w:rPr>
                      <w:rStyle w:val="36"/>
                      <w:rFonts w:eastAsia="Helvetica"/>
                      <w:color w:val="auto"/>
                      <w:sz w:val="21"/>
                      <w:szCs w:val="21"/>
                      <w:u w:val="none"/>
                      <w:shd w:val="clear" w:color="auto" w:fill="FFFFFF"/>
                    </w:rPr>
                    <w:fldChar w:fldCharType="end"/>
                  </w:r>
                  <w:r>
                    <w:rPr>
                      <w:rFonts w:eastAsia="Helvetica"/>
                      <w:color w:val="auto"/>
                      <w:sz w:val="21"/>
                      <w:szCs w:val="21"/>
                      <w:shd w:val="clear" w:color="auto" w:fill="FFFFFF"/>
                    </w:rPr>
                    <w:t>，11℃时液化成红棕色液体。有类似氯气和硝酸的特殊刺激臭味。相对蒸气密度2.3g/L。遇热水则分解成次氯酸、氯气、氧气，受光也易分解，其溶液于冷暗处相对稳定。</w:t>
                  </w:r>
                </w:p>
              </w:tc>
            </w:tr>
          </w:tbl>
          <w:p>
            <w:pPr>
              <w:pStyle w:val="8"/>
              <w:bidi w:val="0"/>
              <w:rPr>
                <w:rFonts w:hint="eastAsia" w:ascii="Times New Roman" w:hAnsi="Times New Roman" w:eastAsia="宋体" w:cs="Times New Roman"/>
                <w:color w:val="auto"/>
                <w:szCs w:val="21"/>
                <w:lang w:val="en-US" w:eastAsia="zh-CN"/>
              </w:rPr>
            </w:pPr>
            <w:r>
              <w:rPr>
                <w:rFonts w:hint="eastAsia"/>
                <w:b/>
                <w:bCs/>
                <w:color w:val="auto"/>
                <w:lang w:val="en-US" w:eastAsia="zh-CN"/>
              </w:rPr>
              <w:t>2.2.5主要能源消耗</w:t>
            </w:r>
          </w:p>
          <w:p>
            <w:pPr>
              <w:pStyle w:val="8"/>
              <w:bidi w:val="0"/>
              <w:rPr>
                <w:rFonts w:hint="eastAsia"/>
                <w:color w:val="auto"/>
                <w:lang w:val="en-US" w:eastAsia="zh-CN"/>
              </w:rPr>
            </w:pPr>
            <w:r>
              <w:rPr>
                <w:rFonts w:hint="eastAsia"/>
                <w:color w:val="auto"/>
                <w:lang w:val="en-US" w:eastAsia="zh-CN"/>
              </w:rPr>
              <w:t>本项目主要能源消耗情况，见下表。</w:t>
            </w:r>
          </w:p>
          <w:p>
            <w:pPr>
              <w:pStyle w:val="83"/>
              <w:bidi w:val="0"/>
              <w:rPr>
                <w:rFonts w:hint="default"/>
                <w:color w:val="auto"/>
              </w:rPr>
            </w:pPr>
            <w:r>
              <w:rPr>
                <w:rFonts w:hint="eastAsia"/>
                <w:color w:val="auto"/>
                <w:lang w:val="en-US" w:eastAsia="zh-CN"/>
              </w:rPr>
              <w:t xml:space="preserve">表2-9  </w:t>
            </w:r>
            <w:r>
              <w:rPr>
                <w:rFonts w:hint="default"/>
                <w:color w:val="auto"/>
                <w:lang w:val="en-US" w:eastAsia="zh-CN"/>
              </w:rPr>
              <w:t>主要</w:t>
            </w:r>
            <w:r>
              <w:rPr>
                <w:rFonts w:hint="eastAsia"/>
                <w:color w:val="auto"/>
                <w:lang w:val="en-US" w:eastAsia="zh-CN"/>
              </w:rPr>
              <w:t>能源消耗</w:t>
            </w:r>
            <w:r>
              <w:rPr>
                <w:rFonts w:hint="default"/>
                <w:color w:val="auto"/>
              </w:rPr>
              <w:t>情况一览表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123"/>
              <w:gridCol w:w="1670"/>
              <w:gridCol w:w="2746"/>
              <w:gridCol w:w="1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66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能源</w:t>
                  </w:r>
                </w:p>
              </w:tc>
              <w:tc>
                <w:tcPr>
                  <w:tcW w:w="995"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年耗量</w:t>
                  </w:r>
                </w:p>
              </w:tc>
              <w:tc>
                <w:tcPr>
                  <w:tcW w:w="1636"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来源</w:t>
                  </w:r>
                </w:p>
              </w:tc>
              <w:tc>
                <w:tcPr>
                  <w:tcW w:w="119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用途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新鲜水</w:t>
                  </w:r>
                </w:p>
              </w:tc>
              <w:tc>
                <w:tcPr>
                  <w:tcW w:w="995"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486.41m</w:t>
                  </w:r>
                  <w:r>
                    <w:rPr>
                      <w:rFonts w:hint="eastAsia"/>
                      <w:color w:val="auto"/>
                      <w:sz w:val="21"/>
                      <w:szCs w:val="21"/>
                      <w:vertAlign w:val="superscript"/>
                      <w:lang w:val="en-US" w:eastAsia="zh-CN"/>
                    </w:rPr>
                    <w:t>3</w:t>
                  </w:r>
                  <w:r>
                    <w:rPr>
                      <w:rFonts w:hint="eastAsia"/>
                      <w:color w:val="auto"/>
                      <w:sz w:val="21"/>
                      <w:szCs w:val="21"/>
                      <w:lang w:val="en-US" w:eastAsia="zh-CN"/>
                    </w:rPr>
                    <w:t>/a</w:t>
                  </w:r>
                </w:p>
              </w:tc>
              <w:tc>
                <w:tcPr>
                  <w:tcW w:w="1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自来水管网统一供给</w:t>
                  </w:r>
                </w:p>
              </w:tc>
              <w:tc>
                <w:tcPr>
                  <w:tcW w:w="119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生活、实验用水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2</w:t>
                  </w:r>
                </w:p>
              </w:tc>
              <w:tc>
                <w:tcPr>
                  <w:tcW w:w="6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电</w:t>
                  </w:r>
                </w:p>
              </w:tc>
              <w:tc>
                <w:tcPr>
                  <w:tcW w:w="9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10万kWh</w:t>
                  </w:r>
                </w:p>
              </w:tc>
              <w:tc>
                <w:tcPr>
                  <w:tcW w:w="163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供电管网统一供给</w:t>
                  </w:r>
                </w:p>
              </w:tc>
              <w:tc>
                <w:tcPr>
                  <w:tcW w:w="119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default"/>
                      <w:color w:val="auto"/>
                      <w:sz w:val="21"/>
                      <w:szCs w:val="21"/>
                      <w:lang w:val="en-US" w:eastAsia="zh-CN"/>
                    </w:rPr>
                    <w:t>生活</w:t>
                  </w:r>
                  <w:r>
                    <w:rPr>
                      <w:rFonts w:hint="eastAsia"/>
                      <w:color w:val="auto"/>
                      <w:sz w:val="21"/>
                      <w:szCs w:val="21"/>
                      <w:lang w:val="en-US" w:eastAsia="zh-CN"/>
                    </w:rPr>
                    <w:t>、实验用电</w:t>
                  </w:r>
                </w:p>
              </w:tc>
            </w:tr>
          </w:tbl>
          <w:p>
            <w:pPr>
              <w:pStyle w:val="4"/>
              <w:bidi w:val="0"/>
              <w:rPr>
                <w:color w:val="auto"/>
              </w:rPr>
            </w:pPr>
            <w:r>
              <w:rPr>
                <w:rFonts w:hint="eastAsia"/>
                <w:color w:val="auto"/>
                <w:lang w:val="en-US" w:eastAsia="zh-CN"/>
              </w:rPr>
              <w:t>2.3</w:t>
            </w:r>
            <w:r>
              <w:rPr>
                <w:color w:val="auto"/>
              </w:rPr>
              <w:t>公用工程</w:t>
            </w:r>
          </w:p>
          <w:p>
            <w:pPr>
              <w:pStyle w:val="4"/>
              <w:bidi w:val="0"/>
              <w:rPr>
                <w:rFonts w:hint="eastAsia"/>
                <w:color w:val="auto"/>
                <w:lang w:val="en-US" w:eastAsia="zh-CN"/>
              </w:rPr>
            </w:pPr>
            <w:r>
              <w:rPr>
                <w:rFonts w:hint="eastAsia"/>
                <w:color w:val="auto"/>
                <w:lang w:val="en-US" w:eastAsia="zh-CN"/>
              </w:rPr>
              <w:t>2.3.1</w:t>
            </w:r>
            <w:r>
              <w:rPr>
                <w:color w:val="auto"/>
              </w:rPr>
              <w:t>给水</w:t>
            </w:r>
          </w:p>
          <w:p>
            <w:pPr>
              <w:spacing w:line="360" w:lineRule="auto"/>
              <w:ind w:firstLine="480" w:firstLineChars="200"/>
              <w:rPr>
                <w:rFonts w:hint="eastAsia"/>
                <w:color w:val="auto"/>
                <w:lang w:eastAsia="zh-CN"/>
              </w:rPr>
            </w:pPr>
            <w:r>
              <w:rPr>
                <w:rFonts w:hint="eastAsia"/>
                <w:color w:val="auto"/>
                <w:lang w:eastAsia="zh-CN"/>
              </w:rPr>
              <w:t>本项目用水水源分为自来水和纯水。</w:t>
            </w:r>
          </w:p>
          <w:p>
            <w:pPr>
              <w:pStyle w:val="8"/>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）纯水作为水源</w:t>
            </w:r>
          </w:p>
          <w:p>
            <w:pPr>
              <w:spacing w:line="360" w:lineRule="auto"/>
              <w:ind w:firstLine="480" w:firstLineChars="200"/>
              <w:rPr>
                <w:rFonts w:hint="eastAsia"/>
                <w:color w:val="auto"/>
                <w:lang w:eastAsia="zh-CN"/>
              </w:rPr>
            </w:pPr>
            <w:r>
              <w:rPr>
                <w:rFonts w:hint="eastAsia"/>
                <w:color w:val="auto"/>
                <w:lang w:eastAsia="zh-CN"/>
              </w:rPr>
              <w:t>本项目水浴锅、高压蒸汽灭菌锅、实验</w:t>
            </w:r>
            <w:r>
              <w:rPr>
                <w:rFonts w:hint="eastAsia"/>
                <w:color w:val="auto"/>
                <w:lang w:val="en-US" w:eastAsia="zh-CN"/>
              </w:rPr>
              <w:t>分析、试剂配置、实验器具第三次清洗均使用纯水，</w:t>
            </w:r>
            <w:r>
              <w:rPr>
                <w:rFonts w:hint="eastAsia"/>
                <w:color w:val="auto"/>
                <w:lang w:eastAsia="zh-CN"/>
              </w:rPr>
              <w:t>使用的纯水均为外购，纯水用水量为</w:t>
            </w:r>
            <w:r>
              <w:rPr>
                <w:rFonts w:hint="eastAsia"/>
                <w:color w:val="auto"/>
                <w:lang w:val="en-US" w:eastAsia="zh-CN"/>
              </w:rPr>
              <w:t>0.04</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10</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numPr>
                <w:ilvl w:val="0"/>
                <w:numId w:val="4"/>
              </w:numPr>
              <w:spacing w:line="360" w:lineRule="auto"/>
              <w:ind w:firstLine="480" w:firstLineChars="200"/>
              <w:rPr>
                <w:rFonts w:hint="eastAsia"/>
                <w:color w:val="auto"/>
                <w:lang w:val="en-US" w:eastAsia="zh-CN"/>
              </w:rPr>
            </w:pPr>
            <w:r>
              <w:rPr>
                <w:rFonts w:hint="eastAsia"/>
                <w:color w:val="auto"/>
                <w:lang w:eastAsia="zh-CN"/>
              </w:rPr>
              <w:t>本项目设置水浴锅</w:t>
            </w:r>
            <w:r>
              <w:rPr>
                <w:rFonts w:hint="eastAsia"/>
                <w:color w:val="auto"/>
                <w:lang w:val="en-US" w:eastAsia="zh-CN"/>
              </w:rPr>
              <w:t>3台，水浴锅容量为5L，水循环使用，不排放，蒸发损失部分定期补充，预计年用水量为0.03</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p>
          <w:p>
            <w:pPr>
              <w:numPr>
                <w:ilvl w:val="0"/>
                <w:numId w:val="4"/>
              </w:numPr>
              <w:spacing w:line="360" w:lineRule="auto"/>
              <w:ind w:firstLine="480" w:firstLineChars="200"/>
              <w:rPr>
                <w:rFonts w:hint="eastAsia"/>
                <w:color w:val="auto"/>
                <w:lang w:val="en-US" w:eastAsia="zh-CN"/>
              </w:rPr>
            </w:pPr>
            <w:r>
              <w:rPr>
                <w:rFonts w:hint="eastAsia"/>
                <w:color w:val="auto"/>
                <w:lang w:eastAsia="zh-CN"/>
              </w:rPr>
              <w:t>本项目设置</w:t>
            </w:r>
            <w:r>
              <w:rPr>
                <w:rFonts w:hint="eastAsia"/>
                <w:color w:val="auto"/>
                <w:lang w:val="en-US" w:eastAsia="zh-CN"/>
              </w:rPr>
              <w:t>高压蒸汽灭菌锅1台，总容积50L，一次加水约2.5L，水循环使用，不排放，定期补充损失部分，预计年用水量为0.03</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p>
          <w:p>
            <w:pPr>
              <w:numPr>
                <w:ilvl w:val="0"/>
                <w:numId w:val="4"/>
              </w:numPr>
              <w:spacing w:line="360" w:lineRule="auto"/>
              <w:ind w:firstLine="480" w:firstLineChars="200"/>
              <w:rPr>
                <w:rFonts w:hint="eastAsia"/>
                <w:color w:val="auto"/>
                <w:lang w:val="en-US" w:eastAsia="zh-CN"/>
              </w:rPr>
            </w:pPr>
            <w:r>
              <w:rPr>
                <w:rFonts w:hint="eastAsia"/>
                <w:color w:val="auto"/>
                <w:lang w:val="en-US" w:eastAsia="zh-CN"/>
              </w:rPr>
              <w:t>第三次实验清洗用水量为0.05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p>
          <w:p>
            <w:pPr>
              <w:numPr>
                <w:ilvl w:val="0"/>
                <w:numId w:val="4"/>
              </w:numPr>
              <w:spacing w:line="360" w:lineRule="auto"/>
              <w:ind w:firstLine="480" w:firstLineChars="200"/>
              <w:rPr>
                <w:rFonts w:hint="eastAsia"/>
                <w:color w:val="auto"/>
                <w:lang w:val="en-US" w:eastAsia="zh-CN"/>
              </w:rPr>
            </w:pPr>
            <w:r>
              <w:rPr>
                <w:rFonts w:hint="eastAsia"/>
                <w:color w:val="auto"/>
                <w:lang w:val="en-US" w:eastAsia="zh-CN"/>
              </w:rPr>
              <w:t>实验分析、试剂配置年用水量为9.89</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p>
          <w:p>
            <w:pPr>
              <w:spacing w:line="360" w:lineRule="auto"/>
              <w:ind w:firstLine="480" w:firstLineChars="200"/>
              <w:rPr>
                <w:rFonts w:hint="default" w:ascii="Times New Roman" w:hAnsi="Times New Roman" w:eastAsia="宋体" w:cs="Times New Roman"/>
                <w:color w:val="auto"/>
                <w:lang w:eastAsia="zh-CN"/>
              </w:rPr>
            </w:pPr>
            <w:r>
              <w:rPr>
                <w:rFonts w:hint="eastAsia" w:cs="Times New Roman"/>
                <w:color w:val="auto"/>
                <w:lang w:eastAsia="zh-CN"/>
              </w:rPr>
              <w:t>（</w:t>
            </w:r>
            <w:r>
              <w:rPr>
                <w:rFonts w:hint="eastAsia" w:cs="Times New Roman"/>
                <w:color w:val="auto"/>
                <w:lang w:val="en-US" w:eastAsia="zh-CN"/>
              </w:rPr>
              <w:t>2</w:t>
            </w:r>
            <w:r>
              <w:rPr>
                <w:rFonts w:hint="eastAsia" w:cs="Times New Roman"/>
                <w:color w:val="auto"/>
                <w:lang w:eastAsia="zh-CN"/>
              </w:rPr>
              <w:t>）自来水作为水源</w:t>
            </w:r>
          </w:p>
          <w:p>
            <w:pPr>
              <w:spacing w:line="360" w:lineRule="auto"/>
              <w:ind w:firstLine="480" w:firstLineChars="200"/>
              <w:rPr>
                <w:rFonts w:hint="eastAsia"/>
                <w:color w:val="auto"/>
                <w:lang w:val="en-US" w:eastAsia="zh-CN"/>
              </w:rPr>
            </w:pPr>
            <w:r>
              <w:rPr>
                <w:rFonts w:hint="default" w:ascii="Times New Roman" w:hAnsi="Times New Roman" w:eastAsia="宋体" w:cs="Times New Roman"/>
                <w:color w:val="auto"/>
                <w:lang w:eastAsia="zh-CN"/>
              </w:rPr>
              <w:t>本项目</w:t>
            </w:r>
            <w:r>
              <w:rPr>
                <w:rFonts w:hint="eastAsia" w:cs="Times New Roman"/>
                <w:color w:val="auto"/>
                <w:lang w:eastAsia="zh-CN"/>
              </w:rPr>
              <w:t>自来水</w:t>
            </w:r>
            <w:r>
              <w:rPr>
                <w:rFonts w:hint="default" w:ascii="Times New Roman" w:hAnsi="Times New Roman" w:eastAsia="宋体" w:cs="Times New Roman"/>
                <w:color w:val="auto"/>
                <w:lang w:eastAsia="zh-CN"/>
              </w:rPr>
              <w:t>用水</w:t>
            </w:r>
            <w:r>
              <w:rPr>
                <w:rFonts w:hint="eastAsia" w:ascii="Times New Roman" w:hAnsi="Times New Roman" w:eastAsia="宋体" w:cs="Times New Roman"/>
                <w:color w:val="auto"/>
                <w:lang w:val="en-US" w:eastAsia="zh-CN"/>
              </w:rPr>
              <w:t>主要为生活用水、实验器具清洗用水、净水机用水、动物房清洗用水、手术器具清洁用水、水迷宫实验用水</w:t>
            </w:r>
            <w:r>
              <w:rPr>
                <w:rFonts w:hint="eastAsia" w:cs="Times New Roman"/>
                <w:color w:val="auto"/>
                <w:lang w:val="en-US" w:eastAsia="zh-CN"/>
              </w:rPr>
              <w:t>、消毒配置用水、实验服清洗用水</w:t>
            </w:r>
            <w:r>
              <w:rPr>
                <w:rFonts w:hint="default" w:ascii="Times New Roman" w:hAnsi="Times New Roman" w:eastAsia="宋体" w:cs="Times New Roman"/>
                <w:color w:val="auto"/>
                <w:lang w:eastAsia="zh-CN"/>
              </w:rPr>
              <w:t>。由市政给水管网统一提供，能够满足本项目需要。</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color w:val="auto"/>
              </w:rPr>
            </w:pPr>
            <w:r>
              <w:rPr>
                <w:rFonts w:hint="eastAsia"/>
                <w:color w:val="auto"/>
                <w:lang w:val="en-US" w:eastAsia="zh-CN"/>
              </w:rPr>
              <w:t>A.生活</w:t>
            </w:r>
            <w:r>
              <w:rPr>
                <w:rFonts w:hint="default"/>
                <w:color w:val="auto"/>
              </w:rPr>
              <w:t>用水</w:t>
            </w:r>
          </w:p>
          <w:p>
            <w:pPr>
              <w:pStyle w:val="8"/>
              <w:bidi w:val="0"/>
              <w:rPr>
                <w:rFonts w:hint="eastAsia"/>
                <w:color w:val="auto"/>
                <w:lang w:eastAsia="zh-CN"/>
              </w:rPr>
            </w:pPr>
            <w:r>
              <w:rPr>
                <w:rFonts w:hint="eastAsia"/>
                <w:color w:val="auto"/>
                <w:lang w:eastAsia="zh-CN"/>
              </w:rPr>
              <w:t>本项目劳动</w:t>
            </w:r>
            <w:r>
              <w:rPr>
                <w:color w:val="auto"/>
              </w:rPr>
              <w:t>定员</w:t>
            </w:r>
            <w:r>
              <w:rPr>
                <w:rFonts w:hint="eastAsia"/>
                <w:color w:val="auto"/>
                <w:lang w:val="en-US" w:eastAsia="zh-CN"/>
              </w:rPr>
              <w:t>19</w:t>
            </w:r>
            <w:r>
              <w:rPr>
                <w:rFonts w:hint="eastAsia"/>
                <w:color w:val="auto"/>
              </w:rPr>
              <w:t>人</w:t>
            </w:r>
            <w:r>
              <w:rPr>
                <w:color w:val="auto"/>
              </w:rPr>
              <w:t>，</w:t>
            </w:r>
            <w:r>
              <w:rPr>
                <w:rFonts w:hint="eastAsia"/>
                <w:color w:val="auto"/>
                <w:lang w:eastAsia="zh-CN"/>
              </w:rPr>
              <w:t>其中</w:t>
            </w:r>
            <w:r>
              <w:rPr>
                <w:rFonts w:hint="eastAsia"/>
                <w:color w:val="auto"/>
                <w:lang w:val="en-US" w:eastAsia="zh-CN"/>
              </w:rPr>
              <w:t>15人</w:t>
            </w:r>
            <w:r>
              <w:rPr>
                <w:rFonts w:hint="eastAsia"/>
                <w:color w:val="auto"/>
                <w:lang w:eastAsia="zh-CN"/>
              </w:rPr>
              <w:t>生活用水主要为职工日常盥洗、冲厕等，</w:t>
            </w:r>
            <w:r>
              <w:rPr>
                <w:rFonts w:hint="eastAsia"/>
                <w:color w:val="auto"/>
              </w:rPr>
              <w:t>依据</w:t>
            </w:r>
            <w:r>
              <w:rPr>
                <w:color w:val="auto"/>
              </w:rPr>
              <w:t>《建筑给水排水设计规范》(GB50015-2019)</w:t>
            </w:r>
            <w:r>
              <w:rPr>
                <w:rFonts w:hint="eastAsia"/>
                <w:color w:val="auto"/>
              </w:rPr>
              <w:t>，员工用水量按</w:t>
            </w:r>
            <w:r>
              <w:rPr>
                <w:rFonts w:hint="eastAsia"/>
                <w:color w:val="auto"/>
                <w:lang w:val="en-US" w:eastAsia="zh-CN"/>
              </w:rPr>
              <w:t>50</w:t>
            </w:r>
            <w:r>
              <w:rPr>
                <w:rFonts w:hint="eastAsia"/>
                <w:color w:val="auto"/>
              </w:rPr>
              <w:t>L/(人</w:t>
            </w:r>
            <w:r>
              <w:rPr>
                <w:color w:val="auto"/>
              </w:rPr>
              <w:t>·</w:t>
            </w:r>
            <w:r>
              <w:rPr>
                <w:rFonts w:hint="eastAsia"/>
                <w:color w:val="auto"/>
              </w:rPr>
              <w:t>天)计，</w:t>
            </w:r>
            <w:r>
              <w:rPr>
                <w:rFonts w:hint="eastAsia"/>
                <w:color w:val="auto"/>
                <w:lang w:eastAsia="zh-CN"/>
              </w:rPr>
              <w:t>另外</w:t>
            </w:r>
            <w:r>
              <w:rPr>
                <w:rFonts w:hint="eastAsia"/>
                <w:color w:val="auto"/>
                <w:lang w:val="en-US" w:eastAsia="zh-CN"/>
              </w:rPr>
              <w:t>4人负责动物实验，</w:t>
            </w:r>
            <w:r>
              <w:rPr>
                <w:rFonts w:hint="eastAsia"/>
                <w:color w:val="auto"/>
                <w:lang w:eastAsia="zh-CN"/>
              </w:rPr>
              <w:t>生活用水主要为职工日常盥洗、冲厕、淋浴等，</w:t>
            </w:r>
            <w:r>
              <w:rPr>
                <w:rFonts w:hint="eastAsia"/>
                <w:color w:val="auto"/>
              </w:rPr>
              <w:t>依据</w:t>
            </w:r>
            <w:r>
              <w:rPr>
                <w:color w:val="auto"/>
              </w:rPr>
              <w:t>《建筑给水排水设计规范》(GB50015-2019)</w:t>
            </w:r>
            <w:r>
              <w:rPr>
                <w:rFonts w:hint="eastAsia"/>
                <w:color w:val="auto"/>
              </w:rPr>
              <w:t>，员工用水量按</w:t>
            </w:r>
            <w:r>
              <w:rPr>
                <w:rFonts w:hint="eastAsia"/>
                <w:color w:val="auto"/>
                <w:lang w:val="en-US" w:eastAsia="zh-CN"/>
              </w:rPr>
              <w:t>60</w:t>
            </w:r>
            <w:r>
              <w:rPr>
                <w:rFonts w:hint="eastAsia"/>
                <w:color w:val="auto"/>
              </w:rPr>
              <w:t>L/(人</w:t>
            </w:r>
            <w:r>
              <w:rPr>
                <w:color w:val="auto"/>
              </w:rPr>
              <w:t>·</w:t>
            </w:r>
            <w:r>
              <w:rPr>
                <w:rFonts w:hint="eastAsia"/>
                <w:color w:val="auto"/>
              </w:rPr>
              <w:t>天)计，</w:t>
            </w:r>
            <w:r>
              <w:rPr>
                <w:color w:val="auto"/>
              </w:rPr>
              <w:t>年工作时间</w:t>
            </w:r>
            <w:r>
              <w:rPr>
                <w:rFonts w:hint="eastAsia"/>
                <w:color w:val="auto"/>
                <w:lang w:val="en-US" w:eastAsia="zh-CN"/>
              </w:rPr>
              <w:t>25</w:t>
            </w:r>
            <w:r>
              <w:rPr>
                <w:rFonts w:hint="eastAsia"/>
                <w:color w:val="auto"/>
              </w:rPr>
              <w:t>0</w:t>
            </w:r>
            <w:r>
              <w:rPr>
                <w:color w:val="auto"/>
              </w:rPr>
              <w:t>d</w:t>
            </w:r>
            <w:r>
              <w:rPr>
                <w:rFonts w:hint="eastAsia"/>
                <w:color w:val="auto"/>
              </w:rPr>
              <w:t>/a，</w:t>
            </w:r>
            <w:r>
              <w:rPr>
                <w:rFonts w:hint="eastAsia"/>
                <w:color w:val="auto"/>
                <w:lang w:val="en-US" w:eastAsia="zh-CN"/>
              </w:rPr>
              <w:t>生活</w:t>
            </w:r>
            <w:r>
              <w:rPr>
                <w:rFonts w:hint="default"/>
                <w:color w:val="auto"/>
              </w:rPr>
              <w:t>用水量为</w:t>
            </w:r>
            <w:r>
              <w:rPr>
                <w:rFonts w:hint="eastAsia"/>
                <w:color w:val="auto"/>
                <w:lang w:val="en-US" w:eastAsia="zh-CN"/>
              </w:rPr>
              <w:t>0.99</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247.5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pStyle w:val="8"/>
              <w:keepNext w:val="0"/>
              <w:keepLines w:val="0"/>
              <w:pageBreakBefore w:val="0"/>
              <w:widowControl w:val="0"/>
              <w:numPr>
                <w:ilvl w:val="0"/>
                <w:numId w:val="0"/>
              </w:numPr>
              <w:kinsoku/>
              <w:wordWrap/>
              <w:overflowPunct/>
              <w:topLinePunct w:val="0"/>
              <w:autoSpaceDE/>
              <w:autoSpaceDN/>
              <w:bidi w:val="0"/>
              <w:adjustRightInd/>
              <w:snapToGrid w:val="0"/>
              <w:ind w:firstLine="480" w:firstLineChars="200"/>
              <w:textAlignment w:val="auto"/>
              <w:rPr>
                <w:rFonts w:hint="eastAsia"/>
                <w:color w:val="auto"/>
                <w:lang w:val="en-US" w:eastAsia="zh-CN"/>
              </w:rPr>
            </w:pPr>
            <w:r>
              <w:rPr>
                <w:rFonts w:hint="eastAsia"/>
                <w:color w:val="auto"/>
                <w:lang w:val="en-US" w:eastAsia="zh-CN"/>
              </w:rPr>
              <w:t>B.实验器具清洗用水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val="en-US" w:eastAsia="zh-CN"/>
              </w:rPr>
              <w:t>本项目实验中枪头、载玻片均为一次性使用，不清洗。实验器具量筒、烧杯、玻璃棒使用自来水清洗两遍。每日清洗用水量为 0.001</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0.25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200"/>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C.净水机用水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动物饮水在洗消前室设有净水机、动物饮水机，</w:t>
            </w:r>
            <w:r>
              <w:rPr>
                <w:rFonts w:hint="eastAsia" w:cs="Times New Roman"/>
                <w:color w:val="auto"/>
                <w:lang w:val="en-US" w:eastAsia="zh-CN"/>
              </w:rPr>
              <w:t>动物饮</w:t>
            </w:r>
            <w:r>
              <w:rPr>
                <w:rFonts w:hint="eastAsia"/>
                <w:color w:val="auto"/>
                <w:lang w:val="en-US" w:eastAsia="zh-CN"/>
              </w:rPr>
              <w:t>用水量为0.001</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自来水通过净水机过滤，净水机采用PP滤芯+高效活性炭滤芯+RO反渗透膜过滤，根据建设单位提供资料，因小型净水机水泵增压小，净水能力为10%，</w:t>
            </w:r>
            <w:r>
              <w:rPr>
                <w:rFonts w:hint="eastAsia"/>
                <w:color w:val="auto"/>
                <w:lang w:eastAsia="zh-CN"/>
              </w:rPr>
              <w:t>为</w:t>
            </w:r>
            <w:r>
              <w:rPr>
                <w:rFonts w:hint="eastAsia"/>
                <w:color w:val="auto"/>
              </w:rPr>
              <w:t>保证</w:t>
            </w:r>
            <w:r>
              <w:rPr>
                <w:rFonts w:hint="eastAsia"/>
                <w:color w:val="auto"/>
                <w:lang w:eastAsia="zh-CN"/>
              </w:rPr>
              <w:t>净水</w:t>
            </w:r>
            <w:r>
              <w:rPr>
                <w:rFonts w:hint="eastAsia"/>
                <w:color w:val="auto"/>
              </w:rPr>
              <w:t>制备效率</w:t>
            </w:r>
            <w:r>
              <w:rPr>
                <w:rFonts w:hint="eastAsia"/>
                <w:color w:val="auto"/>
                <w:lang w:eastAsia="zh-CN"/>
              </w:rPr>
              <w:t>和质量</w:t>
            </w:r>
            <w:r>
              <w:rPr>
                <w:rFonts w:hint="eastAsia"/>
                <w:color w:val="auto"/>
              </w:rPr>
              <w:t>，内部膜组件</w:t>
            </w:r>
            <w:r>
              <w:rPr>
                <w:rFonts w:hint="eastAsia"/>
                <w:color w:val="auto"/>
                <w:lang w:eastAsia="zh-CN"/>
              </w:rPr>
              <w:t>定期更换</w:t>
            </w:r>
            <w:r>
              <w:rPr>
                <w:rFonts w:hint="eastAsia"/>
                <w:color w:val="auto"/>
              </w:rPr>
              <w:t>，用</w:t>
            </w:r>
            <w:r>
              <w:rPr>
                <w:rFonts w:hint="eastAsia"/>
                <w:color w:val="auto"/>
                <w:lang w:eastAsia="zh-CN"/>
              </w:rPr>
              <w:t>水</w:t>
            </w:r>
            <w:r>
              <w:rPr>
                <w:rFonts w:hint="eastAsia"/>
                <w:color w:val="auto"/>
                <w:lang w:val="en-US" w:eastAsia="zh-CN"/>
              </w:rPr>
              <w:t>量为0.01</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numPr>
                <w:ilvl w:val="0"/>
                <w:numId w:val="0"/>
              </w:numPr>
              <w:ind w:leftChars="200"/>
              <w:rPr>
                <w:rFonts w:hint="eastAsia" w:cs="Times New Roman"/>
                <w:color w:val="auto"/>
                <w:lang w:val="en-US" w:eastAsia="zh-CN"/>
              </w:rPr>
            </w:pPr>
            <w:r>
              <w:rPr>
                <w:rFonts w:hint="eastAsia" w:cs="Times New Roman"/>
                <w:color w:val="auto"/>
                <w:lang w:val="en-US" w:eastAsia="zh-CN"/>
              </w:rPr>
              <w:t>D.动物房清洗用水</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本项目动物房饲养鼠、兔等动物，饲养期为3~10天，饲养期间不洗澡。饲养间每周清洁一次，鼠饲养间使用酒精消毒，兔饲养间使用84消毒液消毒，消毒后使用自来水清洁地面，</w:t>
            </w:r>
            <w:r>
              <w:rPr>
                <w:rFonts w:hint="eastAsia"/>
                <w:color w:val="auto"/>
                <w:highlight w:val="none"/>
              </w:rPr>
              <w:t>根据</w:t>
            </w:r>
            <w:r>
              <w:rPr>
                <w:color w:val="auto"/>
                <w:highlight w:val="none"/>
              </w:rPr>
              <w:t>《建筑给水排水设计规范》(GB50015-2019)</w:t>
            </w:r>
            <w:r>
              <w:rPr>
                <w:rFonts w:hint="eastAsia"/>
                <w:color w:val="auto"/>
                <w:highlight w:val="none"/>
              </w:rPr>
              <w:t>，地面冲洗用水为2~3L每平方米每次，本项目地面清洁用水量以2</w:t>
            </w:r>
            <w:r>
              <w:rPr>
                <w:color w:val="auto"/>
                <w:highlight w:val="none"/>
              </w:rPr>
              <w:t>L/m</w:t>
            </w:r>
            <w:r>
              <w:rPr>
                <w:rFonts w:hint="eastAsia"/>
                <w:color w:val="auto"/>
                <w:highlight w:val="none"/>
                <w:vertAlign w:val="superscript"/>
              </w:rPr>
              <w:t>2</w:t>
            </w:r>
            <w:r>
              <w:rPr>
                <w:color w:val="auto"/>
                <w:highlight w:val="none"/>
              </w:rPr>
              <w:t xml:space="preserve">·d </w:t>
            </w:r>
            <w:r>
              <w:rPr>
                <w:rFonts w:hint="eastAsia"/>
                <w:color w:val="auto"/>
                <w:highlight w:val="none"/>
              </w:rPr>
              <w:t>计，</w:t>
            </w:r>
            <w:r>
              <w:rPr>
                <w:rFonts w:hint="eastAsia"/>
                <w:color w:val="auto"/>
                <w:highlight w:val="none"/>
                <w:lang w:eastAsia="zh-CN"/>
              </w:rPr>
              <w:t>饲养间面积为</w:t>
            </w:r>
            <w:r>
              <w:rPr>
                <w:rFonts w:hint="eastAsia"/>
                <w:color w:val="auto"/>
                <w:highlight w:val="none"/>
                <w:lang w:val="en-US" w:eastAsia="zh-CN"/>
              </w:rPr>
              <w:t>230</w:t>
            </w:r>
            <w:r>
              <w:rPr>
                <w:color w:val="auto"/>
                <w:highlight w:val="none"/>
              </w:rPr>
              <w:t>m</w:t>
            </w:r>
            <w:r>
              <w:rPr>
                <w:rFonts w:hint="eastAsia"/>
                <w:color w:val="auto"/>
                <w:highlight w:val="none"/>
                <w:vertAlign w:val="superscript"/>
              </w:rPr>
              <w:t>2</w:t>
            </w:r>
            <w:r>
              <w:rPr>
                <w:rFonts w:hint="eastAsia"/>
                <w:color w:val="auto"/>
                <w:highlight w:val="none"/>
              </w:rPr>
              <w:t>，</w:t>
            </w:r>
            <w:r>
              <w:rPr>
                <w:rFonts w:hint="eastAsia"/>
                <w:color w:val="auto"/>
                <w:lang w:val="en-US" w:eastAsia="zh-CN"/>
              </w:rPr>
              <w:t>用水量为0.07</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16.56</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r>
              <w:rPr>
                <w:rFonts w:hint="eastAsia"/>
                <w:color w:val="auto"/>
                <w:lang w:val="en-US" w:eastAsia="zh-CN"/>
              </w:rPr>
              <w:t>鼠用动物笼子每天在洗消前室使用洗消机、高压蒸汽灭菌器进行清洗、高压蒸汽消毒，用水量为0.2</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50</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）。兔用</w:t>
            </w:r>
            <w:r>
              <w:rPr>
                <w:rFonts w:hint="eastAsia"/>
                <w:color w:val="auto"/>
                <w:lang w:val="en-US" w:eastAsia="zh-CN"/>
              </w:rPr>
              <w:t>动物笼子每周在饲养间消毒后清洗，用水量为0.2</w:t>
            </w:r>
            <w:r>
              <w:rPr>
                <w:rFonts w:hint="default"/>
                <w:color w:val="auto"/>
              </w:rPr>
              <w:t>m</w:t>
            </w:r>
            <w:r>
              <w:rPr>
                <w:rFonts w:hint="eastAsia"/>
                <w:color w:val="auto"/>
                <w:vertAlign w:val="superscript"/>
                <w:lang w:val="en-US" w:eastAsia="zh-CN"/>
              </w:rPr>
              <w:t>3</w:t>
            </w:r>
            <w:r>
              <w:rPr>
                <w:color w:val="auto"/>
              </w:rPr>
              <w:t>/</w:t>
            </w:r>
            <w:r>
              <w:rPr>
                <w:rFonts w:hint="eastAsia"/>
                <w:color w:val="auto"/>
                <w:lang w:eastAsia="zh-CN"/>
              </w:rPr>
              <w:t>次（</w:t>
            </w:r>
            <w:r>
              <w:rPr>
                <w:rFonts w:hint="eastAsia"/>
                <w:color w:val="auto"/>
                <w:lang w:val="en-US" w:eastAsia="zh-CN"/>
              </w:rPr>
              <w:t>0.029</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7.2</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）。动物饮水瓶在洗刷间清洗，</w:t>
            </w:r>
            <w:r>
              <w:rPr>
                <w:rFonts w:hint="eastAsia"/>
                <w:color w:val="auto"/>
                <w:lang w:val="en-US" w:eastAsia="zh-CN"/>
              </w:rPr>
              <w:t>用水量为0.25</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7.2</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）。合计</w:t>
            </w:r>
            <w:r>
              <w:rPr>
                <w:rFonts w:hint="eastAsia"/>
                <w:color w:val="auto"/>
                <w:lang w:val="en-US" w:eastAsia="zh-CN"/>
              </w:rPr>
              <w:t>用水量为0.745</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186.26</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numPr>
                <w:ilvl w:val="0"/>
                <w:numId w:val="0"/>
              </w:numPr>
              <w:ind w:leftChars="200"/>
              <w:rPr>
                <w:rFonts w:hint="eastAsia"/>
                <w:color w:val="auto"/>
                <w:lang w:val="en-US" w:eastAsia="zh-CN"/>
              </w:rPr>
            </w:pPr>
            <w:r>
              <w:rPr>
                <w:rFonts w:hint="eastAsia"/>
                <w:color w:val="auto"/>
                <w:lang w:val="en-US" w:eastAsia="zh-CN"/>
              </w:rPr>
              <w:t>E.手术器具清洁用水</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本项目鼠解剖手术位于取材室，兔子解剖手术位于手术室，一天平均进行3台手术，手术器具经酒精消毒后进入洗消机清洗消毒，用水量为0.05</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pStyle w:val="2"/>
              <w:numPr>
                <w:ilvl w:val="0"/>
                <w:numId w:val="0"/>
              </w:numPr>
              <w:ind w:leftChars="200"/>
              <w:rPr>
                <w:rFonts w:hint="default"/>
                <w:color w:val="auto"/>
                <w:lang w:val="en-US" w:eastAsia="zh-CN"/>
              </w:rPr>
            </w:pPr>
            <w:r>
              <w:rPr>
                <w:rFonts w:hint="eastAsia"/>
                <w:color w:val="auto"/>
                <w:lang w:val="en-US" w:eastAsia="zh-CN"/>
              </w:rPr>
              <w:t>F.水迷宫实验用水</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val="en-US" w:eastAsia="zh-CN"/>
              </w:rPr>
              <w:t>本项目水迷宫实验室设有两个水迷宫储水装置，D=5m，h=0.3，有效容积为50%，用水量为24</w:t>
            </w:r>
            <w:r>
              <w:rPr>
                <w:rFonts w:hint="default"/>
                <w:color w:val="auto"/>
              </w:rPr>
              <w:t>m</w:t>
            </w:r>
            <w:r>
              <w:rPr>
                <w:rFonts w:hint="eastAsia"/>
                <w:color w:val="auto"/>
                <w:vertAlign w:val="superscript"/>
                <w:lang w:val="en-US" w:eastAsia="zh-CN"/>
              </w:rPr>
              <w:t>3</w:t>
            </w:r>
            <w:r>
              <w:rPr>
                <w:rFonts w:hint="eastAsia"/>
                <w:color w:val="auto"/>
                <w:lang w:eastAsia="zh-CN"/>
              </w:rPr>
              <w:t>，</w:t>
            </w:r>
            <w:r>
              <w:rPr>
                <w:rFonts w:hint="eastAsia"/>
                <w:color w:val="auto"/>
                <w:lang w:val="en-US" w:eastAsia="zh-CN"/>
              </w:rPr>
              <w:t>自带净水系统，循环使用，定期补充，不外排。每日补水量0.01</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2.5</w:t>
            </w:r>
            <w:r>
              <w:rPr>
                <w:rFonts w:hint="default"/>
                <w:color w:val="auto"/>
              </w:rPr>
              <w:t>m</w:t>
            </w:r>
            <w:r>
              <w:rPr>
                <w:rFonts w:hint="eastAsia"/>
                <w:color w:val="auto"/>
                <w:vertAlign w:val="superscript"/>
                <w:lang w:val="en-US" w:eastAsia="zh-CN"/>
              </w:rPr>
              <w:t>3</w:t>
            </w:r>
            <w:r>
              <w:rPr>
                <w:color w:val="auto"/>
              </w:rPr>
              <w:t>/a</w:t>
            </w:r>
            <w:r>
              <w:rPr>
                <w:rFonts w:hint="eastAsia"/>
                <w:color w:val="auto"/>
                <w:lang w:eastAsia="zh-CN"/>
              </w:rPr>
              <w:t>）。合计</w:t>
            </w:r>
            <w:r>
              <w:rPr>
                <w:rFonts w:hint="eastAsia"/>
                <w:color w:val="auto"/>
                <w:lang w:val="en-US" w:eastAsia="zh-CN"/>
              </w:rPr>
              <w:t>水迷宫实验用水</w:t>
            </w:r>
            <w:r>
              <w:rPr>
                <w:rFonts w:hint="default"/>
                <w:color w:val="auto"/>
                <w:lang w:val="en-US" w:eastAsia="zh-CN"/>
              </w:rPr>
              <w:t>用水量为</w:t>
            </w:r>
            <w:r>
              <w:rPr>
                <w:rFonts w:hint="eastAsia"/>
                <w:color w:val="auto"/>
                <w:lang w:val="en-US" w:eastAsia="zh-CN"/>
              </w:rPr>
              <w:t>0.097</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24.25</w:t>
            </w:r>
            <w:r>
              <w:rPr>
                <w:rFonts w:hint="default"/>
                <w:color w:val="auto"/>
              </w:rPr>
              <w:t>m</w:t>
            </w:r>
            <w:r>
              <w:rPr>
                <w:rFonts w:hint="eastAsia"/>
                <w:color w:val="auto"/>
                <w:vertAlign w:val="superscript"/>
                <w:lang w:val="en-US" w:eastAsia="zh-CN"/>
              </w:rPr>
              <w:t>3</w:t>
            </w:r>
            <w:r>
              <w:rPr>
                <w:color w:val="auto"/>
              </w:rPr>
              <w:t>/a</w:t>
            </w:r>
            <w:r>
              <w:rPr>
                <w:rFonts w:hint="eastAsia"/>
                <w:color w:val="auto"/>
                <w:lang w:eastAsia="zh-CN"/>
              </w:rPr>
              <w:t>）。</w:t>
            </w:r>
          </w:p>
          <w:p>
            <w:pPr>
              <w:numPr>
                <w:ilvl w:val="0"/>
                <w:numId w:val="0"/>
              </w:numPr>
              <w:ind w:leftChars="200"/>
              <w:rPr>
                <w:rFonts w:hint="eastAsia"/>
                <w:color w:val="auto"/>
                <w:lang w:val="en-US" w:eastAsia="zh-CN"/>
              </w:rPr>
            </w:pPr>
            <w:r>
              <w:rPr>
                <w:rFonts w:hint="eastAsia"/>
                <w:color w:val="auto"/>
                <w:lang w:val="en-US" w:eastAsia="zh-CN"/>
              </w:rPr>
              <w:t>G.消毒配置用水</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本项目动物饲养间每周消毒一次，鼠饲养间使用酒精消毒，兔饲养间使用84消毒液消毒。本项目84消毒液年用量为5L/a，与水按1：100配置，年用水量为0.5</w:t>
            </w:r>
            <w:r>
              <w:rPr>
                <w:rFonts w:hint="default"/>
                <w:color w:val="auto"/>
              </w:rPr>
              <w:t>m</w:t>
            </w:r>
            <w:r>
              <w:rPr>
                <w:rFonts w:hint="eastAsia"/>
                <w:color w:val="auto"/>
                <w:vertAlign w:val="superscript"/>
                <w:lang w:val="en-US" w:eastAsia="zh-CN"/>
              </w:rPr>
              <w:t>3</w:t>
            </w:r>
            <w:r>
              <w:rPr>
                <w:color w:val="auto"/>
              </w:rPr>
              <w:t>/a</w:t>
            </w:r>
            <w:r>
              <w:rPr>
                <w:rFonts w:hint="eastAsia"/>
                <w:color w:val="auto"/>
                <w:lang w:eastAsia="zh-CN"/>
              </w:rPr>
              <w:t>，</w:t>
            </w:r>
            <w:r>
              <w:rPr>
                <w:rFonts w:hint="eastAsia"/>
                <w:color w:val="auto"/>
                <w:lang w:val="en-US" w:eastAsia="zh-CN"/>
              </w:rPr>
              <w:t>消毒使用无水乙醇年用量为50L/a，与水按1：3配置，年用水量为0.15</w:t>
            </w:r>
            <w:r>
              <w:rPr>
                <w:rFonts w:hint="default"/>
                <w:color w:val="auto"/>
              </w:rPr>
              <w:t>m</w:t>
            </w:r>
            <w:r>
              <w:rPr>
                <w:rFonts w:hint="eastAsia"/>
                <w:color w:val="auto"/>
                <w:vertAlign w:val="superscript"/>
                <w:lang w:val="en-US" w:eastAsia="zh-CN"/>
              </w:rPr>
              <w:t>3</w:t>
            </w:r>
            <w:r>
              <w:rPr>
                <w:color w:val="auto"/>
              </w:rPr>
              <w:t>/a</w:t>
            </w:r>
            <w:r>
              <w:rPr>
                <w:rFonts w:hint="eastAsia"/>
                <w:color w:val="auto"/>
                <w:lang w:val="en-US" w:eastAsia="zh-CN"/>
              </w:rPr>
              <w:t>。</w:t>
            </w:r>
            <w:r>
              <w:rPr>
                <w:rFonts w:hint="eastAsia"/>
                <w:color w:val="auto"/>
                <w:lang w:val="en-US" w:eastAsia="zh-CN"/>
              </w:rPr>
              <w:t>合计消毒配置用水量为0.0026</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0.65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keepNext w:val="0"/>
              <w:keepLines w:val="0"/>
              <w:pageBreakBefore w:val="0"/>
              <w:widowControl w:val="0"/>
              <w:numPr>
                <w:ilvl w:val="0"/>
                <w:numId w:val="5"/>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实验服清洗用水</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本项目劳动定员19人，实验服需定期清洗，根据建设单位提供资料，用水量为0.05</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综上所述，</w:t>
            </w:r>
            <w:r>
              <w:rPr>
                <w:rFonts w:hint="default"/>
                <w:color w:val="auto"/>
                <w:lang w:val="en-US" w:eastAsia="zh-CN"/>
              </w:rPr>
              <w:t>本项目总用水量为</w:t>
            </w:r>
            <w:r>
              <w:rPr>
                <w:rFonts w:hint="eastAsia"/>
                <w:color w:val="auto"/>
                <w:lang w:val="en-US" w:eastAsia="zh-CN"/>
              </w:rPr>
              <w:t>1.946</w:t>
            </w:r>
            <w:r>
              <w:rPr>
                <w:rFonts w:hint="default"/>
                <w:color w:val="auto"/>
              </w:rPr>
              <w:t>m</w:t>
            </w:r>
            <w:r>
              <w:rPr>
                <w:rFonts w:hint="eastAsia"/>
                <w:color w:val="auto"/>
                <w:vertAlign w:val="superscript"/>
                <w:lang w:val="en-US" w:eastAsia="zh-CN"/>
              </w:rPr>
              <w:t>3</w:t>
            </w:r>
            <w:r>
              <w:rPr>
                <w:color w:val="auto"/>
              </w:rPr>
              <w:t>/d</w:t>
            </w:r>
            <w:r>
              <w:rPr>
                <w:rFonts w:hint="eastAsia"/>
                <w:color w:val="auto"/>
                <w:lang w:eastAsia="zh-CN"/>
              </w:rPr>
              <w:t>（</w:t>
            </w:r>
            <w:r>
              <w:rPr>
                <w:rFonts w:hint="eastAsia"/>
                <w:color w:val="auto"/>
                <w:lang w:val="en-US" w:eastAsia="zh-CN"/>
              </w:rPr>
              <w:t>486.41</w:t>
            </w:r>
            <w:r>
              <w:rPr>
                <w:rFonts w:hint="default"/>
                <w:color w:val="auto"/>
              </w:rPr>
              <w:t>m</w:t>
            </w:r>
            <w:r>
              <w:rPr>
                <w:rFonts w:hint="eastAsia"/>
                <w:color w:val="auto"/>
                <w:vertAlign w:val="superscript"/>
                <w:lang w:val="en-US" w:eastAsia="zh-CN"/>
              </w:rPr>
              <w:t>3</w:t>
            </w:r>
            <w:r>
              <w:rPr>
                <w:color w:val="auto"/>
              </w:rPr>
              <w:t>/a</w:t>
            </w:r>
            <w:r>
              <w:rPr>
                <w:rFonts w:hint="eastAsia"/>
                <w:color w:val="auto"/>
                <w:lang w:eastAsia="zh-CN"/>
              </w:rPr>
              <w:t>）。</w:t>
            </w:r>
          </w:p>
          <w:p>
            <w:pPr>
              <w:pStyle w:val="4"/>
              <w:bidi w:val="0"/>
              <w:rPr>
                <w:rFonts w:hint="default"/>
                <w:color w:val="auto"/>
              </w:rPr>
            </w:pPr>
            <w:r>
              <w:rPr>
                <w:rFonts w:hint="eastAsia"/>
                <w:color w:val="auto"/>
                <w:lang w:val="en-US" w:eastAsia="zh-CN"/>
              </w:rPr>
              <w:t>2.3.2排水</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排水采用雨污分流制，雨水经厂区雨水管道收集后排入市政雨水管道。本项目动物房清洗废水、手术器具清洁废水、第三次实验清洗废水、实验服清洗废水经消毒处理，生活污水经化粪池静置沉淀，同净水机浓水混合通过厂区总排口排入市政污水管网，最终排入咸阳路污水处理厂处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（1）纯水作为水源</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eastAsia"/>
                <w:color w:val="auto"/>
                <w:lang w:eastAsia="zh-CN"/>
              </w:rPr>
            </w:pPr>
            <w:r>
              <w:rPr>
                <w:rFonts w:hint="eastAsia"/>
                <w:color w:val="auto"/>
                <w:lang w:eastAsia="zh-CN"/>
              </w:rPr>
              <w:t>本项目废水</w:t>
            </w:r>
            <w:r>
              <w:rPr>
                <w:rFonts w:hint="eastAsia"/>
                <w:color w:val="auto"/>
              </w:rPr>
              <w:t>排水系数按</w:t>
            </w:r>
            <w:r>
              <w:rPr>
                <w:color w:val="auto"/>
              </w:rPr>
              <w:t>90%计算</w:t>
            </w:r>
            <w:r>
              <w:rPr>
                <w:rFonts w:hint="eastAsia"/>
                <w:color w:val="auto"/>
                <w:lang w:eastAsia="zh-CN"/>
              </w:rPr>
              <w:t>，第三次实验清洗废水</w:t>
            </w:r>
            <w:r>
              <w:rPr>
                <w:rFonts w:hint="eastAsia"/>
                <w:color w:val="auto"/>
                <w:lang w:val="en-US" w:eastAsia="zh-CN"/>
              </w:rPr>
              <w:t>排放</w:t>
            </w:r>
            <w:r>
              <w:rPr>
                <w:rFonts w:hint="default"/>
                <w:color w:val="auto"/>
              </w:rPr>
              <w:t>量为</w:t>
            </w:r>
            <w:r>
              <w:rPr>
                <w:rFonts w:hint="eastAsia"/>
                <w:color w:val="auto"/>
                <w:lang w:val="en-US" w:eastAsia="zh-CN"/>
              </w:rPr>
              <w:t>0.00018</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pStyle w:val="8"/>
              <w:rPr>
                <w:rFonts w:hint="eastAsia"/>
                <w:color w:val="auto"/>
                <w:lang w:val="en-US" w:eastAsia="zh-CN"/>
              </w:rPr>
            </w:pPr>
            <w:r>
              <w:rPr>
                <w:rFonts w:hint="eastAsia"/>
                <w:color w:val="auto"/>
                <w:lang w:eastAsia="zh-CN"/>
              </w:rPr>
              <w:t>（</w:t>
            </w:r>
            <w:r>
              <w:rPr>
                <w:rFonts w:hint="eastAsia"/>
                <w:color w:val="auto"/>
                <w:lang w:val="en-US" w:eastAsia="zh-CN"/>
              </w:rPr>
              <w:t>2</w:t>
            </w:r>
            <w:r>
              <w:rPr>
                <w:rFonts w:hint="eastAsia"/>
                <w:color w:val="auto"/>
                <w:lang w:eastAsia="zh-CN"/>
              </w:rPr>
              <w:t>）自来水作为水源</w:t>
            </w:r>
          </w:p>
          <w:p>
            <w:pPr>
              <w:pStyle w:val="8"/>
              <w:bidi w:val="0"/>
              <w:rPr>
                <w:rFonts w:hint="eastAsia"/>
                <w:color w:val="auto"/>
                <w:lang w:eastAsia="zh-CN"/>
              </w:rPr>
            </w:pPr>
            <w:r>
              <w:rPr>
                <w:rFonts w:hint="eastAsia"/>
                <w:color w:val="auto"/>
                <w:lang w:eastAsia="zh-CN"/>
              </w:rPr>
              <w:t>本项目废水</w:t>
            </w:r>
            <w:r>
              <w:rPr>
                <w:rFonts w:hint="eastAsia"/>
                <w:color w:val="auto"/>
              </w:rPr>
              <w:t>排水系数按</w:t>
            </w:r>
            <w:r>
              <w:rPr>
                <w:color w:val="auto"/>
              </w:rPr>
              <w:t>90%计算</w:t>
            </w:r>
            <w:r>
              <w:rPr>
                <w:rFonts w:hint="eastAsia"/>
                <w:color w:val="auto"/>
                <w:lang w:eastAsia="zh-CN"/>
              </w:rPr>
              <w:t>，</w:t>
            </w:r>
            <w:r>
              <w:rPr>
                <w:rFonts w:hint="eastAsia"/>
                <w:color w:val="auto"/>
                <w:lang w:val="en-US" w:eastAsia="zh-CN"/>
              </w:rPr>
              <w:t>生活污水排放</w:t>
            </w:r>
            <w:r>
              <w:rPr>
                <w:rFonts w:hint="default"/>
                <w:color w:val="auto"/>
              </w:rPr>
              <w:t>量为</w:t>
            </w:r>
            <w:r>
              <w:rPr>
                <w:rFonts w:hint="eastAsia"/>
                <w:color w:val="auto"/>
                <w:lang w:val="en-US" w:eastAsia="zh-CN"/>
              </w:rPr>
              <w:t>0.891</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222.75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lang w:val="en-US" w:eastAsia="zh-CN"/>
              </w:rPr>
            </w:pPr>
            <w:r>
              <w:rPr>
                <w:rFonts w:hint="eastAsia"/>
                <w:color w:val="auto"/>
                <w:lang w:eastAsia="zh-CN"/>
              </w:rPr>
              <w:t>动物房清洗废水</w:t>
            </w:r>
            <w:r>
              <w:rPr>
                <w:rFonts w:hint="eastAsia"/>
                <w:color w:val="auto"/>
                <w:lang w:val="en-US" w:eastAsia="zh-CN"/>
              </w:rPr>
              <w:t>排放</w:t>
            </w:r>
            <w:r>
              <w:rPr>
                <w:rFonts w:hint="default"/>
                <w:color w:val="auto"/>
              </w:rPr>
              <w:t>量为</w:t>
            </w:r>
            <w:r>
              <w:rPr>
                <w:rFonts w:hint="eastAsia"/>
                <w:color w:val="auto"/>
                <w:lang w:val="en-US" w:eastAsia="zh-CN"/>
              </w:rPr>
              <w:t>0.671</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167.634</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r>
              <w:rPr>
                <w:rFonts w:hint="eastAsia"/>
                <w:color w:val="auto"/>
                <w:lang w:val="en-US" w:eastAsia="zh-CN"/>
              </w:rPr>
              <w:t>手术器具清洁</w:t>
            </w:r>
            <w:r>
              <w:rPr>
                <w:rFonts w:hint="eastAsia"/>
                <w:color w:val="auto"/>
                <w:lang w:eastAsia="zh-CN"/>
              </w:rPr>
              <w:t>废水</w:t>
            </w:r>
            <w:r>
              <w:rPr>
                <w:rFonts w:hint="eastAsia"/>
                <w:color w:val="auto"/>
                <w:lang w:val="en-US" w:eastAsia="zh-CN"/>
              </w:rPr>
              <w:t>排放</w:t>
            </w:r>
            <w:r>
              <w:rPr>
                <w:rFonts w:hint="default"/>
                <w:color w:val="auto"/>
              </w:rPr>
              <w:t>量为</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）；实验服清洗废水</w:t>
            </w:r>
            <w:r>
              <w:rPr>
                <w:rFonts w:hint="eastAsia"/>
                <w:color w:val="auto"/>
                <w:lang w:val="en-US" w:eastAsia="zh-CN"/>
              </w:rPr>
              <w:t>排放</w:t>
            </w:r>
            <w:r>
              <w:rPr>
                <w:rFonts w:hint="default"/>
                <w:color w:val="auto"/>
              </w:rPr>
              <w:t>量为</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）；净水机排浓水</w:t>
            </w:r>
            <w:r>
              <w:rPr>
                <w:rFonts w:hint="default"/>
                <w:color w:val="auto"/>
              </w:rPr>
              <w:t>量为</w:t>
            </w:r>
            <w:r>
              <w:rPr>
                <w:rFonts w:hint="eastAsia"/>
                <w:color w:val="auto"/>
                <w:lang w:val="en-US" w:eastAsia="zh-CN"/>
              </w:rPr>
              <w:t>0.009</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highlight w:val="none"/>
                <w:lang w:val="en-US" w:eastAsia="zh-CN"/>
              </w:rPr>
            </w:pPr>
            <w:r>
              <w:rPr>
                <w:rFonts w:hint="eastAsia"/>
                <w:color w:val="auto"/>
                <w:highlight w:val="none"/>
                <w:lang w:val="en-US" w:eastAsia="zh-CN"/>
              </w:rPr>
              <w:t>综上所述，</w:t>
            </w:r>
            <w:r>
              <w:rPr>
                <w:rFonts w:hint="default"/>
                <w:color w:val="auto"/>
                <w:highlight w:val="none"/>
                <w:lang w:val="en-US" w:eastAsia="zh-CN"/>
              </w:rPr>
              <w:t>本项目</w:t>
            </w:r>
            <w:r>
              <w:rPr>
                <w:rFonts w:hint="eastAsia"/>
                <w:color w:val="auto"/>
                <w:highlight w:val="none"/>
                <w:lang w:val="en-US" w:eastAsia="zh-CN"/>
              </w:rPr>
              <w:t>排水</w:t>
            </w:r>
            <w:r>
              <w:rPr>
                <w:rFonts w:hint="default"/>
                <w:color w:val="auto"/>
                <w:highlight w:val="none"/>
                <w:lang w:val="en-US" w:eastAsia="zh-CN"/>
              </w:rPr>
              <w:t>量为</w:t>
            </w:r>
            <w:r>
              <w:rPr>
                <w:rFonts w:hint="eastAsia"/>
                <w:color w:val="auto"/>
                <w:highlight w:val="none"/>
                <w:lang w:val="en-US" w:eastAsia="zh-CN"/>
              </w:rPr>
              <w:t>1.661</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eastAsia="zh-CN"/>
              </w:rPr>
              <w:t>（</w:t>
            </w:r>
            <w:r>
              <w:rPr>
                <w:rFonts w:hint="eastAsia"/>
                <w:color w:val="auto"/>
                <w:highlight w:val="none"/>
                <w:lang w:val="en-US" w:eastAsia="zh-CN"/>
              </w:rPr>
              <w:t>415.179</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w:t>
            </w:r>
            <w:r>
              <w:rPr>
                <w:rFonts w:hint="eastAsia"/>
                <w:color w:val="auto"/>
                <w:highlight w:val="none"/>
                <w:lang w:val="en-US" w:eastAsia="zh-CN"/>
              </w:rPr>
              <w:t>a</w:t>
            </w:r>
            <w:r>
              <w:rPr>
                <w:rFonts w:hint="eastAsia"/>
                <w:color w:val="auto"/>
                <w:highlight w:val="none"/>
                <w:lang w:eastAsia="zh-CN"/>
              </w:rPr>
              <w:t>）</w:t>
            </w:r>
            <w:r>
              <w:rPr>
                <w:rFonts w:hint="default"/>
                <w:color w:val="auto"/>
                <w:highlight w:val="none"/>
                <w:lang w:val="en-US" w:eastAsia="zh-CN"/>
              </w:rPr>
              <w:t>。</w:t>
            </w:r>
          </w:p>
          <w:p>
            <w:pPr>
              <w:pStyle w:val="2"/>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s="Times New Roman"/>
                <w:color w:val="auto"/>
                <w:lang w:val="en-US" w:eastAsia="zh-CN"/>
              </w:rPr>
              <w:t>本项目</w:t>
            </w:r>
            <w:r>
              <w:rPr>
                <w:rFonts w:hint="eastAsia" w:ascii="Times New Roman" w:hAnsi="Times New Roman" w:eastAsia="宋体" w:cs="Times New Roman"/>
                <w:color w:val="auto"/>
                <w:lang w:val="en-US" w:eastAsia="zh-CN"/>
              </w:rPr>
              <w:t>实验器具清洗废水</w:t>
            </w:r>
            <w:r>
              <w:rPr>
                <w:rFonts w:hint="eastAsia" w:cs="Times New Roman"/>
                <w:color w:val="auto"/>
                <w:lang w:val="en-US" w:eastAsia="zh-CN"/>
              </w:rPr>
              <w:t>产生</w:t>
            </w:r>
            <w:r>
              <w:rPr>
                <w:rFonts w:hint="default"/>
                <w:color w:val="auto"/>
              </w:rPr>
              <w:t>量为</w:t>
            </w:r>
            <w:r>
              <w:rPr>
                <w:rFonts w:hint="eastAsia"/>
                <w:color w:val="auto"/>
                <w:lang w:val="en-US" w:eastAsia="zh-CN"/>
              </w:rPr>
              <w:t>0.0009</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0.225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），经水槽下方软管连接收集桶收集，作为危险废物，暂存于危废暂存间，委托有资质单位处理处置。</w:t>
            </w:r>
            <w:r>
              <w:rPr>
                <w:rFonts w:hint="eastAsia"/>
                <w:color w:val="auto"/>
                <w:lang w:val="en-US" w:eastAsia="zh-CN"/>
              </w:rPr>
              <w:t>水迷宫实验用水循环使用，不外排。</w:t>
            </w:r>
            <w:r>
              <w:rPr>
                <w:rFonts w:hint="eastAsia" w:cs="Times New Roman"/>
                <w:color w:val="auto"/>
                <w:lang w:val="en-US" w:eastAsia="zh-CN"/>
              </w:rPr>
              <w:t>动物饮</w:t>
            </w:r>
            <w:r>
              <w:rPr>
                <w:rFonts w:hint="eastAsia"/>
                <w:color w:val="auto"/>
                <w:lang w:val="en-US" w:eastAsia="zh-CN"/>
              </w:rPr>
              <w:t>用水由动物代谢转化为排泄物。消毒用水在室内蒸发。</w:t>
            </w:r>
          </w:p>
          <w:p>
            <w:pPr>
              <w:pStyle w:val="83"/>
              <w:spacing w:before="120"/>
              <w:rPr>
                <w:color w:val="auto"/>
              </w:rPr>
            </w:pPr>
            <w:r>
              <w:rPr>
                <w:rFonts w:hint="eastAsia"/>
                <w:color w:val="auto"/>
              </w:rPr>
              <w:t>表2-</w:t>
            </w:r>
            <w:r>
              <w:rPr>
                <w:rFonts w:hint="eastAsia"/>
                <w:color w:val="auto"/>
                <w:lang w:val="en-US" w:eastAsia="zh-CN"/>
              </w:rPr>
              <w:t>10</w:t>
            </w:r>
            <w:r>
              <w:rPr>
                <w:rFonts w:hint="eastAsia"/>
                <w:color w:val="auto"/>
              </w:rPr>
              <w:t xml:space="preserve">   本项目给排水平衡表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15"/>
              <w:gridCol w:w="2400"/>
              <w:gridCol w:w="925"/>
              <w:gridCol w:w="920"/>
              <w:gridCol w:w="914"/>
              <w:gridCol w:w="25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6" w:type="pct"/>
                  <w:tcBorders>
                    <w:tl2br w:val="nil"/>
                    <w:tr2bl w:val="nil"/>
                  </w:tcBorders>
                  <w:vAlign w:val="center"/>
                </w:tcPr>
                <w:p>
                  <w:pPr>
                    <w:pStyle w:val="84"/>
                    <w:snapToGrid w:val="0"/>
                    <w:rPr>
                      <w:rFonts w:hint="eastAsia" w:eastAsia="宋体"/>
                      <w:b/>
                      <w:bCs/>
                      <w:color w:val="auto"/>
                      <w:sz w:val="21"/>
                      <w:szCs w:val="21"/>
                      <w:lang w:eastAsia="zh-CN"/>
                    </w:rPr>
                  </w:pPr>
                  <w:r>
                    <w:rPr>
                      <w:rFonts w:hint="eastAsia"/>
                      <w:b/>
                      <w:bCs/>
                      <w:color w:val="auto"/>
                      <w:sz w:val="21"/>
                      <w:szCs w:val="21"/>
                      <w:lang w:eastAsia="zh-CN"/>
                    </w:rPr>
                    <w:t>水源</w:t>
                  </w:r>
                </w:p>
              </w:tc>
              <w:tc>
                <w:tcPr>
                  <w:tcW w:w="1429" w:type="pct"/>
                  <w:tcBorders>
                    <w:tl2br w:val="nil"/>
                    <w:tr2bl w:val="nil"/>
                  </w:tcBorders>
                  <w:vAlign w:val="center"/>
                </w:tcPr>
                <w:p>
                  <w:pPr>
                    <w:pStyle w:val="84"/>
                    <w:snapToGrid w:val="0"/>
                    <w:rPr>
                      <w:b/>
                      <w:bCs/>
                      <w:color w:val="auto"/>
                      <w:sz w:val="21"/>
                      <w:szCs w:val="21"/>
                    </w:rPr>
                  </w:pPr>
                  <w:r>
                    <w:rPr>
                      <w:b/>
                      <w:bCs/>
                      <w:color w:val="auto"/>
                      <w:sz w:val="21"/>
                      <w:szCs w:val="21"/>
                    </w:rPr>
                    <w:t>项目</w:t>
                  </w:r>
                </w:p>
              </w:tc>
              <w:tc>
                <w:tcPr>
                  <w:tcW w:w="551" w:type="pct"/>
                  <w:tcBorders>
                    <w:tl2br w:val="nil"/>
                    <w:tr2bl w:val="nil"/>
                  </w:tcBorders>
                  <w:vAlign w:val="center"/>
                </w:tcPr>
                <w:p>
                  <w:pPr>
                    <w:pStyle w:val="84"/>
                    <w:rPr>
                      <w:b/>
                      <w:bCs/>
                      <w:color w:val="auto"/>
                      <w:sz w:val="21"/>
                      <w:szCs w:val="21"/>
                    </w:rPr>
                  </w:pPr>
                  <w:r>
                    <w:rPr>
                      <w:b/>
                      <w:bCs/>
                      <w:color w:val="auto"/>
                      <w:sz w:val="21"/>
                      <w:szCs w:val="21"/>
                    </w:rPr>
                    <w:t>给水</w:t>
                  </w:r>
                </w:p>
                <w:p>
                  <w:pPr>
                    <w:pStyle w:val="84"/>
                    <w:rPr>
                      <w:b/>
                      <w:bCs/>
                      <w:color w:val="auto"/>
                      <w:sz w:val="21"/>
                      <w:szCs w:val="21"/>
                    </w:rPr>
                  </w:pPr>
                  <w:r>
                    <w:rPr>
                      <w:rFonts w:hint="eastAsia"/>
                      <w:b/>
                      <w:bCs/>
                      <w:color w:val="auto"/>
                      <w:sz w:val="21"/>
                      <w:szCs w:val="21"/>
                    </w:rPr>
                    <w:t>(</w:t>
                  </w:r>
                  <w:r>
                    <w:rPr>
                      <w:b/>
                      <w:bCs/>
                      <w:color w:val="auto"/>
                      <w:sz w:val="21"/>
                      <w:szCs w:val="21"/>
                    </w:rPr>
                    <w:t>m</w:t>
                  </w:r>
                  <w:r>
                    <w:rPr>
                      <w:rFonts w:hint="eastAsia"/>
                      <w:b/>
                      <w:bCs/>
                      <w:color w:val="auto"/>
                      <w:sz w:val="21"/>
                      <w:szCs w:val="21"/>
                      <w:vertAlign w:val="superscript"/>
                    </w:rPr>
                    <w:t>3</w:t>
                  </w:r>
                  <w:r>
                    <w:rPr>
                      <w:b/>
                      <w:bCs/>
                      <w:color w:val="auto"/>
                      <w:sz w:val="21"/>
                      <w:szCs w:val="21"/>
                    </w:rPr>
                    <w:t>/</w:t>
                  </w:r>
                  <w:r>
                    <w:rPr>
                      <w:rFonts w:hint="eastAsia"/>
                      <w:b/>
                      <w:bCs/>
                      <w:color w:val="auto"/>
                      <w:sz w:val="21"/>
                      <w:szCs w:val="21"/>
                    </w:rPr>
                    <w:t>d)</w:t>
                  </w:r>
                </w:p>
              </w:tc>
              <w:tc>
                <w:tcPr>
                  <w:tcW w:w="548" w:type="pct"/>
                  <w:tcBorders>
                    <w:tl2br w:val="nil"/>
                    <w:tr2bl w:val="nil"/>
                  </w:tcBorders>
                  <w:vAlign w:val="center"/>
                </w:tcPr>
                <w:p>
                  <w:pPr>
                    <w:pStyle w:val="84"/>
                    <w:rPr>
                      <w:b/>
                      <w:bCs/>
                      <w:color w:val="auto"/>
                      <w:sz w:val="21"/>
                      <w:szCs w:val="21"/>
                    </w:rPr>
                  </w:pPr>
                  <w:r>
                    <w:rPr>
                      <w:b/>
                      <w:bCs/>
                      <w:color w:val="auto"/>
                      <w:sz w:val="21"/>
                      <w:szCs w:val="21"/>
                    </w:rPr>
                    <w:t>排水</w:t>
                  </w:r>
                </w:p>
                <w:p>
                  <w:pPr>
                    <w:pStyle w:val="84"/>
                    <w:rPr>
                      <w:b/>
                      <w:bCs/>
                      <w:color w:val="auto"/>
                      <w:sz w:val="21"/>
                      <w:szCs w:val="21"/>
                    </w:rPr>
                  </w:pPr>
                  <w:r>
                    <w:rPr>
                      <w:rFonts w:hint="eastAsia"/>
                      <w:b/>
                      <w:bCs/>
                      <w:color w:val="auto"/>
                      <w:sz w:val="21"/>
                      <w:szCs w:val="21"/>
                    </w:rPr>
                    <w:t>(</w:t>
                  </w:r>
                  <w:r>
                    <w:rPr>
                      <w:b/>
                      <w:bCs/>
                      <w:color w:val="auto"/>
                      <w:sz w:val="21"/>
                      <w:szCs w:val="21"/>
                    </w:rPr>
                    <w:t>m</w:t>
                  </w:r>
                  <w:r>
                    <w:rPr>
                      <w:rFonts w:hint="eastAsia"/>
                      <w:b/>
                      <w:bCs/>
                      <w:color w:val="auto"/>
                      <w:sz w:val="21"/>
                      <w:szCs w:val="21"/>
                      <w:vertAlign w:val="superscript"/>
                    </w:rPr>
                    <w:t>3</w:t>
                  </w:r>
                  <w:r>
                    <w:rPr>
                      <w:b/>
                      <w:bCs/>
                      <w:color w:val="auto"/>
                      <w:sz w:val="21"/>
                      <w:szCs w:val="21"/>
                    </w:rPr>
                    <w:t>/</w:t>
                  </w:r>
                  <w:r>
                    <w:rPr>
                      <w:rFonts w:hint="eastAsia"/>
                      <w:b/>
                      <w:bCs/>
                      <w:color w:val="auto"/>
                      <w:sz w:val="21"/>
                      <w:szCs w:val="21"/>
                    </w:rPr>
                    <w:t>d)</w:t>
                  </w:r>
                </w:p>
              </w:tc>
              <w:tc>
                <w:tcPr>
                  <w:tcW w:w="544" w:type="pct"/>
                  <w:tcBorders>
                    <w:tl2br w:val="nil"/>
                    <w:tr2bl w:val="nil"/>
                  </w:tcBorders>
                  <w:vAlign w:val="center"/>
                </w:tcPr>
                <w:p>
                  <w:pPr>
                    <w:pStyle w:val="84"/>
                    <w:rPr>
                      <w:b/>
                      <w:bCs/>
                      <w:color w:val="auto"/>
                      <w:sz w:val="21"/>
                      <w:szCs w:val="21"/>
                    </w:rPr>
                  </w:pPr>
                  <w:r>
                    <w:rPr>
                      <w:b/>
                      <w:bCs/>
                      <w:color w:val="auto"/>
                      <w:sz w:val="21"/>
                      <w:szCs w:val="21"/>
                    </w:rPr>
                    <w:t>排水</w:t>
                  </w:r>
                </w:p>
                <w:p>
                  <w:pPr>
                    <w:pStyle w:val="84"/>
                    <w:rPr>
                      <w:b/>
                      <w:bCs/>
                      <w:color w:val="auto"/>
                      <w:sz w:val="21"/>
                      <w:szCs w:val="21"/>
                    </w:rPr>
                  </w:pPr>
                  <w:r>
                    <w:rPr>
                      <w:rFonts w:hint="eastAsia"/>
                      <w:b/>
                      <w:bCs/>
                      <w:color w:val="auto"/>
                      <w:sz w:val="21"/>
                      <w:szCs w:val="21"/>
                    </w:rPr>
                    <w:t>(</w:t>
                  </w:r>
                  <w:r>
                    <w:rPr>
                      <w:b/>
                      <w:bCs/>
                      <w:color w:val="auto"/>
                      <w:sz w:val="21"/>
                      <w:szCs w:val="21"/>
                    </w:rPr>
                    <w:t>m</w:t>
                  </w:r>
                  <w:r>
                    <w:rPr>
                      <w:rFonts w:hint="eastAsia"/>
                      <w:b/>
                      <w:bCs/>
                      <w:color w:val="auto"/>
                      <w:sz w:val="21"/>
                      <w:szCs w:val="21"/>
                      <w:vertAlign w:val="superscript"/>
                    </w:rPr>
                    <w:t>3</w:t>
                  </w:r>
                  <w:r>
                    <w:rPr>
                      <w:b/>
                      <w:bCs/>
                      <w:color w:val="auto"/>
                      <w:sz w:val="21"/>
                      <w:szCs w:val="21"/>
                    </w:rPr>
                    <w:t>/</w:t>
                  </w:r>
                  <w:r>
                    <w:rPr>
                      <w:rFonts w:hint="eastAsia"/>
                      <w:b/>
                      <w:bCs/>
                      <w:color w:val="auto"/>
                      <w:sz w:val="21"/>
                      <w:szCs w:val="21"/>
                      <w:lang w:val="en-US" w:eastAsia="zh-CN"/>
                    </w:rPr>
                    <w:t>a</w:t>
                  </w:r>
                  <w:r>
                    <w:rPr>
                      <w:rFonts w:hint="eastAsia"/>
                      <w:b/>
                      <w:bCs/>
                      <w:color w:val="auto"/>
                      <w:sz w:val="21"/>
                      <w:szCs w:val="21"/>
                    </w:rPr>
                    <w:t>)</w:t>
                  </w:r>
                </w:p>
              </w:tc>
              <w:tc>
                <w:tcPr>
                  <w:tcW w:w="1497" w:type="pct"/>
                  <w:tcBorders>
                    <w:tl2br w:val="nil"/>
                    <w:tr2bl w:val="nil"/>
                  </w:tcBorders>
                  <w:vAlign w:val="center"/>
                </w:tcPr>
                <w:p>
                  <w:pPr>
                    <w:pStyle w:val="84"/>
                    <w:snapToGrid w:val="0"/>
                    <w:rPr>
                      <w:b/>
                      <w:bCs/>
                      <w:color w:val="auto"/>
                      <w:sz w:val="21"/>
                      <w:szCs w:val="21"/>
                    </w:rPr>
                  </w:pPr>
                  <w:r>
                    <w:rPr>
                      <w:rFonts w:hint="eastAsia"/>
                      <w:b/>
                      <w:bCs/>
                      <w:color w:val="auto"/>
                      <w:sz w:val="21"/>
                      <w:szCs w:val="21"/>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6" w:type="pct"/>
                  <w:vMerge w:val="restart"/>
                  <w:tcBorders>
                    <w:tl2br w:val="nil"/>
                    <w:tr2bl w:val="nil"/>
                  </w:tcBorders>
                  <w:vAlign w:val="center"/>
                </w:tcPr>
                <w:p>
                  <w:pPr>
                    <w:pStyle w:val="84"/>
                    <w:snapToGrid w:val="0"/>
                    <w:rPr>
                      <w:rFonts w:hint="eastAsia" w:eastAsia="宋体"/>
                      <w:color w:val="auto"/>
                      <w:sz w:val="21"/>
                      <w:szCs w:val="21"/>
                      <w:lang w:eastAsia="zh-CN"/>
                    </w:rPr>
                  </w:pPr>
                  <w:r>
                    <w:rPr>
                      <w:rFonts w:hint="eastAsia"/>
                      <w:color w:val="auto"/>
                      <w:sz w:val="21"/>
                      <w:szCs w:val="21"/>
                      <w:lang w:eastAsia="zh-CN"/>
                    </w:rPr>
                    <w:t>自来水</w:t>
                  </w:r>
                </w:p>
              </w:tc>
              <w:tc>
                <w:tcPr>
                  <w:tcW w:w="1429" w:type="pct"/>
                  <w:tcBorders>
                    <w:tl2br w:val="nil"/>
                    <w:tr2bl w:val="nil"/>
                  </w:tcBorders>
                  <w:vAlign w:val="center"/>
                </w:tcPr>
                <w:p>
                  <w:pPr>
                    <w:widowControl/>
                    <w:snapToGrid w:val="0"/>
                    <w:spacing w:line="240" w:lineRule="auto"/>
                    <w:jc w:val="center"/>
                    <w:textAlignment w:val="center"/>
                    <w:rPr>
                      <w:color w:val="auto"/>
                      <w:sz w:val="21"/>
                      <w:szCs w:val="21"/>
                    </w:rPr>
                  </w:pPr>
                  <w:r>
                    <w:rPr>
                      <w:rFonts w:hint="eastAsia"/>
                      <w:color w:val="auto"/>
                      <w:sz w:val="21"/>
                      <w:szCs w:val="21"/>
                    </w:rPr>
                    <w:t>生活用水</w:t>
                  </w:r>
                </w:p>
              </w:tc>
              <w:tc>
                <w:tcPr>
                  <w:tcW w:w="551"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0.99</w:t>
                  </w:r>
                </w:p>
              </w:tc>
              <w:tc>
                <w:tcPr>
                  <w:tcW w:w="5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lang w:val="en-US"/>
                    </w:rPr>
                  </w:pPr>
                  <w:r>
                    <w:rPr>
                      <w:rFonts w:hint="eastAsia" w:cs="Times New Roman"/>
                      <w:i w:val="0"/>
                      <w:iCs w:val="0"/>
                      <w:color w:val="auto"/>
                      <w:kern w:val="0"/>
                      <w:sz w:val="21"/>
                      <w:szCs w:val="21"/>
                      <w:u w:val="none"/>
                      <w:lang w:val="en-US" w:eastAsia="zh-CN" w:bidi="ar"/>
                    </w:rPr>
                    <w:t>0.891</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222.75</w:t>
                  </w:r>
                </w:p>
              </w:tc>
              <w:tc>
                <w:tcPr>
                  <w:tcW w:w="1497" w:type="pct"/>
                  <w:vMerge w:val="restart"/>
                  <w:tcBorders>
                    <w:tl2br w:val="nil"/>
                    <w:tr2bl w:val="nil"/>
                  </w:tcBorders>
                  <w:vAlign w:val="center"/>
                </w:tcPr>
                <w:p>
                  <w:pPr>
                    <w:pStyle w:val="84"/>
                    <w:snapToGrid w:val="0"/>
                    <w:rPr>
                      <w:color w:val="auto"/>
                      <w:sz w:val="21"/>
                      <w:szCs w:val="21"/>
                    </w:rPr>
                  </w:pPr>
                  <w:r>
                    <w:rPr>
                      <w:rFonts w:hint="eastAsia"/>
                      <w:color w:val="auto"/>
                      <w:sz w:val="21"/>
                      <w:szCs w:val="21"/>
                    </w:rPr>
                    <w:t>本项目动物房清洗废水、手术器具清洁废水、第三次实验清洗废水、实验服清洗废水经消毒处理，生活污水经化粪池静置沉淀，同净水机浓水混合通过厂区总排口排入市政污水管网，最终排入咸阳路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color w:val="auto"/>
                      <w:sz w:val="21"/>
                      <w:szCs w:val="21"/>
                    </w:rPr>
                  </w:pPr>
                  <w:r>
                    <w:rPr>
                      <w:rFonts w:hint="eastAsia"/>
                      <w:color w:val="auto"/>
                      <w:sz w:val="21"/>
                      <w:szCs w:val="21"/>
                    </w:rPr>
                    <w:t>实验器具清洗用水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01</w:t>
                  </w:r>
                </w:p>
              </w:tc>
              <w:tc>
                <w:tcPr>
                  <w:tcW w:w="5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rPr>
                  </w:pPr>
                  <w:r>
                    <w:rPr>
                      <w:rFonts w:hint="eastAsia" w:cs="Times New Roman"/>
                      <w:i w:val="0"/>
                      <w:iCs w:val="0"/>
                      <w:color w:val="auto"/>
                      <w:kern w:val="0"/>
                      <w:sz w:val="21"/>
                      <w:szCs w:val="21"/>
                      <w:u w:val="none"/>
                      <w:lang w:val="en-US" w:eastAsia="zh-CN" w:bidi="ar"/>
                    </w:rPr>
                    <w:t>0</w:t>
                  </w:r>
                </w:p>
              </w:tc>
              <w:tc>
                <w:tcPr>
                  <w:tcW w:w="544" w:type="pct"/>
                  <w:tcBorders>
                    <w:tl2br w:val="nil"/>
                    <w:tr2bl w:val="nil"/>
                  </w:tcBorders>
                  <w:vAlign w:val="center"/>
                </w:tcPr>
                <w:p>
                  <w:pPr>
                    <w:pStyle w:val="84"/>
                    <w:snapToGrid w:val="0"/>
                    <w:rPr>
                      <w:color w:val="auto"/>
                      <w:sz w:val="21"/>
                      <w:szCs w:val="21"/>
                    </w:rPr>
                  </w:pPr>
                  <w:r>
                    <w:rPr>
                      <w:rFonts w:hint="eastAsia"/>
                      <w:color w:val="auto"/>
                      <w:sz w:val="21"/>
                      <w:szCs w:val="21"/>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color w:val="auto"/>
                      <w:sz w:val="21"/>
                      <w:szCs w:val="21"/>
                    </w:rPr>
                  </w:pPr>
                  <w:r>
                    <w:rPr>
                      <w:rFonts w:hint="eastAsia"/>
                      <w:color w:val="auto"/>
                      <w:sz w:val="21"/>
                      <w:szCs w:val="21"/>
                    </w:rPr>
                    <w:t>净水机用水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rPr>
                    <w:t>0.0</w:t>
                  </w:r>
                  <w:r>
                    <w:rPr>
                      <w:rFonts w:hint="eastAsia"/>
                      <w:color w:val="auto"/>
                      <w:sz w:val="21"/>
                      <w:szCs w:val="21"/>
                      <w:lang w:val="en-US" w:eastAsia="zh-CN"/>
                    </w:rPr>
                    <w:t>1</w:t>
                  </w:r>
                </w:p>
              </w:tc>
              <w:tc>
                <w:tcPr>
                  <w:tcW w:w="5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0.009</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2.250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rPr>
                    <w:t>动物房清洗用水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0.745</w:t>
                  </w:r>
                </w:p>
              </w:tc>
              <w:tc>
                <w:tcPr>
                  <w:tcW w:w="5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671</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167.634</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rPr>
                    <w:t>手术器具清洁用水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0.05</w:t>
                  </w:r>
                </w:p>
              </w:tc>
              <w:tc>
                <w:tcPr>
                  <w:tcW w:w="54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45</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11.25</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rPr>
                    <w:t>水迷宫实验用水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0.097</w:t>
                  </w:r>
                </w:p>
              </w:tc>
              <w:tc>
                <w:tcPr>
                  <w:tcW w:w="548" w:type="pct"/>
                  <w:tcBorders>
                    <w:tl2br w:val="nil"/>
                    <w:tr2bl w:val="nil"/>
                  </w:tcBorders>
                  <w:vAlign w:val="center"/>
                </w:tcPr>
                <w:p>
                  <w:pPr>
                    <w:wordWrap w:val="0"/>
                    <w:snapToGrid w:val="0"/>
                    <w:spacing w:line="240" w:lineRule="auto"/>
                    <w:jc w:val="center"/>
                    <w:rPr>
                      <w:rFonts w:hint="default"/>
                      <w:color w:val="auto"/>
                      <w:sz w:val="21"/>
                      <w:szCs w:val="21"/>
                      <w:lang w:val="en-US"/>
                    </w:rPr>
                  </w:pPr>
                  <w:r>
                    <w:rPr>
                      <w:rFonts w:hint="eastAsia"/>
                      <w:color w:val="auto"/>
                      <w:sz w:val="21"/>
                      <w:szCs w:val="21"/>
                      <w:lang w:val="en-US" w:eastAsia="zh-CN"/>
                    </w:rPr>
                    <w:t>0</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0"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rPr>
                    <w:t>消毒配置用水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0.0026</w:t>
                  </w:r>
                </w:p>
              </w:tc>
              <w:tc>
                <w:tcPr>
                  <w:tcW w:w="548" w:type="pct"/>
                  <w:tcBorders>
                    <w:tl2br w:val="nil"/>
                    <w:tr2bl w:val="nil"/>
                  </w:tcBorders>
                  <w:vAlign w:val="center"/>
                </w:tcPr>
                <w:p>
                  <w:pPr>
                    <w:wordWrap w:val="0"/>
                    <w:snapToGrid w:val="0"/>
                    <w:spacing w:line="240" w:lineRule="auto"/>
                    <w:jc w:val="center"/>
                    <w:rPr>
                      <w:rFonts w:hint="eastAsia"/>
                      <w:color w:val="auto"/>
                      <w:sz w:val="21"/>
                      <w:szCs w:val="21"/>
                      <w:lang w:val="en-US" w:eastAsia="zh-CN"/>
                    </w:rPr>
                  </w:pPr>
                  <w:r>
                    <w:rPr>
                      <w:rFonts w:hint="eastAsia"/>
                      <w:color w:val="auto"/>
                      <w:sz w:val="21"/>
                      <w:szCs w:val="21"/>
                      <w:lang w:val="en-US" w:eastAsia="zh-CN"/>
                    </w:rPr>
                    <w:t>0</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0"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eastAsia="宋体"/>
                      <w:color w:val="auto"/>
                      <w:sz w:val="21"/>
                      <w:szCs w:val="21"/>
                      <w:lang w:eastAsia="zh-CN"/>
                    </w:rPr>
                  </w:pPr>
                  <w:r>
                    <w:rPr>
                      <w:rFonts w:hint="eastAsia"/>
                      <w:color w:val="auto"/>
                      <w:sz w:val="21"/>
                      <w:szCs w:val="21"/>
                      <w:lang w:eastAsia="zh-CN"/>
                    </w:rPr>
                    <w:t>实验服清洗用水</w:t>
                  </w:r>
                </w:p>
              </w:tc>
              <w:tc>
                <w:tcPr>
                  <w:tcW w:w="925" w:type="dxa"/>
                  <w:tcBorders>
                    <w:tl2br w:val="nil"/>
                    <w:tr2bl w:val="nil"/>
                  </w:tcBorders>
                  <w:vAlign w:val="center"/>
                </w:tcPr>
                <w:p>
                  <w:pPr>
                    <w:wordWrap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0.05</w:t>
                  </w:r>
                </w:p>
              </w:tc>
              <w:tc>
                <w:tcPr>
                  <w:tcW w:w="9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cs="Times New Roman"/>
                      <w:i w:val="0"/>
                      <w:iCs w:val="0"/>
                      <w:color w:val="auto"/>
                      <w:kern w:val="0"/>
                      <w:sz w:val="21"/>
                      <w:szCs w:val="21"/>
                      <w:u w:val="none"/>
                      <w:lang w:val="en-US" w:eastAsia="zh-CN" w:bidi="ar"/>
                    </w:rPr>
                    <w:t>45</w:t>
                  </w:r>
                </w:p>
              </w:tc>
              <w:tc>
                <w:tcPr>
                  <w:tcW w:w="914" w:type="dxa"/>
                  <w:tcBorders>
                    <w:tl2br w:val="nil"/>
                    <w:tr2bl w:val="nil"/>
                  </w:tcBorders>
                  <w:vAlign w:val="center"/>
                </w:tcPr>
                <w:p>
                  <w:pPr>
                    <w:pStyle w:val="84"/>
                    <w:snapToGrid w:val="0"/>
                    <w:ind w:firstLine="0" w:firstLineChars="0"/>
                    <w:rPr>
                      <w:rFonts w:hint="eastAsia"/>
                      <w:color w:val="auto"/>
                      <w:sz w:val="21"/>
                      <w:szCs w:val="21"/>
                      <w:lang w:val="en-US" w:eastAsia="zh-CN"/>
                    </w:rPr>
                  </w:pPr>
                  <w:r>
                    <w:rPr>
                      <w:rFonts w:hint="eastAsia"/>
                      <w:color w:val="auto"/>
                      <w:sz w:val="21"/>
                      <w:szCs w:val="21"/>
                      <w:lang w:val="en-US" w:eastAsia="zh-CN"/>
                    </w:rPr>
                    <w:t>11.25</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30"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eastAsia="宋体"/>
                      <w:color w:val="auto"/>
                      <w:sz w:val="21"/>
                      <w:szCs w:val="21"/>
                      <w:lang w:eastAsia="zh-CN"/>
                    </w:rPr>
                  </w:pPr>
                  <w:r>
                    <w:rPr>
                      <w:rFonts w:hint="eastAsia"/>
                      <w:color w:val="auto"/>
                      <w:sz w:val="21"/>
                      <w:szCs w:val="21"/>
                      <w:lang w:eastAsia="zh-CN"/>
                    </w:rPr>
                    <w:t>合计</w:t>
                  </w:r>
                </w:p>
              </w:tc>
              <w:tc>
                <w:tcPr>
                  <w:tcW w:w="551" w:type="pct"/>
                  <w:tcBorders>
                    <w:tl2br w:val="nil"/>
                    <w:tr2bl w:val="nil"/>
                  </w:tcBorders>
                  <w:vAlign w:val="center"/>
                </w:tcPr>
                <w:p>
                  <w:pPr>
                    <w:wordWrap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1.946</w:t>
                  </w:r>
                </w:p>
              </w:tc>
              <w:tc>
                <w:tcPr>
                  <w:tcW w:w="548" w:type="pct"/>
                  <w:tcBorders>
                    <w:tl2br w:val="nil"/>
                    <w:tr2bl w:val="nil"/>
                  </w:tcBorders>
                  <w:vAlign w:val="center"/>
                </w:tcPr>
                <w:p>
                  <w:pPr>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1.661</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415.179</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restart"/>
                  <w:tcBorders>
                    <w:tl2br w:val="nil"/>
                    <w:tr2bl w:val="nil"/>
                  </w:tcBorders>
                  <w:vAlign w:val="center"/>
                </w:tcPr>
                <w:p>
                  <w:pPr>
                    <w:pStyle w:val="84"/>
                    <w:snapToGrid w:val="0"/>
                    <w:rPr>
                      <w:rFonts w:hint="eastAsia" w:eastAsia="宋体"/>
                      <w:color w:val="auto"/>
                      <w:sz w:val="21"/>
                      <w:szCs w:val="21"/>
                      <w:lang w:eastAsia="zh-CN"/>
                    </w:rPr>
                  </w:pPr>
                  <w:r>
                    <w:rPr>
                      <w:rFonts w:hint="eastAsia"/>
                      <w:color w:val="auto"/>
                      <w:sz w:val="21"/>
                      <w:szCs w:val="21"/>
                      <w:lang w:eastAsia="zh-CN"/>
                    </w:rPr>
                    <w:t>纯水</w:t>
                  </w: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lang w:eastAsia="zh-CN"/>
                    </w:rPr>
                    <w:t>水浴锅</w:t>
                  </w:r>
                  <w:r>
                    <w:rPr>
                      <w:rFonts w:hint="eastAsia"/>
                      <w:color w:val="auto"/>
                      <w:sz w:val="21"/>
                      <w:szCs w:val="21"/>
                    </w:rPr>
                    <w:t>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0.00012</w:t>
                  </w:r>
                </w:p>
              </w:tc>
              <w:tc>
                <w:tcPr>
                  <w:tcW w:w="548" w:type="pct"/>
                  <w:tcBorders>
                    <w:tl2br w:val="nil"/>
                    <w:tr2bl w:val="nil"/>
                  </w:tcBorders>
                  <w:vAlign w:val="center"/>
                </w:tcPr>
                <w:p>
                  <w:pPr>
                    <w:wordWrap w:val="0"/>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0</w:t>
                  </w:r>
                </w:p>
              </w:tc>
              <w:tc>
                <w:tcPr>
                  <w:tcW w:w="544" w:type="pct"/>
                  <w:tcBorders>
                    <w:tl2br w:val="nil"/>
                    <w:tr2bl w:val="nil"/>
                  </w:tcBorders>
                  <w:vAlign w:val="center"/>
                </w:tcPr>
                <w:p>
                  <w:pPr>
                    <w:pStyle w:val="84"/>
                    <w:snapToGrid w:val="0"/>
                    <w:ind w:firstLine="0" w:firstLineChars="0"/>
                    <w:rPr>
                      <w:rFonts w:hint="eastAsia"/>
                      <w:color w:val="auto"/>
                      <w:sz w:val="21"/>
                      <w:szCs w:val="21"/>
                    </w:rPr>
                  </w:pPr>
                  <w:r>
                    <w:rPr>
                      <w:rFonts w:hint="eastAsia"/>
                      <w:color w:val="auto"/>
                      <w:sz w:val="21"/>
                      <w:szCs w:val="21"/>
                      <w:lang w:val="en-US" w:eastAsia="zh-CN"/>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lang w:eastAsia="zh-CN"/>
                    </w:rPr>
                    <w:t>高压蒸汽灭菌锅</w:t>
                  </w:r>
                  <w:r>
                    <w:rPr>
                      <w:rFonts w:hint="eastAsia"/>
                      <w:color w:val="auto"/>
                      <w:sz w:val="21"/>
                      <w:szCs w:val="21"/>
                    </w:rPr>
                    <w:t>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0.00012</w:t>
                  </w:r>
                </w:p>
              </w:tc>
              <w:tc>
                <w:tcPr>
                  <w:tcW w:w="548" w:type="pct"/>
                  <w:tcBorders>
                    <w:tl2br w:val="nil"/>
                    <w:tr2bl w:val="nil"/>
                  </w:tcBorders>
                  <w:vAlign w:val="center"/>
                </w:tcPr>
                <w:p>
                  <w:pPr>
                    <w:wordWrap w:val="0"/>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0</w:t>
                  </w:r>
                </w:p>
              </w:tc>
              <w:tc>
                <w:tcPr>
                  <w:tcW w:w="544" w:type="pct"/>
                  <w:tcBorders>
                    <w:tl2br w:val="nil"/>
                    <w:tr2bl w:val="nil"/>
                  </w:tcBorders>
                  <w:vAlign w:val="center"/>
                </w:tcPr>
                <w:p>
                  <w:pPr>
                    <w:pStyle w:val="84"/>
                    <w:snapToGrid w:val="0"/>
                    <w:ind w:firstLine="0" w:firstLineChars="0"/>
                    <w:rPr>
                      <w:rFonts w:hint="eastAsia"/>
                      <w:color w:val="auto"/>
                      <w:sz w:val="21"/>
                      <w:szCs w:val="21"/>
                    </w:rPr>
                  </w:pPr>
                  <w:r>
                    <w:rPr>
                      <w:rFonts w:hint="eastAsia"/>
                      <w:color w:val="auto"/>
                      <w:sz w:val="21"/>
                      <w:szCs w:val="21"/>
                      <w:lang w:val="en-US" w:eastAsia="zh-CN"/>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rFonts w:hint="eastAsia"/>
                      <w:color w:val="auto"/>
                      <w:sz w:val="21"/>
                      <w:szCs w:val="21"/>
                    </w:rPr>
                    <w:t>实验分析、试剂配置用水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0.03956</w:t>
                  </w:r>
                </w:p>
              </w:tc>
              <w:tc>
                <w:tcPr>
                  <w:tcW w:w="548" w:type="pct"/>
                  <w:tcBorders>
                    <w:tl2br w:val="nil"/>
                    <w:tr2bl w:val="nil"/>
                  </w:tcBorders>
                  <w:vAlign w:val="center"/>
                </w:tcPr>
                <w:p>
                  <w:pPr>
                    <w:wordWrap w:val="0"/>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0</w:t>
                  </w:r>
                </w:p>
              </w:tc>
              <w:tc>
                <w:tcPr>
                  <w:tcW w:w="544" w:type="pct"/>
                  <w:tcBorders>
                    <w:tl2br w:val="nil"/>
                    <w:tr2bl w:val="nil"/>
                  </w:tcBorders>
                  <w:vAlign w:val="center"/>
                </w:tcPr>
                <w:p>
                  <w:pPr>
                    <w:pStyle w:val="84"/>
                    <w:snapToGrid w:val="0"/>
                    <w:ind w:firstLine="0" w:firstLineChars="0"/>
                    <w:rPr>
                      <w:rFonts w:hint="eastAsia"/>
                      <w:color w:val="auto"/>
                      <w:sz w:val="21"/>
                      <w:szCs w:val="21"/>
                    </w:rPr>
                  </w:pPr>
                  <w:r>
                    <w:rPr>
                      <w:rFonts w:hint="eastAsia"/>
                      <w:color w:val="auto"/>
                      <w:sz w:val="21"/>
                      <w:szCs w:val="21"/>
                      <w:lang w:val="en-US" w:eastAsia="zh-CN"/>
                    </w:rPr>
                    <w:t>0</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eastAsia="宋体"/>
                      <w:color w:val="auto"/>
                      <w:sz w:val="21"/>
                      <w:szCs w:val="21"/>
                      <w:lang w:eastAsia="zh-CN"/>
                    </w:rPr>
                  </w:pPr>
                  <w:r>
                    <w:rPr>
                      <w:rFonts w:hint="eastAsia"/>
                      <w:color w:val="auto"/>
                      <w:sz w:val="21"/>
                      <w:szCs w:val="21"/>
                      <w:lang w:eastAsia="zh-CN"/>
                    </w:rPr>
                    <w:t>第三次实验清洗用水</w:t>
                  </w:r>
                </w:p>
              </w:tc>
              <w:tc>
                <w:tcPr>
                  <w:tcW w:w="551" w:type="pct"/>
                  <w:tcBorders>
                    <w:tl2br w:val="nil"/>
                    <w:tr2bl w:val="nil"/>
                  </w:tcBorders>
                  <w:vAlign w:val="center"/>
                </w:tcPr>
                <w:p>
                  <w:pPr>
                    <w:wordWrap w:val="0"/>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0.0002</w:t>
                  </w:r>
                </w:p>
              </w:tc>
              <w:tc>
                <w:tcPr>
                  <w:tcW w:w="548" w:type="pct"/>
                  <w:tcBorders>
                    <w:tl2br w:val="nil"/>
                    <w:tr2bl w:val="nil"/>
                  </w:tcBorders>
                  <w:vAlign w:val="center"/>
                </w:tcPr>
                <w:p>
                  <w:pPr>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0.00018</w:t>
                  </w:r>
                </w:p>
              </w:tc>
              <w:tc>
                <w:tcPr>
                  <w:tcW w:w="544" w:type="pct"/>
                  <w:tcBorders>
                    <w:tl2br w:val="nil"/>
                    <w:tr2bl w:val="nil"/>
                  </w:tcBorders>
                  <w:vAlign w:val="center"/>
                </w:tcPr>
                <w:p>
                  <w:pPr>
                    <w:pStyle w:val="84"/>
                    <w:snapToGrid w:val="0"/>
                    <w:rPr>
                      <w:rFonts w:hint="default" w:eastAsia="宋体"/>
                      <w:color w:val="auto"/>
                      <w:sz w:val="21"/>
                      <w:szCs w:val="21"/>
                      <w:lang w:val="en-US" w:eastAsia="zh-CN"/>
                    </w:rPr>
                  </w:pPr>
                  <w:r>
                    <w:rPr>
                      <w:rFonts w:hint="eastAsia"/>
                      <w:color w:val="auto"/>
                      <w:sz w:val="21"/>
                      <w:szCs w:val="21"/>
                      <w:lang w:val="en-US" w:eastAsia="zh-CN"/>
                    </w:rPr>
                    <w:t>0.045</w:t>
                  </w:r>
                </w:p>
              </w:tc>
              <w:tc>
                <w:tcPr>
                  <w:tcW w:w="1497" w:type="pct"/>
                  <w:vMerge w:val="continue"/>
                  <w:tcBorders>
                    <w:tl2br w:val="nil"/>
                    <w:tr2bl w:val="nil"/>
                  </w:tcBorders>
                  <w:vAlign w:val="center"/>
                </w:tcPr>
                <w:p>
                  <w:pPr>
                    <w:pStyle w:val="84"/>
                    <w:snapToGrid w:val="0"/>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76" w:hRule="atLeast"/>
              </w:trPr>
              <w:tc>
                <w:tcPr>
                  <w:tcW w:w="426" w:type="pct"/>
                  <w:vMerge w:val="continue"/>
                  <w:tcBorders>
                    <w:tl2br w:val="nil"/>
                    <w:tr2bl w:val="nil"/>
                  </w:tcBorders>
                  <w:vAlign w:val="center"/>
                </w:tcPr>
                <w:p>
                  <w:pPr>
                    <w:pStyle w:val="84"/>
                    <w:snapToGrid w:val="0"/>
                    <w:rPr>
                      <w:color w:val="auto"/>
                      <w:sz w:val="21"/>
                      <w:szCs w:val="21"/>
                    </w:rPr>
                  </w:pPr>
                </w:p>
              </w:tc>
              <w:tc>
                <w:tcPr>
                  <w:tcW w:w="1429" w:type="pct"/>
                  <w:tcBorders>
                    <w:tl2br w:val="nil"/>
                    <w:tr2bl w:val="nil"/>
                  </w:tcBorders>
                  <w:vAlign w:val="center"/>
                </w:tcPr>
                <w:p>
                  <w:pPr>
                    <w:widowControl/>
                    <w:snapToGrid w:val="0"/>
                    <w:spacing w:line="240" w:lineRule="auto"/>
                    <w:jc w:val="center"/>
                    <w:textAlignment w:val="center"/>
                    <w:rPr>
                      <w:rFonts w:hint="eastAsia"/>
                      <w:color w:val="auto"/>
                      <w:sz w:val="21"/>
                      <w:szCs w:val="21"/>
                    </w:rPr>
                  </w:pPr>
                  <w:r>
                    <w:rPr>
                      <w:color w:val="auto"/>
                      <w:sz w:val="21"/>
                      <w:szCs w:val="21"/>
                    </w:rPr>
                    <w:t>合计</w:t>
                  </w:r>
                </w:p>
              </w:tc>
              <w:tc>
                <w:tcPr>
                  <w:tcW w:w="551" w:type="pct"/>
                  <w:tcBorders>
                    <w:tl2br w:val="nil"/>
                    <w:tr2bl w:val="nil"/>
                  </w:tcBorders>
                  <w:vAlign w:val="center"/>
                </w:tcPr>
                <w:p>
                  <w:pPr>
                    <w:pStyle w:val="84"/>
                    <w:snapToGrid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0.04</w:t>
                  </w:r>
                </w:p>
              </w:tc>
              <w:tc>
                <w:tcPr>
                  <w:tcW w:w="548"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0.00018</w:t>
                  </w:r>
                </w:p>
              </w:tc>
              <w:tc>
                <w:tcPr>
                  <w:tcW w:w="544" w:type="pct"/>
                  <w:tcBorders>
                    <w:tl2br w:val="nil"/>
                    <w:tr2bl w:val="nil"/>
                  </w:tcBorders>
                  <w:vAlign w:val="center"/>
                </w:tcPr>
                <w:p>
                  <w:pPr>
                    <w:pStyle w:val="84"/>
                    <w:snapToGrid w:val="0"/>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0.045</w:t>
                  </w:r>
                </w:p>
              </w:tc>
              <w:tc>
                <w:tcPr>
                  <w:tcW w:w="1497" w:type="pct"/>
                  <w:vMerge w:val="continue"/>
                  <w:tcBorders>
                    <w:tl2br w:val="nil"/>
                    <w:tr2bl w:val="nil"/>
                  </w:tcBorders>
                  <w:vAlign w:val="center"/>
                </w:tcPr>
                <w:p>
                  <w:pPr>
                    <w:pStyle w:val="84"/>
                    <w:snapToGrid w:val="0"/>
                    <w:rPr>
                      <w:color w:val="auto"/>
                      <w:sz w:val="21"/>
                      <w:szCs w:val="21"/>
                    </w:rPr>
                  </w:pP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color w:val="auto"/>
                <w:lang w:val="en-US" w:eastAsia="zh-CN"/>
              </w:rPr>
            </w:pPr>
            <w:r>
              <w:rPr>
                <w:rFonts w:hint="eastAsia"/>
                <w:color w:val="auto"/>
                <w:lang w:val="en-US" w:eastAsia="zh-CN"/>
              </w:rPr>
              <w:t>本项目给、排水平衡图，见下图。</w:t>
            </w:r>
          </w:p>
          <w:p>
            <w:pPr>
              <w:pStyle w:val="28"/>
              <w:ind w:left="0" w:leftChars="0" w:firstLine="0" w:firstLineChars="0"/>
              <w:jc w:val="center"/>
              <w:rPr>
                <w:rFonts w:hint="eastAsia"/>
                <w:color w:val="auto"/>
                <w:lang w:eastAsia="zh-CN"/>
              </w:rPr>
            </w:pPr>
            <w:r>
              <w:rPr>
                <w:rFonts w:hint="eastAsia"/>
                <w:color w:val="auto"/>
                <w:lang w:eastAsia="zh-CN"/>
              </w:rPr>
              <w:drawing>
                <wp:inline distT="0" distB="0" distL="114300" distR="114300">
                  <wp:extent cx="4941570" cy="5382260"/>
                  <wp:effectExtent l="0" t="0" r="0" b="0"/>
                  <wp:docPr id="5" name="ECB019B1-382A-4266-B25C-5B523AA43C14-1" descr="C:/Users/Administrator.USER-20191121OT/AppData/Local/Temp/wps.tvBtf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CB019B1-382A-4266-B25C-5B523AA43C14-1" descr="C:/Users/Administrator.USER-20191121OT/AppData/Local/Temp/wps.tvBtfWwps"/>
                          <pic:cNvPicPr>
                            <a:picLocks noChangeAspect="1"/>
                          </pic:cNvPicPr>
                        </pic:nvPicPr>
                        <pic:blipFill>
                          <a:blip r:embed="rId11"/>
                          <a:stretch>
                            <a:fillRect/>
                          </a:stretch>
                        </pic:blipFill>
                        <pic:spPr>
                          <a:xfrm>
                            <a:off x="0" y="0"/>
                            <a:ext cx="4941570" cy="5382260"/>
                          </a:xfrm>
                          <a:prstGeom prst="rect">
                            <a:avLst/>
                          </a:prstGeom>
                        </pic:spPr>
                      </pic:pic>
                    </a:graphicData>
                  </a:graphic>
                </wp:inline>
              </w:drawing>
            </w:r>
          </w:p>
          <w:p>
            <w:pPr>
              <w:pStyle w:val="83"/>
              <w:bidi w:val="0"/>
              <w:rPr>
                <w:rFonts w:hint="eastAsia"/>
                <w:color w:val="auto"/>
                <w:lang w:eastAsia="zh-CN"/>
              </w:rPr>
            </w:pPr>
            <w:r>
              <w:rPr>
                <w:color w:val="auto"/>
              </w:rPr>
              <w:t>图</w:t>
            </w:r>
            <w:r>
              <w:rPr>
                <w:rFonts w:hint="eastAsia"/>
                <w:color w:val="auto"/>
                <w:lang w:val="en-US" w:eastAsia="zh-CN"/>
              </w:rPr>
              <w:t>2-1</w:t>
            </w:r>
            <w:r>
              <w:rPr>
                <w:color w:val="auto"/>
              </w:rPr>
              <w:t xml:space="preserve"> </w:t>
            </w:r>
            <w:r>
              <w:rPr>
                <w:rFonts w:hint="eastAsia"/>
                <w:color w:val="auto"/>
                <w:lang w:val="en-US" w:eastAsia="zh-CN"/>
              </w:rPr>
              <w:t xml:space="preserve">  本项目</w:t>
            </w:r>
            <w:r>
              <w:rPr>
                <w:color w:val="auto"/>
              </w:rPr>
              <w:t>水平衡图（单位：m</w:t>
            </w:r>
            <w:r>
              <w:rPr>
                <w:rFonts w:hint="eastAsia"/>
                <w:color w:val="auto"/>
                <w:vertAlign w:val="superscript"/>
                <w:lang w:val="en-US" w:eastAsia="zh-CN"/>
              </w:rPr>
              <w:t>3</w:t>
            </w:r>
            <w:r>
              <w:rPr>
                <w:color w:val="auto"/>
              </w:rPr>
              <w:t>/</w:t>
            </w:r>
            <w:r>
              <w:rPr>
                <w:rFonts w:hint="eastAsia"/>
                <w:color w:val="auto"/>
                <w:lang w:val="en-US" w:eastAsia="zh-CN"/>
              </w:rPr>
              <w:t>d</w:t>
            </w:r>
            <w:r>
              <w:rPr>
                <w:color w:val="auto"/>
              </w:rPr>
              <w:t>）</w:t>
            </w:r>
          </w:p>
          <w:p>
            <w:pPr>
              <w:pStyle w:val="4"/>
              <w:bidi w:val="0"/>
              <w:rPr>
                <w:rFonts w:hint="default"/>
                <w:color w:val="auto"/>
                <w:lang w:val="en-US" w:eastAsia="zh-CN"/>
              </w:rPr>
            </w:pPr>
            <w:r>
              <w:rPr>
                <w:rFonts w:hint="eastAsia"/>
                <w:color w:val="auto"/>
                <w:lang w:val="en-US" w:eastAsia="zh-CN"/>
              </w:rPr>
              <w:t>2.3.3</w:t>
            </w:r>
            <w:r>
              <w:rPr>
                <w:color w:val="auto"/>
              </w:rPr>
              <w:t>供电</w:t>
            </w:r>
          </w:p>
          <w:p>
            <w:pPr>
              <w:spacing w:line="360" w:lineRule="auto"/>
              <w:ind w:firstLine="480" w:firstLineChars="200"/>
              <w:rPr>
                <w:rFonts w:hint="default"/>
                <w:color w:val="auto"/>
                <w:lang w:val="en-US" w:eastAsia="zh-CN"/>
              </w:rPr>
            </w:pPr>
            <w:r>
              <w:rPr>
                <w:color w:val="auto"/>
              </w:rPr>
              <w:t>本项目用电由国家电网提供，</w:t>
            </w:r>
            <w:r>
              <w:rPr>
                <w:rFonts w:hint="eastAsia"/>
                <w:color w:val="auto"/>
                <w:lang w:val="en-US" w:eastAsia="zh-CN"/>
              </w:rPr>
              <w:t>项目主要用电为实验及办公</w:t>
            </w:r>
            <w:r>
              <w:rPr>
                <w:color w:val="auto"/>
              </w:rPr>
              <w:t>。</w:t>
            </w:r>
          </w:p>
          <w:p>
            <w:pPr>
              <w:pStyle w:val="4"/>
              <w:bidi w:val="0"/>
              <w:rPr>
                <w:color w:val="auto"/>
              </w:rPr>
            </w:pPr>
            <w:r>
              <w:rPr>
                <w:rFonts w:hint="eastAsia"/>
                <w:color w:val="auto"/>
                <w:lang w:val="en-US" w:eastAsia="zh-CN"/>
              </w:rPr>
              <w:t>2.3.4</w:t>
            </w:r>
            <w:r>
              <w:rPr>
                <w:color w:val="auto"/>
              </w:rPr>
              <w:t xml:space="preserve">供热、制冷 </w:t>
            </w:r>
          </w:p>
          <w:p>
            <w:pPr>
              <w:pStyle w:val="8"/>
              <w:ind w:firstLine="480"/>
              <w:rPr>
                <w:rFonts w:hint="eastAsia" w:eastAsia="宋体"/>
                <w:color w:val="auto"/>
                <w:lang w:eastAsia="zh-CN"/>
              </w:rPr>
            </w:pPr>
            <w:r>
              <w:rPr>
                <w:rFonts w:hint="eastAsia"/>
                <w:color w:val="auto"/>
              </w:rPr>
              <w:t>本项目</w:t>
            </w:r>
            <w:r>
              <w:rPr>
                <w:rFonts w:hint="eastAsia"/>
                <w:color w:val="auto"/>
                <w:lang w:eastAsia="zh-CN"/>
              </w:rPr>
              <w:t>采用空调</w:t>
            </w:r>
            <w:r>
              <w:rPr>
                <w:color w:val="auto"/>
              </w:rPr>
              <w:t>制冷</w:t>
            </w:r>
            <w:r>
              <w:rPr>
                <w:rFonts w:hint="eastAsia"/>
                <w:color w:val="auto"/>
                <w:lang w:eastAsia="zh-CN"/>
              </w:rPr>
              <w:t>、采暖。</w:t>
            </w:r>
          </w:p>
          <w:p>
            <w:pPr>
              <w:pStyle w:val="4"/>
              <w:bidi w:val="0"/>
              <w:rPr>
                <w:color w:val="auto"/>
              </w:rPr>
            </w:pPr>
            <w:r>
              <w:rPr>
                <w:rFonts w:hint="eastAsia"/>
                <w:color w:val="auto"/>
                <w:lang w:val="en-US" w:eastAsia="zh-CN"/>
              </w:rPr>
              <w:t>2.3.5</w:t>
            </w:r>
            <w:r>
              <w:rPr>
                <w:color w:val="auto"/>
              </w:rPr>
              <w:t>食宿</w:t>
            </w:r>
          </w:p>
          <w:p>
            <w:pPr>
              <w:spacing w:line="360" w:lineRule="auto"/>
              <w:ind w:firstLine="480"/>
              <w:rPr>
                <w:rFonts w:hint="eastAsia"/>
                <w:color w:val="auto"/>
                <w:lang w:val="en-US" w:eastAsia="zh-CN"/>
              </w:rPr>
            </w:pPr>
            <w:r>
              <w:rPr>
                <w:color w:val="auto"/>
              </w:rPr>
              <w:t>本项目</w:t>
            </w:r>
            <w:r>
              <w:rPr>
                <w:rFonts w:hint="eastAsia"/>
                <w:color w:val="auto"/>
                <w:lang w:val="en-US" w:eastAsia="zh-CN"/>
              </w:rPr>
              <w:t>不设置食堂、宿舍等其他生活设施。</w:t>
            </w:r>
          </w:p>
          <w:p>
            <w:pPr>
              <w:pStyle w:val="8"/>
              <w:bidi w:val="0"/>
              <w:rPr>
                <w:rFonts w:hint="eastAsia"/>
                <w:b/>
                <w:bCs/>
                <w:color w:val="auto"/>
                <w:lang w:val="en-US" w:eastAsia="zh-CN"/>
              </w:rPr>
            </w:pPr>
            <w:r>
              <w:rPr>
                <w:rFonts w:hint="eastAsia"/>
                <w:b/>
                <w:bCs/>
                <w:color w:val="auto"/>
                <w:lang w:val="en-US" w:eastAsia="zh-CN"/>
              </w:rPr>
              <w:t>2.4厂区平面布置</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color w:val="auto"/>
                <w:lang w:eastAsia="zh-CN"/>
              </w:rPr>
            </w:pPr>
            <w:r>
              <w:rPr>
                <w:rFonts w:hint="eastAsia"/>
                <w:color w:val="auto"/>
              </w:rPr>
              <w:t>本项目</w:t>
            </w:r>
            <w:r>
              <w:rPr>
                <w:rFonts w:hint="eastAsia"/>
                <w:color w:val="auto"/>
                <w:lang w:val="en-US" w:eastAsia="zh-CN"/>
              </w:rPr>
              <w:t>租赁</w:t>
            </w:r>
            <w:r>
              <w:rPr>
                <w:rFonts w:hint="default"/>
                <w:color w:val="auto"/>
              </w:rPr>
              <w:t>位于</w:t>
            </w:r>
            <w:r>
              <w:rPr>
                <w:rFonts w:hint="eastAsia"/>
                <w:color w:val="auto"/>
                <w:szCs w:val="21"/>
                <w:lang w:val="en-US" w:eastAsia="zh-CN"/>
              </w:rPr>
              <w:t>天津滨海高新区华苑产业区（环外）海泰华科八路6号5层E区512~514的闲置房屋。</w:t>
            </w:r>
            <w:r>
              <w:rPr>
                <w:rFonts w:hint="eastAsia"/>
                <w:color w:val="auto"/>
                <w:lang w:val="en-US" w:eastAsia="zh-CN"/>
              </w:rPr>
              <w:t>本项目南侧为办公区域、会议室，本项目东侧为细胞实验室、病理实验室、样本储存室、配电间、办公室、门厅；本项目西侧为分子实验室；北侧为动物房饲养区域，</w:t>
            </w:r>
            <w:r>
              <w:rPr>
                <w:rFonts w:hint="eastAsia"/>
                <w:color w:val="auto"/>
                <w:sz w:val="24"/>
                <w:szCs w:val="24"/>
                <w:lang w:val="en-US" w:eastAsia="zh-CN"/>
              </w:rPr>
              <w:t>设有鼠饲养间、兔饲养间、前室、手术室、观察室、淋浴、更衣间、洗刷间、取材室、数据分析室、水迷宫实验室、动物接收室、洗消前室、洗消后室。</w:t>
            </w:r>
            <w:r>
              <w:rPr>
                <w:rFonts w:hint="eastAsia"/>
                <w:color w:val="auto"/>
                <w:lang w:eastAsia="zh-CN"/>
              </w:rPr>
              <w:t>鼠饲养间为万级洁净车间，送风风机风量为</w:t>
            </w:r>
            <w:r>
              <w:rPr>
                <w:rFonts w:hint="eastAsia"/>
                <w:color w:val="auto"/>
                <w:lang w:val="en-US" w:eastAsia="zh-CN"/>
              </w:rPr>
              <w:t>9000m</w:t>
            </w:r>
            <w:r>
              <w:rPr>
                <w:rFonts w:hint="eastAsia"/>
                <w:color w:val="auto"/>
                <w:vertAlign w:val="superscript"/>
                <w:lang w:val="en-US" w:eastAsia="zh-CN"/>
              </w:rPr>
              <w:t>3</w:t>
            </w:r>
            <w:r>
              <w:rPr>
                <w:rFonts w:hint="eastAsia"/>
                <w:color w:val="auto"/>
                <w:lang w:val="en-US" w:eastAsia="zh-CN"/>
              </w:rPr>
              <w:t>/h，排风风机</w:t>
            </w:r>
            <w:r>
              <w:rPr>
                <w:rFonts w:hint="eastAsia"/>
                <w:color w:val="auto"/>
                <w:lang w:eastAsia="zh-CN"/>
              </w:rPr>
              <w:t>风量为</w:t>
            </w:r>
            <w:r>
              <w:rPr>
                <w:rFonts w:hint="eastAsia"/>
                <w:color w:val="auto"/>
                <w:lang w:val="en-US" w:eastAsia="zh-CN"/>
              </w:rPr>
              <w:t>6870m</w:t>
            </w:r>
            <w:r>
              <w:rPr>
                <w:rFonts w:hint="eastAsia"/>
                <w:color w:val="auto"/>
                <w:vertAlign w:val="superscript"/>
                <w:lang w:val="en-US" w:eastAsia="zh-CN"/>
              </w:rPr>
              <w:t>3</w:t>
            </w:r>
            <w:r>
              <w:rPr>
                <w:rFonts w:hint="eastAsia"/>
                <w:color w:val="auto"/>
                <w:lang w:val="en-US" w:eastAsia="zh-CN"/>
              </w:rPr>
              <w:t>/h。</w:t>
            </w:r>
            <w:r>
              <w:rPr>
                <w:rFonts w:hint="eastAsia"/>
                <w:color w:val="auto"/>
                <w:lang w:eastAsia="zh-CN"/>
              </w:rPr>
              <w:t>洗消后室、前室、更衣间、观察室、动物接收室、</w:t>
            </w:r>
            <w:r>
              <w:rPr>
                <w:rFonts w:hint="eastAsia"/>
                <w:color w:val="auto"/>
                <w:sz w:val="24"/>
                <w:szCs w:val="24"/>
                <w:lang w:val="en-US" w:eastAsia="zh-CN"/>
              </w:rPr>
              <w:t>数据分析室、</w:t>
            </w:r>
            <w:r>
              <w:rPr>
                <w:rFonts w:hint="eastAsia"/>
                <w:color w:val="auto"/>
                <w:lang w:eastAsia="zh-CN"/>
              </w:rPr>
              <w:t>水迷宫实验室、清洁走廊为十万级洁净车间，送风风机风量为</w:t>
            </w:r>
            <w:r>
              <w:rPr>
                <w:rFonts w:hint="eastAsia"/>
                <w:color w:val="auto"/>
                <w:lang w:val="en-US" w:eastAsia="zh-CN"/>
              </w:rPr>
              <w:t>5100m</w:t>
            </w:r>
            <w:r>
              <w:rPr>
                <w:rFonts w:hint="eastAsia"/>
                <w:color w:val="auto"/>
                <w:vertAlign w:val="superscript"/>
                <w:lang w:val="en-US" w:eastAsia="zh-CN"/>
              </w:rPr>
              <w:t>3</w:t>
            </w:r>
            <w:r>
              <w:rPr>
                <w:rFonts w:hint="eastAsia"/>
                <w:color w:val="auto"/>
                <w:lang w:val="en-US" w:eastAsia="zh-CN"/>
              </w:rPr>
              <w:t>/h，排风风机</w:t>
            </w:r>
            <w:r>
              <w:rPr>
                <w:rFonts w:hint="eastAsia"/>
                <w:color w:val="auto"/>
                <w:lang w:eastAsia="zh-CN"/>
              </w:rPr>
              <w:t>风量为</w:t>
            </w:r>
            <w:r>
              <w:rPr>
                <w:rFonts w:hint="eastAsia"/>
                <w:color w:val="auto"/>
                <w:lang w:val="en-US" w:eastAsia="zh-CN"/>
              </w:rPr>
              <w:t>4060m</w:t>
            </w:r>
            <w:r>
              <w:rPr>
                <w:rFonts w:hint="eastAsia"/>
                <w:color w:val="auto"/>
                <w:vertAlign w:val="superscript"/>
                <w:lang w:val="en-US" w:eastAsia="zh-CN"/>
              </w:rPr>
              <w:t>3</w:t>
            </w:r>
            <w:r>
              <w:rPr>
                <w:rFonts w:hint="eastAsia"/>
                <w:color w:val="auto"/>
                <w:lang w:val="en-US" w:eastAsia="zh-CN"/>
              </w:rPr>
              <w:t>/h，送排风口设置高效过滤器，排风经活性炭处理后通过P1排气筒排放。</w:t>
            </w:r>
            <w:r>
              <w:rPr>
                <w:rFonts w:hint="eastAsia"/>
                <w:color w:val="auto"/>
                <w:lang w:eastAsia="zh-CN"/>
              </w:rPr>
              <w:t>其他区域均为普通车间。</w:t>
            </w:r>
          </w:p>
          <w:p>
            <w:pPr>
              <w:pStyle w:val="83"/>
              <w:bidi w:val="0"/>
              <w:rPr>
                <w:rFonts w:hint="default"/>
                <w:color w:val="auto"/>
              </w:rPr>
            </w:pPr>
            <w:r>
              <w:rPr>
                <w:rFonts w:hint="eastAsia"/>
                <w:color w:val="auto"/>
                <w:lang w:val="en-US" w:eastAsia="zh-CN"/>
              </w:rPr>
              <w:t>表2-11  本项目洁净车间参数</w:t>
            </w:r>
            <w:r>
              <w:rPr>
                <w:rFonts w:hint="default"/>
                <w:color w:val="auto"/>
              </w:rPr>
              <w:t>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5"/>
              <w:gridCol w:w="1150"/>
              <w:gridCol w:w="1110"/>
              <w:gridCol w:w="910"/>
              <w:gridCol w:w="910"/>
              <w:gridCol w:w="1000"/>
              <w:gridCol w:w="890"/>
              <w:gridCol w:w="970"/>
              <w:gridCol w:w="9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685"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房间名称</w:t>
                  </w:r>
                </w:p>
              </w:tc>
              <w:tc>
                <w:tcPr>
                  <w:tcW w:w="661"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房间面积（m</w:t>
                  </w:r>
                  <w:r>
                    <w:rPr>
                      <w:rFonts w:hint="eastAsia"/>
                      <w:b/>
                      <w:bCs/>
                      <w:color w:val="auto"/>
                      <w:sz w:val="21"/>
                      <w:szCs w:val="21"/>
                      <w:vertAlign w:val="superscript"/>
                      <w:lang w:val="en-US" w:eastAsia="zh-CN"/>
                    </w:rPr>
                    <w:t>2</w:t>
                  </w:r>
                  <w:r>
                    <w:rPr>
                      <w:rFonts w:hint="eastAsia"/>
                      <w:b/>
                      <w:bCs/>
                      <w:color w:val="auto"/>
                      <w:sz w:val="21"/>
                      <w:szCs w:val="21"/>
                      <w:lang w:val="en-US" w:eastAsia="zh-CN"/>
                    </w:rPr>
                    <w:t>）</w:t>
                  </w:r>
                </w:p>
              </w:tc>
              <w:tc>
                <w:tcPr>
                  <w:tcW w:w="54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吊顶标高（m）</w:t>
                  </w:r>
                </w:p>
              </w:tc>
              <w:tc>
                <w:tcPr>
                  <w:tcW w:w="542"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洁净等级</w:t>
                  </w:r>
                </w:p>
              </w:tc>
              <w:tc>
                <w:tcPr>
                  <w:tcW w:w="596"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标准换气次数</w:t>
                  </w:r>
                </w:p>
              </w:tc>
              <w:tc>
                <w:tcPr>
                  <w:tcW w:w="53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房间压差（pa）</w:t>
                  </w:r>
                </w:p>
              </w:tc>
              <w:tc>
                <w:tcPr>
                  <w:tcW w:w="57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送风量（m</w:t>
                  </w:r>
                  <w:r>
                    <w:rPr>
                      <w:rFonts w:hint="eastAsia"/>
                      <w:b/>
                      <w:bCs/>
                      <w:color w:val="auto"/>
                      <w:sz w:val="21"/>
                      <w:szCs w:val="21"/>
                      <w:vertAlign w:val="superscript"/>
                      <w:lang w:val="en-US" w:eastAsia="zh-CN"/>
                    </w:rPr>
                    <w:t>3</w:t>
                  </w:r>
                  <w:r>
                    <w:rPr>
                      <w:rFonts w:hint="eastAsia"/>
                      <w:b/>
                      <w:bCs/>
                      <w:color w:val="auto"/>
                      <w:sz w:val="21"/>
                      <w:szCs w:val="21"/>
                      <w:lang w:val="en-US" w:eastAsia="zh-CN"/>
                    </w:rPr>
                    <w:t>/h）</w:t>
                  </w:r>
                </w:p>
              </w:tc>
              <w:tc>
                <w:tcPr>
                  <w:tcW w:w="57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排风量（m</w:t>
                  </w:r>
                  <w:r>
                    <w:rPr>
                      <w:rFonts w:hint="eastAsia"/>
                      <w:b/>
                      <w:bCs/>
                      <w:color w:val="auto"/>
                      <w:sz w:val="21"/>
                      <w:szCs w:val="21"/>
                      <w:vertAlign w:val="superscript"/>
                      <w:lang w:val="en-US" w:eastAsia="zh-CN"/>
                    </w:rPr>
                    <w:t>3</w:t>
                  </w:r>
                  <w:r>
                    <w:rPr>
                      <w:rFonts w:hint="eastAsia"/>
                      <w:b/>
                      <w:bCs/>
                      <w:color w:val="auto"/>
                      <w:sz w:val="21"/>
                      <w:szCs w:val="21"/>
                      <w:lang w:val="en-US" w:eastAsia="zh-CN"/>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鼠饲养间</w:t>
                  </w:r>
                </w:p>
              </w:tc>
              <w:tc>
                <w:tcPr>
                  <w:tcW w:w="661"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136.75</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30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9000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6870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2</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eastAsia="zh-CN"/>
                    </w:rPr>
                    <w:t>前室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29.05</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850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清洁走廊</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22.01</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1290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4</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一更衣室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5.61</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5</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5</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二更衣室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4.17</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6</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出口缓冲</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3.36</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7</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eastAsia="zh-CN"/>
                    </w:rPr>
                    <w:t>观察室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6.56</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290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val="en-US" w:eastAsia="zh-CN"/>
                    </w:rPr>
                    <w:t>数据分析室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9</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水迷宫实验室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10.38</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450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350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10</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走廊</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12.18</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520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eastAsia="宋体"/>
                      <w:color w:val="auto"/>
                      <w:sz w:val="21"/>
                      <w:szCs w:val="21"/>
                      <w:lang w:val="en-US" w:eastAsia="zh-CN"/>
                    </w:rPr>
                  </w:pPr>
                  <w:r>
                    <w:rPr>
                      <w:rFonts w:hint="eastAsia"/>
                      <w:color w:val="auto"/>
                      <w:sz w:val="21"/>
                      <w:szCs w:val="21"/>
                      <w:lang w:val="en-US" w:eastAsia="zh-CN"/>
                    </w:rPr>
                    <w:t>11</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洗消后室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15.18</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650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510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12</w:t>
                  </w:r>
                </w:p>
              </w:tc>
              <w:tc>
                <w:tcPr>
                  <w:tcW w:w="68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lang w:eastAsia="zh-CN"/>
                    </w:rPr>
                  </w:pPr>
                  <w:r>
                    <w:rPr>
                      <w:rFonts w:hint="eastAsia"/>
                      <w:color w:val="auto"/>
                      <w:sz w:val="21"/>
                      <w:szCs w:val="21"/>
                      <w:lang w:eastAsia="zh-CN"/>
                    </w:rPr>
                    <w:t>动物接收室</w:t>
                  </w:r>
                </w:p>
              </w:tc>
              <w:tc>
                <w:tcPr>
                  <w:tcW w:w="66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5.22</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2.4</w:t>
                  </w:r>
                </w:p>
              </w:tc>
              <w:tc>
                <w:tcPr>
                  <w:tcW w:w="542"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十万级</w:t>
                  </w:r>
                </w:p>
              </w:tc>
              <w:tc>
                <w:tcPr>
                  <w:tcW w:w="596"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15</w:t>
                  </w:r>
                </w:p>
              </w:tc>
              <w:tc>
                <w:tcPr>
                  <w:tcW w:w="530"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default"/>
                      <w:color w:val="auto"/>
                      <w:sz w:val="21"/>
                      <w:szCs w:val="21"/>
                      <w:lang w:val="en-US" w:eastAsia="zh-CN"/>
                    </w:rPr>
                  </w:pPr>
                  <w:r>
                    <w:rPr>
                      <w:rFonts w:hint="eastAsia"/>
                      <w:color w:val="auto"/>
                      <w:sz w:val="21"/>
                      <w:szCs w:val="21"/>
                      <w:lang w:val="en-US" w:eastAsia="zh-CN"/>
                    </w:rPr>
                    <w:t>20</w:t>
                  </w:r>
                </w:p>
              </w:tc>
              <w:tc>
                <w:tcPr>
                  <w:tcW w:w="578"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250</w:t>
                  </w:r>
                </w:p>
              </w:tc>
              <w:tc>
                <w:tcPr>
                  <w:tcW w:w="579" w:type="pct"/>
                  <w:tcBorders>
                    <w:tl2br w:val="nil"/>
                    <w:tr2bl w:val="nil"/>
                  </w:tcBorders>
                  <w:noWrap w:val="0"/>
                  <w:vAlign w:val="center"/>
                </w:tcPr>
                <w:p>
                  <w:pPr>
                    <w:keepLines w:val="0"/>
                    <w:widowControl w:val="0"/>
                    <w:snapToGrid w:val="0"/>
                    <w:spacing w:before="0" w:beforeAutospacing="0" w:after="0" w:afterAutospacing="0" w:line="240" w:lineRule="auto"/>
                    <w:ind w:firstLine="0" w:firstLineChars="0"/>
                    <w:jc w:val="center"/>
                    <w:textAlignment w:val="baseline"/>
                    <w:rPr>
                      <w:rFonts w:hint="eastAsia"/>
                      <w:color w:val="auto"/>
                      <w:sz w:val="21"/>
                      <w:szCs w:val="21"/>
                      <w:lang w:val="en-US" w:eastAsia="zh-CN"/>
                    </w:rPr>
                  </w:pPr>
                  <w:r>
                    <w:rPr>
                      <w:rFonts w:hint="eastAsia"/>
                      <w:color w:val="auto"/>
                      <w:sz w:val="21"/>
                      <w:szCs w:val="21"/>
                      <w:lang w:val="en-US" w:eastAsia="zh-CN"/>
                    </w:rPr>
                    <w:t>230</w:t>
                  </w:r>
                </w:p>
              </w:tc>
            </w:tr>
          </w:tbl>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lang w:eastAsia="zh-CN"/>
              </w:rPr>
            </w:pPr>
            <w:r>
              <w:rPr>
                <w:rFonts w:hint="eastAsia"/>
                <w:color w:val="auto"/>
                <w:lang w:eastAsia="zh-CN"/>
              </w:rPr>
              <w:t>本项目通风橱尺寸高</w:t>
            </w:r>
            <w:r>
              <w:rPr>
                <w:rFonts w:hint="eastAsia"/>
                <w:color w:val="auto"/>
                <w:lang w:val="en-US" w:eastAsia="zh-CN"/>
              </w:rPr>
              <w:t>2m×宽1m×长2m，风机风量为1850m</w:t>
            </w:r>
            <w:r>
              <w:rPr>
                <w:rFonts w:hint="eastAsia"/>
                <w:color w:val="auto"/>
                <w:vertAlign w:val="superscript"/>
                <w:lang w:val="en-US" w:eastAsia="zh-CN"/>
              </w:rPr>
              <w:t>3</w:t>
            </w:r>
            <w:r>
              <w:rPr>
                <w:rFonts w:hint="eastAsia"/>
                <w:color w:val="auto"/>
                <w:lang w:val="en-US" w:eastAsia="zh-CN"/>
              </w:rPr>
              <w:t>/h，计算得出每个通风橱的换风次数为462次/h。本项目</w:t>
            </w:r>
            <w:r>
              <w:rPr>
                <w:rFonts w:hint="eastAsia"/>
                <w:color w:val="auto"/>
                <w:lang w:eastAsia="zh-CN"/>
              </w:rPr>
              <w:t>病理实验室设置</w:t>
            </w:r>
            <w:r>
              <w:rPr>
                <w:rFonts w:hint="eastAsia"/>
                <w:color w:val="auto"/>
                <w:lang w:val="en-US" w:eastAsia="zh-CN"/>
              </w:rPr>
              <w:t>5台</w:t>
            </w:r>
            <w:r>
              <w:rPr>
                <w:rFonts w:hint="eastAsia"/>
                <w:color w:val="auto"/>
                <w:lang w:eastAsia="zh-CN"/>
              </w:rPr>
              <w:t>通风橱，通风橱参数见下表，</w:t>
            </w:r>
          </w:p>
          <w:p>
            <w:pPr>
              <w:pStyle w:val="83"/>
              <w:bidi w:val="0"/>
              <w:rPr>
                <w:rFonts w:hint="default"/>
                <w:color w:val="auto"/>
              </w:rPr>
            </w:pPr>
            <w:r>
              <w:rPr>
                <w:rFonts w:hint="eastAsia"/>
                <w:color w:val="auto"/>
                <w:lang w:val="en-US" w:eastAsia="zh-CN"/>
              </w:rPr>
              <w:t>表4-12  本项目通风橱参数</w:t>
            </w:r>
            <w:r>
              <w:rPr>
                <w:rFonts w:hint="default"/>
                <w:color w:val="auto"/>
              </w:rPr>
              <w:t>一览表</w:t>
            </w:r>
          </w:p>
          <w:tbl>
            <w:tblPr>
              <w:tblStyle w:val="29"/>
              <w:tblW w:w="50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355"/>
              <w:gridCol w:w="1531"/>
              <w:gridCol w:w="1498"/>
              <w:gridCol w:w="1530"/>
              <w:gridCol w:w="14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805"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名称</w:t>
                  </w:r>
                </w:p>
              </w:tc>
              <w:tc>
                <w:tcPr>
                  <w:tcW w:w="91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数量</w:t>
                  </w:r>
                </w:p>
              </w:tc>
              <w:tc>
                <w:tcPr>
                  <w:tcW w:w="89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单台设备风量</w:t>
                  </w:r>
                </w:p>
              </w:tc>
              <w:tc>
                <w:tcPr>
                  <w:tcW w:w="90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总设计风量</w:t>
                  </w:r>
                </w:p>
              </w:tc>
              <w:tc>
                <w:tcPr>
                  <w:tcW w:w="85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所在位置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805"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通风橱</w:t>
                  </w:r>
                </w:p>
              </w:tc>
              <w:tc>
                <w:tcPr>
                  <w:tcW w:w="91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5台</w:t>
                  </w:r>
                </w:p>
              </w:tc>
              <w:tc>
                <w:tcPr>
                  <w:tcW w:w="89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1850</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90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9250</w:t>
                  </w: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853" w:type="pc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病理实验室</w:t>
                  </w:r>
                </w:p>
              </w:tc>
            </w:tr>
          </w:tbl>
          <w:p>
            <w:pPr>
              <w:adjustRightInd w:val="0"/>
              <w:snapToGrid w:val="0"/>
              <w:spacing w:line="360" w:lineRule="auto"/>
              <w:ind w:firstLine="480" w:firstLineChars="200"/>
              <w:rPr>
                <w:rFonts w:hint="eastAsia" w:eastAsia="宋体"/>
                <w:color w:val="auto"/>
                <w:lang w:val="en-US" w:eastAsia="zh-CN"/>
              </w:rPr>
            </w:pPr>
            <w:r>
              <w:rPr>
                <w:rFonts w:hint="eastAsia"/>
                <w:color w:val="auto"/>
                <w:lang w:val="en-US" w:eastAsia="zh-CN"/>
              </w:rPr>
              <w:t>本项目病理实验室域设置单独排风系统，</w:t>
            </w:r>
            <w:r>
              <w:rPr>
                <w:rFonts w:hint="eastAsia"/>
                <w:color w:val="auto"/>
                <w:lang w:eastAsia="zh-CN"/>
              </w:rPr>
              <w:t>风机风量为</w:t>
            </w:r>
            <w:r>
              <w:rPr>
                <w:rFonts w:hint="eastAsia"/>
                <w:color w:val="auto"/>
                <w:lang w:val="en-US" w:eastAsia="zh-CN"/>
              </w:rPr>
              <w:t>1700m</w:t>
            </w:r>
            <w:r>
              <w:rPr>
                <w:rFonts w:hint="eastAsia"/>
                <w:color w:val="auto"/>
                <w:vertAlign w:val="superscript"/>
                <w:lang w:val="en-US" w:eastAsia="zh-CN"/>
              </w:rPr>
              <w:t>3</w:t>
            </w:r>
            <w:r>
              <w:rPr>
                <w:rFonts w:hint="eastAsia"/>
                <w:color w:val="auto"/>
                <w:lang w:val="en-US" w:eastAsia="zh-CN"/>
              </w:rPr>
              <w:t>/h，排风引至楼顶活性炭吸附箱处理，通过P1排气筒排放。</w:t>
            </w:r>
            <w:r>
              <w:rPr>
                <w:rFonts w:hint="eastAsia"/>
                <w:color w:val="auto"/>
              </w:rPr>
              <w:t>本项目</w:t>
            </w:r>
            <w:r>
              <w:rPr>
                <w:rFonts w:hint="eastAsia"/>
                <w:color w:val="auto"/>
                <w:lang w:eastAsia="zh-CN"/>
              </w:rPr>
              <w:t>病理实验室设置</w:t>
            </w:r>
            <w:r>
              <w:rPr>
                <w:rFonts w:hint="eastAsia"/>
                <w:color w:val="auto"/>
                <w:lang w:val="en-US" w:eastAsia="zh-CN"/>
              </w:rPr>
              <w:t>1台试剂柜，无排风系统。</w:t>
            </w:r>
            <w:r>
              <w:rPr>
                <w:rFonts w:hint="eastAsia"/>
                <w:color w:val="auto"/>
              </w:rPr>
              <w:t>综上合计，本次评价风量为</w:t>
            </w:r>
            <w:r>
              <w:rPr>
                <w:rFonts w:hint="eastAsia"/>
                <w:color w:val="auto"/>
                <w:lang w:val="en-US" w:eastAsia="zh-CN"/>
              </w:rPr>
              <w:t>23000</w:t>
            </w:r>
            <w:r>
              <w:rPr>
                <w:rFonts w:hint="eastAsia"/>
                <w:color w:val="auto"/>
              </w:rPr>
              <w:t>m</w:t>
            </w:r>
            <w:r>
              <w:rPr>
                <w:rFonts w:hint="eastAsia"/>
                <w:color w:val="auto"/>
                <w:vertAlign w:val="superscript"/>
              </w:rPr>
              <w:t>3</w:t>
            </w:r>
            <w:r>
              <w:rPr>
                <w:rFonts w:hint="eastAsia"/>
                <w:color w:val="auto"/>
              </w:rPr>
              <w:t>/h</w:t>
            </w:r>
            <w:r>
              <w:rPr>
                <w:rFonts w:hint="eastAsia"/>
                <w:color w:val="auto"/>
                <w:lang w:eastAsia="zh-CN"/>
              </w:rPr>
              <w:t>。</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生物安全实验室是指通过防护屏障和管理措施，达到生物安全要求的病原微生物实验室；《实验室生物安全通用要求》（GB19489-2008）针对与感染动物饲养相关的实验室活动，规定了对实验室内动物饲养设施和环境的基本要求。本项目不涉及细菌、微生物、病毒，不涉及感染动物饲养相关的实验室活动，无实验室生物安全要求。</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细胞实验室内生物安全柜均设置循环风机，并配置高效过滤器和活性炭吸附，柜内循环风。生物安全柜运行时为微负压状态，气流由下而上为吸入气流、下降气流、循环气流和外排气流四部分气流。首先在生物安全柜底部吸入室内空气至柜体内部过滤，过滤后约70%气体在柜体内部循环，约30%气体通过柜体上的排口排至实验室内，净化后的气体在实验室内循环。生物安全柜使用后，对生物安全柜使用酒精消毒并用清水擦拭干净，最后打开生物安全柜紫外灯对内部进行紫外消毒30~60min。</w:t>
            </w:r>
          </w:p>
          <w:p>
            <w:pPr>
              <w:pStyle w:val="4"/>
              <w:bidi w:val="0"/>
              <w:rPr>
                <w:rFonts w:hint="eastAsia" w:eastAsia="宋体"/>
                <w:color w:val="auto"/>
                <w:lang w:val="en-US" w:eastAsia="zh-CN"/>
              </w:rPr>
            </w:pPr>
            <w:r>
              <w:rPr>
                <w:rFonts w:hint="eastAsia"/>
                <w:color w:val="auto"/>
                <w:lang w:val="en-US" w:eastAsia="zh-CN"/>
              </w:rPr>
              <w:t>2.5</w:t>
            </w:r>
            <w:r>
              <w:rPr>
                <w:color w:val="auto"/>
              </w:rPr>
              <w:t>定员和工作制度</w:t>
            </w:r>
          </w:p>
          <w:p>
            <w:pPr>
              <w:pStyle w:val="8"/>
              <w:bidi w:val="0"/>
              <w:rPr>
                <w:rFonts w:hint="eastAsia" w:eastAsia="宋体"/>
                <w:color w:val="auto"/>
                <w:lang w:val="en-US" w:eastAsia="zh-CN"/>
              </w:rPr>
            </w:pPr>
            <w:r>
              <w:rPr>
                <w:rFonts w:hint="eastAsia"/>
                <w:color w:val="auto"/>
              </w:rPr>
              <w:t>本项目劳动定员</w:t>
            </w:r>
            <w:r>
              <w:rPr>
                <w:rFonts w:hint="eastAsia"/>
                <w:color w:val="auto"/>
                <w:lang w:val="en-US" w:eastAsia="zh-CN"/>
              </w:rPr>
              <w:t>19</w:t>
            </w:r>
            <w:r>
              <w:rPr>
                <w:rFonts w:hint="eastAsia"/>
                <w:color w:val="auto"/>
              </w:rPr>
              <w:t>人，</w:t>
            </w:r>
            <w:r>
              <w:rPr>
                <w:rFonts w:hint="eastAsia"/>
                <w:color w:val="auto"/>
                <w:lang w:val="en-US" w:eastAsia="zh-CN"/>
              </w:rPr>
              <w:t>每天</w:t>
            </w:r>
            <w:r>
              <w:rPr>
                <w:rFonts w:hint="eastAsia"/>
                <w:color w:val="auto"/>
              </w:rPr>
              <w:t>工作</w:t>
            </w:r>
            <w:r>
              <w:rPr>
                <w:rFonts w:hint="eastAsia"/>
                <w:color w:val="auto"/>
                <w:lang w:val="en-US" w:eastAsia="zh-CN"/>
              </w:rPr>
              <w:t>8</w:t>
            </w:r>
            <w:r>
              <w:rPr>
                <w:rFonts w:hint="eastAsia"/>
                <w:color w:val="auto"/>
              </w:rPr>
              <w:t>h，全年工作</w:t>
            </w:r>
            <w:r>
              <w:rPr>
                <w:rFonts w:hint="eastAsia"/>
                <w:color w:val="auto"/>
                <w:lang w:val="en-US" w:eastAsia="zh-CN"/>
              </w:rPr>
              <w:t>250</w:t>
            </w:r>
            <w:r>
              <w:rPr>
                <w:rFonts w:hint="eastAsia"/>
                <w:color w:val="auto"/>
              </w:rPr>
              <w:t>天。</w:t>
            </w:r>
            <w:r>
              <w:rPr>
                <w:rFonts w:hint="eastAsia"/>
                <w:color w:val="auto"/>
                <w:lang w:eastAsia="zh-CN"/>
              </w:rPr>
              <w:t>夜间不运行，实验时间基本控制在8h之内，针对8h之内不能完成的实验，按照相应的保存条件储存，翌日继续实验。</w:t>
            </w:r>
            <w:r>
              <w:rPr>
                <w:rFonts w:hint="eastAsia"/>
                <w:color w:val="auto"/>
                <w:lang w:val="en-US" w:eastAsia="zh-CN"/>
              </w:rPr>
              <w:t>本项目实验过程、溶液配制过程使用无水乙醇、二甲苯、无水甲醇、异丙醇等有机试剂</w:t>
            </w:r>
            <w:r>
              <w:rPr>
                <w:rFonts w:hint="eastAsia"/>
                <w:b w:val="0"/>
                <w:bCs/>
                <w:color w:val="auto"/>
                <w:lang w:val="en-US" w:eastAsia="zh-CN"/>
              </w:rPr>
              <w:t>，</w:t>
            </w:r>
            <w:r>
              <w:rPr>
                <w:rFonts w:hint="eastAsia"/>
                <w:color w:val="auto"/>
                <w:lang w:val="en-US" w:eastAsia="zh-CN"/>
              </w:rPr>
              <w:t>年使用时间1250h/a。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2" w:type="dxa"/>
            <w:noWrap w:val="0"/>
            <w:vAlign w:val="center"/>
          </w:tcPr>
          <w:p>
            <w:pPr>
              <w:pStyle w:val="26"/>
              <w:adjustRightInd w:val="0"/>
              <w:snapToGrid w:val="0"/>
              <w:spacing w:before="0" w:beforeAutospacing="0" w:after="0" w:afterAutospacing="0"/>
              <w:jc w:val="center"/>
              <w:rPr>
                <w:rFonts w:ascii="Times New Roman" w:hAnsi="Times New Roman" w:eastAsia="宋体" w:cs="宋体"/>
                <w:color w:val="auto"/>
                <w:sz w:val="21"/>
                <w:szCs w:val="21"/>
              </w:rPr>
            </w:pPr>
            <w:r>
              <w:rPr>
                <w:rFonts w:hint="eastAsia" w:ascii="Times New Roman" w:hAnsi="Times New Roman" w:eastAsia="宋体" w:cs="宋体"/>
                <w:color w:val="auto"/>
                <w:sz w:val="21"/>
                <w:szCs w:val="21"/>
              </w:rPr>
              <w:t>工艺流程和产排污环节</w:t>
            </w:r>
          </w:p>
        </w:tc>
        <w:tc>
          <w:tcPr>
            <w:tcW w:w="8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textAlignment w:val="auto"/>
              <w:outlineLvl w:val="9"/>
              <w:rPr>
                <w:rFonts w:hint="default"/>
                <w:color w:val="auto"/>
                <w:lang w:val="en-US" w:eastAsia="zh-CN"/>
              </w:rPr>
            </w:pPr>
            <w:r>
              <w:rPr>
                <w:rFonts w:hint="default"/>
                <w:color w:val="auto"/>
                <w:lang w:val="en-US" w:eastAsia="zh-CN"/>
              </w:rPr>
              <w:t>工艺流程简述（图示）：</w:t>
            </w:r>
          </w:p>
          <w:p>
            <w:pPr>
              <w:pStyle w:val="8"/>
              <w:numPr>
                <w:ilvl w:val="0"/>
                <w:numId w:val="6"/>
              </w:numPr>
              <w:bidi w:val="0"/>
              <w:rPr>
                <w:rFonts w:hint="eastAsia"/>
                <w:color w:val="auto"/>
                <w:lang w:val="en-US" w:eastAsia="zh-CN"/>
              </w:rPr>
            </w:pPr>
            <w:r>
              <w:rPr>
                <w:rFonts w:hint="eastAsia"/>
                <w:color w:val="auto"/>
                <w:lang w:val="en-US" w:eastAsia="zh-CN"/>
              </w:rPr>
              <w:t>施工期</w:t>
            </w:r>
          </w:p>
          <w:p>
            <w:pPr>
              <w:pStyle w:val="8"/>
              <w:ind w:firstLine="480"/>
              <w:rPr>
                <w:color w:val="auto"/>
              </w:rPr>
            </w:pPr>
            <w:r>
              <w:rPr>
                <w:color w:val="auto"/>
              </w:rPr>
              <w:t>本项目</w:t>
            </w:r>
            <w:r>
              <w:rPr>
                <w:rFonts w:hint="eastAsia"/>
                <w:color w:val="auto"/>
              </w:rPr>
              <w:t>为新建项目，租赁闲置厂房，施工期工程内容主要为</w:t>
            </w:r>
            <w:r>
              <w:rPr>
                <w:rFonts w:hint="eastAsia"/>
                <w:color w:val="auto"/>
                <w:lang w:eastAsia="zh-CN"/>
              </w:rPr>
              <w:t>实验室</w:t>
            </w:r>
            <w:r>
              <w:rPr>
                <w:rFonts w:hint="eastAsia"/>
                <w:color w:val="auto"/>
              </w:rPr>
              <w:t>装修改造和安装设备。</w:t>
            </w:r>
            <w:r>
              <w:rPr>
                <w:rFonts w:hint="eastAsia"/>
                <w:color w:val="auto"/>
                <w:lang w:eastAsia="zh-CN"/>
              </w:rPr>
              <w:t>实验室</w:t>
            </w:r>
            <w:r>
              <w:rPr>
                <w:rFonts w:hint="eastAsia"/>
                <w:color w:val="auto"/>
              </w:rPr>
              <w:t>装修改造主要对墙体改造；设备安装包括本项目</w:t>
            </w:r>
            <w:r>
              <w:rPr>
                <w:rFonts w:hint="eastAsia"/>
                <w:color w:val="auto"/>
                <w:lang w:eastAsia="zh-CN"/>
              </w:rPr>
              <w:t>实验</w:t>
            </w:r>
            <w:r>
              <w:rPr>
                <w:rFonts w:hint="eastAsia"/>
                <w:color w:val="auto"/>
              </w:rPr>
              <w:t>设备和环保设备的安装调试。</w:t>
            </w:r>
            <w:r>
              <w:rPr>
                <w:rFonts w:hint="eastAsia"/>
                <w:color w:val="auto"/>
                <w:lang w:val="en-US" w:eastAsia="zh-CN"/>
              </w:rPr>
              <w:t>施工期</w:t>
            </w:r>
            <w:r>
              <w:rPr>
                <w:rFonts w:hint="eastAsia"/>
                <w:color w:val="auto"/>
              </w:rPr>
              <w:t>主要</w:t>
            </w:r>
            <w:r>
              <w:rPr>
                <w:rFonts w:hint="eastAsia"/>
                <w:color w:val="auto"/>
                <w:lang w:val="en-US" w:eastAsia="zh-CN"/>
              </w:rPr>
              <w:t>产生</w:t>
            </w:r>
            <w:r>
              <w:rPr>
                <w:rFonts w:hint="eastAsia"/>
                <w:color w:val="auto"/>
              </w:rPr>
              <w:t>施工固体废物，施工噪声</w:t>
            </w:r>
            <w:r>
              <w:rPr>
                <w:color w:val="auto"/>
              </w:rPr>
              <w:t>。</w:t>
            </w:r>
            <w:r>
              <w:rPr>
                <w:rFonts w:hint="eastAsia"/>
                <w:color w:val="auto"/>
              </w:rPr>
              <w:t>其次是施工人员产生的生活污水和生活垃圾</w:t>
            </w:r>
            <w:r>
              <w:rPr>
                <w:rFonts w:hint="eastAsia"/>
                <w:color w:val="auto"/>
                <w:lang w:eastAsia="zh-CN"/>
              </w:rPr>
              <w:t>，</w:t>
            </w:r>
            <w:r>
              <w:rPr>
                <w:rFonts w:hint="eastAsia"/>
                <w:color w:val="auto"/>
              </w:rPr>
              <w:t>对周围环境影响较小。</w:t>
            </w:r>
          </w:p>
          <w:p>
            <w:pPr>
              <w:pStyle w:val="8"/>
              <w:numPr>
                <w:ilvl w:val="0"/>
                <w:numId w:val="2"/>
              </w:numPr>
              <w:bidi w:val="0"/>
              <w:ind w:left="0" w:leftChars="0" w:firstLine="420" w:firstLineChars="0"/>
              <w:rPr>
                <w:rFonts w:hint="eastAsia"/>
                <w:color w:val="auto"/>
                <w:lang w:eastAsia="zh-CN"/>
              </w:rPr>
            </w:pPr>
            <w:r>
              <w:rPr>
                <w:rFonts w:hint="eastAsia"/>
                <w:color w:val="auto"/>
                <w:lang w:val="en-US" w:eastAsia="zh-CN"/>
              </w:rPr>
              <w:t>营运期</w:t>
            </w:r>
          </w:p>
          <w:p>
            <w:pPr>
              <w:wordWrap w:val="0"/>
              <w:ind w:firstLine="480" w:firstLineChars="200"/>
              <w:rPr>
                <w:rFonts w:hint="eastAsia"/>
                <w:b w:val="0"/>
                <w:bCs/>
                <w:color w:val="auto"/>
                <w:lang w:val="en-US" w:eastAsia="zh-CN"/>
              </w:rPr>
            </w:pPr>
            <w:r>
              <w:rPr>
                <w:rFonts w:hint="eastAsia"/>
                <w:color w:val="auto"/>
              </w:rPr>
              <w:t>本项目实验主要针对客户送检的动植物、细胞样本进行生物医学检测，出具检测报告；或者客户提供安全性中医药物，选择身体健康、体重适合的实验动物通过腹腔注射法和灌胃法给药，</w:t>
            </w:r>
            <w:r>
              <w:rPr>
                <w:rFonts w:hint="eastAsia"/>
                <w:color w:val="auto"/>
                <w:lang w:eastAsia="zh-CN"/>
              </w:rPr>
              <w:t>根据客户提供的动物模型设置空白组、模型组、不同剂量组进行对照实验，</w:t>
            </w:r>
            <w:r>
              <w:rPr>
                <w:rFonts w:hint="eastAsia"/>
                <w:color w:val="auto"/>
                <w:lang w:val="en-US" w:eastAsia="zh-CN"/>
              </w:rPr>
              <w:t>实验模型选取8~100只动物</w:t>
            </w:r>
            <w:r>
              <w:rPr>
                <w:rFonts w:hint="eastAsia"/>
                <w:color w:val="auto"/>
                <w:lang w:eastAsia="zh-CN"/>
              </w:rPr>
              <w:t>。</w:t>
            </w:r>
            <w:r>
              <w:rPr>
                <w:rFonts w:hint="eastAsia"/>
                <w:color w:val="auto"/>
              </w:rPr>
              <w:t>观察实验药物对实验动物生理活动和机体健康恢复的影响，然后对实验动物进行解剖，对其血液、脏器等实验样本进行检测并出具分析检测报告，便于客户系统分析目的性药物的药效和分子药理。检测完成后实验样本均返还客户。</w:t>
            </w:r>
            <w:r>
              <w:rPr>
                <w:rFonts w:hint="eastAsia"/>
                <w:b w:val="0"/>
                <w:bCs/>
                <w:color w:val="auto"/>
                <w:lang w:eastAsia="zh-CN"/>
              </w:rPr>
              <w:t>年出具检测报告</w:t>
            </w:r>
            <w:r>
              <w:rPr>
                <w:rFonts w:hint="eastAsia"/>
                <w:b w:val="0"/>
                <w:bCs/>
                <w:color w:val="auto"/>
                <w:lang w:val="en-US" w:eastAsia="zh-CN"/>
              </w:rPr>
              <w:t>700份。</w:t>
            </w:r>
          </w:p>
          <w:p>
            <w:pPr>
              <w:keepNext w:val="0"/>
              <w:keepLines w:val="0"/>
              <w:pageBreakBefore w:val="0"/>
              <w:widowControl w:val="0"/>
              <w:kinsoku/>
              <w:wordWrap/>
              <w:overflowPunct/>
              <w:topLinePunct w:val="0"/>
              <w:autoSpaceDE/>
              <w:autoSpaceDN/>
              <w:bidi w:val="0"/>
              <w:adjustRightInd/>
              <w:snapToGrid/>
              <w:textAlignment w:val="auto"/>
              <w:rPr>
                <w:rFonts w:hint="eastAsia"/>
                <w:b w:val="0"/>
                <w:bCs/>
                <w:color w:val="auto"/>
                <w:lang w:val="en-US" w:eastAsia="zh-CN"/>
              </w:rPr>
            </w:pPr>
            <w:r>
              <w:rPr>
                <w:rFonts w:hint="eastAsia"/>
                <w:b w:val="0"/>
                <w:bCs/>
                <w:color w:val="auto"/>
                <w:lang w:val="en-US" w:eastAsia="zh-CN"/>
              </w:rPr>
              <w:drawing>
                <wp:inline distT="0" distB="0" distL="114300" distR="114300">
                  <wp:extent cx="5186045" cy="2686050"/>
                  <wp:effectExtent l="0" t="0" r="0" b="0"/>
                  <wp:docPr id="6" name="ECB019B1-382A-4266-B25C-5B523AA43C14-2" descr="C:/Users/Administrator.USER-20191121OT/AppData/Local/Temp/wps.rGTlP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USER-20191121OT/AppData/Local/Temp/wps.rGTlPrwps"/>
                          <pic:cNvPicPr>
                            <a:picLocks noChangeAspect="1"/>
                          </pic:cNvPicPr>
                        </pic:nvPicPr>
                        <pic:blipFill>
                          <a:blip r:embed="rId12"/>
                          <a:stretch>
                            <a:fillRect/>
                          </a:stretch>
                        </pic:blipFill>
                        <pic:spPr>
                          <a:xfrm>
                            <a:off x="0" y="0"/>
                            <a:ext cx="5186045" cy="2686050"/>
                          </a:xfrm>
                          <a:prstGeom prst="rect">
                            <a:avLst/>
                          </a:prstGeom>
                        </pic:spPr>
                      </pic:pic>
                    </a:graphicData>
                  </a:graphic>
                </wp:inline>
              </w:drawing>
            </w:r>
          </w:p>
          <w:p>
            <w:pPr>
              <w:pStyle w:val="10"/>
              <w:bidi w:val="0"/>
              <w:rPr>
                <w:rFonts w:hint="default"/>
                <w:color w:val="auto"/>
                <w:lang w:val="en-US" w:eastAsia="zh-CN"/>
              </w:rPr>
            </w:pPr>
            <w:r>
              <w:rPr>
                <w:rFonts w:hint="eastAsia"/>
                <w:color w:val="auto"/>
                <w:lang w:val="en-US" w:eastAsia="zh-CN"/>
              </w:rPr>
              <w:t>图2-2  实验过程及产排污环节示意图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eastAsia="zh-CN"/>
              </w:rPr>
              <w:t>动物饲养：本项目主要饲养动物为鼠、兔子，</w:t>
            </w:r>
            <w:r>
              <w:rPr>
                <w:rFonts w:hint="eastAsia"/>
                <w:b w:val="0"/>
                <w:bCs/>
                <w:color w:val="auto"/>
                <w:lang w:val="en-US" w:eastAsia="zh-CN"/>
              </w:rPr>
              <w:t>分批购入，</w:t>
            </w:r>
            <w:r>
              <w:rPr>
                <w:rFonts w:hint="eastAsia"/>
                <w:color w:val="auto"/>
                <w:lang w:eastAsia="zh-CN"/>
              </w:rPr>
              <w:t>饲养期</w:t>
            </w:r>
            <w:r>
              <w:rPr>
                <w:rFonts w:hint="eastAsia"/>
                <w:color w:val="auto"/>
                <w:lang w:val="en-US" w:eastAsia="zh-CN"/>
              </w:rPr>
              <w:t>3~10天，动物饲料外购，动物饮用水通过净水机过滤自来水饮用。动物饲养间定期使用酒精或84消毒液进行消毒。动物饲养过程中产生S1动物粪便、S2</w:t>
            </w:r>
            <w:r>
              <w:rPr>
                <w:rFonts w:hint="eastAsia" w:cs="Times New Roman"/>
                <w:color w:val="auto"/>
                <w:lang w:val="en-US" w:eastAsia="zh-CN"/>
              </w:rPr>
              <w:t>净水设备废弃物</w:t>
            </w:r>
            <w:r>
              <w:rPr>
                <w:rFonts w:hint="eastAsia"/>
                <w:color w:val="auto"/>
                <w:lang w:val="en-US" w:eastAsia="zh-CN"/>
              </w:rPr>
              <w:t>、G1消毒废气、G3饲养废气、W1净水机浓水。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val="en-US" w:eastAsia="zh-CN"/>
              </w:rPr>
            </w:pPr>
            <w:r>
              <w:rPr>
                <w:rFonts w:hint="eastAsia"/>
                <w:color w:val="auto"/>
                <w:lang w:val="en-US" w:eastAsia="zh-CN"/>
              </w:rPr>
              <w:t>动物手术：</w:t>
            </w:r>
            <w:r>
              <w:rPr>
                <w:rFonts w:hint="eastAsia"/>
                <w:color w:val="auto"/>
              </w:rPr>
              <w:t>本项目客户提供的药剂均为国家合法化的中药制品，挑选身体健康和体重适合的实验动物通过腹腔注射和灌胃法进行给药，观察药物对模式动物的生理活动和机体健康恢复的影响。饲养的动物（鼠/兔）从饲养间取出，经麻醉剂麻醉后进行开腹解剖手术，鼠解剖手术在动物取材室进行，兔子解剖手术在动物实验手术室进行。开腹后从动物的腹主动脉取血，解剖取出全部脏器，收集实验动物血液和脏器作为实验样本存放于样本储藏间的-80</w:t>
            </w:r>
            <w:r>
              <w:rPr>
                <w:color w:val="auto"/>
              </w:rPr>
              <w:t>℃</w:t>
            </w:r>
            <w:r>
              <w:rPr>
                <w:rFonts w:hint="eastAsia"/>
                <w:color w:val="auto"/>
              </w:rPr>
              <w:t>超低温冰箱内，用于后续检测。</w:t>
            </w:r>
            <w:r>
              <w:rPr>
                <w:rFonts w:hint="eastAsia"/>
                <w:color w:val="auto"/>
                <w:lang w:eastAsia="zh-CN"/>
              </w:rPr>
              <w:t>此过程会产生</w:t>
            </w:r>
            <w:r>
              <w:rPr>
                <w:rFonts w:hint="eastAsia"/>
                <w:color w:val="auto"/>
              </w:rPr>
              <w:t>S3</w:t>
            </w:r>
            <w:r>
              <w:rPr>
                <w:rFonts w:hint="eastAsia"/>
                <w:color w:val="auto"/>
                <w:lang w:eastAsia="zh-CN"/>
              </w:rPr>
              <w:t>动物尸体</w:t>
            </w:r>
            <w:r>
              <w:rPr>
                <w:rFonts w:hint="eastAsia"/>
                <w:color w:val="auto"/>
              </w:rPr>
              <w:t>存放于危废暂存间的低温冰箱内，使用干冰速冻，委托有资质单位处理处置。</w:t>
            </w:r>
          </w:p>
          <w:p>
            <w:pPr>
              <w:pStyle w:val="8"/>
              <w:rPr>
                <w:rFonts w:hint="eastAsia"/>
                <w:color w:val="auto"/>
                <w:lang w:val="en-US" w:eastAsia="zh-CN"/>
              </w:rPr>
            </w:pPr>
            <w:r>
              <w:rPr>
                <w:rFonts w:hint="eastAsia"/>
                <w:color w:val="auto"/>
                <w:lang w:val="en-US" w:eastAsia="zh-CN"/>
              </w:rPr>
              <w:t>客户送样：</w:t>
            </w:r>
            <w:r>
              <w:rPr>
                <w:rFonts w:hint="eastAsia"/>
                <w:color w:val="auto"/>
                <w:lang w:eastAsia="zh-CN"/>
              </w:rPr>
              <w:t>客户送检的动植物、细胞样本进行检测，样本暂存于</w:t>
            </w:r>
            <w:r>
              <w:rPr>
                <w:rFonts w:hint="eastAsia"/>
                <w:color w:val="auto"/>
                <w:lang w:val="en-US" w:eastAsia="zh-CN"/>
              </w:rPr>
              <w:t>样本储藏间的超低温冰箱内。</w:t>
            </w:r>
          </w:p>
          <w:p>
            <w:pPr>
              <w:pStyle w:val="8"/>
              <w:rPr>
                <w:rFonts w:hint="eastAsia"/>
                <w:color w:val="auto"/>
                <w:lang w:val="en-US" w:eastAsia="zh-CN"/>
              </w:rPr>
            </w:pPr>
            <w:r>
              <w:rPr>
                <w:rFonts w:hint="eastAsia"/>
                <w:color w:val="auto"/>
                <w:lang w:val="en-US" w:eastAsia="zh-CN"/>
              </w:rPr>
              <w:t>样本处理：本项目动物实验解剖取出的动物脏器按组织块（0.1~0.2g）放置于盛有0.86%生理盐水的离心管中，根据需求破碎离心取上清液。血液在37℃水浴中取血清暂存于离心管中保存，本项目实验样本预处理方式见下表。</w:t>
            </w:r>
          </w:p>
          <w:p>
            <w:pPr>
              <w:pStyle w:val="83"/>
              <w:bidi w:val="0"/>
              <w:rPr>
                <w:rFonts w:hint="default"/>
                <w:color w:val="auto"/>
                <w:lang w:val="de-DE" w:eastAsia="zh-CN"/>
              </w:rPr>
            </w:pPr>
            <w:r>
              <w:rPr>
                <w:color w:val="auto"/>
              </w:rPr>
              <w:t xml:space="preserve">表 </w:t>
            </w:r>
            <w:r>
              <w:rPr>
                <w:rFonts w:hint="eastAsia"/>
                <w:color w:val="auto"/>
                <w:lang w:val="en-US" w:eastAsia="zh-CN"/>
              </w:rPr>
              <w:t>2-13    本项目实验样本情况一览表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1152"/>
              <w:gridCol w:w="1168"/>
              <w:gridCol w:w="2891"/>
              <w:gridCol w:w="7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145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sz w:val="21"/>
                      <w:szCs w:val="21"/>
                      <w:lang w:eastAsia="zh-CN"/>
                    </w:rPr>
                  </w:pPr>
                  <w:r>
                    <w:rPr>
                      <w:rFonts w:hint="eastAsia"/>
                      <w:b/>
                      <w:bCs/>
                      <w:color w:val="auto"/>
                      <w:sz w:val="21"/>
                      <w:szCs w:val="21"/>
                      <w:lang w:eastAsia="zh-CN"/>
                    </w:rPr>
                    <w:t>实验</w:t>
                  </w:r>
                </w:p>
              </w:tc>
              <w:tc>
                <w:tcPr>
                  <w:tcW w:w="68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sz w:val="21"/>
                      <w:szCs w:val="21"/>
                      <w:lang w:eastAsia="zh-CN"/>
                    </w:rPr>
                  </w:pPr>
                  <w:r>
                    <w:rPr>
                      <w:rFonts w:hint="eastAsia"/>
                      <w:b/>
                      <w:bCs/>
                      <w:color w:val="auto"/>
                      <w:sz w:val="21"/>
                      <w:szCs w:val="21"/>
                      <w:lang w:eastAsia="zh-CN"/>
                    </w:rPr>
                    <w:t>实验样本</w:t>
                  </w:r>
                </w:p>
              </w:tc>
              <w:tc>
                <w:tcPr>
                  <w:tcW w:w="69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sz w:val="21"/>
                      <w:szCs w:val="21"/>
                      <w:lang w:val="en-US" w:eastAsia="zh-CN"/>
                    </w:rPr>
                  </w:pPr>
                  <w:r>
                    <w:rPr>
                      <w:rFonts w:hint="eastAsia"/>
                      <w:b/>
                      <w:bCs/>
                      <w:color w:val="auto"/>
                      <w:sz w:val="21"/>
                      <w:szCs w:val="21"/>
                      <w:lang w:eastAsia="zh-CN"/>
                    </w:rPr>
                    <w:t>样本</w:t>
                  </w:r>
                  <w:r>
                    <w:rPr>
                      <w:rFonts w:hint="eastAsia"/>
                      <w:b/>
                      <w:bCs/>
                      <w:color w:val="auto"/>
                      <w:sz w:val="21"/>
                      <w:szCs w:val="21"/>
                      <w:lang w:val="en-US" w:eastAsia="zh-CN"/>
                    </w:rPr>
                    <w:t>来源</w:t>
                  </w:r>
                </w:p>
              </w:tc>
              <w:tc>
                <w:tcPr>
                  <w:tcW w:w="172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eastAsia="宋体"/>
                      <w:b/>
                      <w:bCs/>
                      <w:color w:val="auto"/>
                      <w:sz w:val="21"/>
                      <w:szCs w:val="21"/>
                      <w:lang w:eastAsia="zh-CN"/>
                    </w:rPr>
                  </w:pPr>
                  <w:r>
                    <w:rPr>
                      <w:rFonts w:hint="eastAsia"/>
                      <w:b/>
                      <w:bCs/>
                      <w:color w:val="auto"/>
                      <w:sz w:val="21"/>
                      <w:szCs w:val="21"/>
                      <w:lang w:eastAsia="zh-CN"/>
                    </w:rPr>
                    <w:t>样本预处理方式</w:t>
                  </w:r>
                </w:p>
              </w:tc>
              <w:tc>
                <w:tcPr>
                  <w:tcW w:w="441"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sz w:val="21"/>
                      <w:szCs w:val="21"/>
                      <w:lang w:val="en-US" w:eastAsia="zh-CN"/>
                    </w:rPr>
                  </w:pPr>
                  <w:r>
                    <w:rPr>
                      <w:rFonts w:hint="eastAsia"/>
                      <w:b/>
                      <w:bCs/>
                      <w:color w:val="auto"/>
                      <w:sz w:val="21"/>
                      <w:szCs w:val="21"/>
                      <w:lang w:eastAsia="zh-CN"/>
                    </w:rPr>
                    <w:t>样本</w:t>
                  </w:r>
                  <w:r>
                    <w:rPr>
                      <w:rFonts w:hint="eastAsia"/>
                      <w:b/>
                      <w:bCs/>
                      <w:color w:val="auto"/>
                      <w:sz w:val="21"/>
                      <w:szCs w:val="21"/>
                      <w:lang w:val="en-US" w:eastAsia="zh-CN"/>
                    </w:rPr>
                    <w:t>储存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eastAsia="宋体"/>
                      <w:color w:val="auto"/>
                      <w:sz w:val="21"/>
                      <w:szCs w:val="21"/>
                      <w:vertAlign w:val="subscript"/>
                      <w:lang w:val="en-US" w:eastAsia="zh-CN"/>
                    </w:rPr>
                  </w:pPr>
                  <w:r>
                    <w:rPr>
                      <w:rFonts w:hint="eastAsia" w:ascii="Times New Roman" w:hAnsi="Times New Roman" w:eastAsia="宋体" w:cs="Times New Roman"/>
                      <w:color w:val="auto"/>
                      <w:sz w:val="21"/>
                      <w:szCs w:val="21"/>
                      <w:lang w:val="en-US" w:eastAsia="zh-CN"/>
                    </w:rPr>
                    <w:t>HE染色实验</w:t>
                  </w:r>
                </w:p>
              </w:tc>
              <w:tc>
                <w:tcPr>
                  <w:tcW w:w="686" w:type="pct"/>
                  <w:vMerge w:val="restar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r>
                    <w:rPr>
                      <w:rFonts w:hint="eastAsia"/>
                      <w:color w:val="auto"/>
                      <w:sz w:val="21"/>
                      <w:szCs w:val="21"/>
                      <w:lang w:eastAsia="zh-CN"/>
                    </w:rPr>
                    <w:t>动物样本植物样本细胞样本</w:t>
                  </w:r>
                </w:p>
              </w:tc>
              <w:tc>
                <w:tcPr>
                  <w:tcW w:w="696" w:type="pct"/>
                  <w:vMerge w:val="restar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客户送样</w:t>
                  </w:r>
                </w:p>
                <w:p>
                  <w:pPr>
                    <w:jc w:val="center"/>
                    <w:rPr>
                      <w:rFonts w:hint="default"/>
                      <w:color w:val="auto"/>
                      <w:sz w:val="21"/>
                      <w:szCs w:val="21"/>
                      <w:lang w:val="en-US" w:eastAsia="zh-CN"/>
                    </w:rPr>
                  </w:pPr>
                  <w:r>
                    <w:rPr>
                      <w:rFonts w:hint="eastAsia"/>
                      <w:color w:val="auto"/>
                      <w:sz w:val="21"/>
                      <w:szCs w:val="21"/>
                      <w:lang w:val="en-US" w:eastAsia="zh-CN"/>
                    </w:rPr>
                    <w:t>自行制备</w:t>
                  </w:r>
                </w:p>
              </w:tc>
              <w:tc>
                <w:tcPr>
                  <w:tcW w:w="1722" w:type="pct"/>
                  <w:vMerge w:val="restar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r>
                    <w:rPr>
                      <w:rFonts w:hint="eastAsia"/>
                      <w:color w:val="auto"/>
                      <w:sz w:val="21"/>
                      <w:szCs w:val="21"/>
                      <w:lang w:val="en-US" w:eastAsia="zh-CN"/>
                    </w:rPr>
                    <w:t>动植物</w:t>
                  </w:r>
                  <w:r>
                    <w:rPr>
                      <w:rFonts w:hint="eastAsia"/>
                      <w:color w:val="auto"/>
                      <w:sz w:val="21"/>
                      <w:szCs w:val="21"/>
                      <w:lang w:eastAsia="zh-CN"/>
                    </w:rPr>
                    <w:t>样本石蜡</w:t>
                  </w:r>
                  <w:r>
                    <w:rPr>
                      <w:rFonts w:hint="eastAsia"/>
                      <w:color w:val="auto"/>
                      <w:sz w:val="21"/>
                      <w:szCs w:val="21"/>
                      <w:lang w:val="en-US" w:eastAsia="zh-CN"/>
                    </w:rPr>
                    <w:t>切片、细胞样本脱水。</w:t>
                  </w:r>
                </w:p>
              </w:tc>
              <w:tc>
                <w:tcPr>
                  <w:tcW w:w="441" w:type="pct"/>
                  <w:vMerge w:val="restar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r>
                    <w:rPr>
                      <w:rFonts w:hint="eastAsia"/>
                      <w:color w:val="auto"/>
                      <w:sz w:val="21"/>
                      <w:szCs w:val="21"/>
                      <w:lang w:val="en-US" w:eastAsia="zh-CN"/>
                    </w:rPr>
                    <w:t>样本储藏间冰箱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细胞滴片免疫组化实验</w:t>
                  </w:r>
                </w:p>
              </w:tc>
              <w:tc>
                <w:tcPr>
                  <w:tcW w:w="68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eastAsia="zh-CN"/>
                    </w:rPr>
                  </w:pPr>
                </w:p>
              </w:tc>
              <w:tc>
                <w:tcPr>
                  <w:tcW w:w="696" w:type="pct"/>
                  <w:vMerge w:val="continue"/>
                  <w:tcBorders>
                    <w:tl2br w:val="nil"/>
                    <w:tr2bl w:val="nil"/>
                  </w:tcBorders>
                  <w:noWrap w:val="0"/>
                  <w:vAlign w:val="center"/>
                </w:tcPr>
                <w:p>
                  <w:pPr>
                    <w:jc w:val="center"/>
                    <w:rPr>
                      <w:rFonts w:hint="eastAsia"/>
                      <w:color w:val="auto"/>
                      <w:sz w:val="21"/>
                      <w:szCs w:val="21"/>
                      <w:lang w:val="en-US" w:eastAsia="zh-CN"/>
                    </w:rPr>
                  </w:pPr>
                </w:p>
              </w:tc>
              <w:tc>
                <w:tcPr>
                  <w:tcW w:w="1722"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val="en-US" w:eastAsia="zh-CN"/>
                    </w:rPr>
                  </w:pPr>
                </w:p>
              </w:tc>
              <w:tc>
                <w:tcPr>
                  <w:tcW w:w="441"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石蜡切片免疫组化实验</w:t>
                  </w:r>
                </w:p>
              </w:tc>
              <w:tc>
                <w:tcPr>
                  <w:tcW w:w="68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eastAsia="zh-CN"/>
                    </w:rPr>
                  </w:pPr>
                </w:p>
              </w:tc>
              <w:tc>
                <w:tcPr>
                  <w:tcW w:w="696" w:type="pct"/>
                  <w:vMerge w:val="continue"/>
                  <w:tcBorders>
                    <w:tl2br w:val="nil"/>
                    <w:tr2bl w:val="nil"/>
                  </w:tcBorders>
                  <w:noWrap w:val="0"/>
                  <w:vAlign w:val="center"/>
                </w:tcPr>
                <w:p>
                  <w:pPr>
                    <w:jc w:val="center"/>
                    <w:rPr>
                      <w:rFonts w:hint="eastAsia"/>
                      <w:color w:val="auto"/>
                      <w:sz w:val="21"/>
                      <w:szCs w:val="21"/>
                      <w:lang w:val="en-US" w:eastAsia="zh-CN"/>
                    </w:rPr>
                  </w:pPr>
                </w:p>
              </w:tc>
              <w:tc>
                <w:tcPr>
                  <w:tcW w:w="1722"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val="en-US" w:eastAsia="zh-CN"/>
                    </w:rPr>
                  </w:pPr>
                </w:p>
              </w:tc>
              <w:tc>
                <w:tcPr>
                  <w:tcW w:w="441"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eastAsia="宋体"/>
                      <w:color w:val="auto"/>
                      <w:sz w:val="21"/>
                      <w:szCs w:val="21"/>
                      <w:vertAlign w:val="subscript"/>
                      <w:lang w:val="en-US" w:eastAsia="zh-CN"/>
                    </w:rPr>
                  </w:pPr>
                  <w:r>
                    <w:rPr>
                      <w:rFonts w:hint="eastAsia" w:ascii="Times New Roman" w:hAnsi="Times New Roman" w:eastAsia="宋体" w:cs="Times New Roman"/>
                      <w:color w:val="auto"/>
                      <w:sz w:val="21"/>
                      <w:szCs w:val="21"/>
                      <w:lang w:val="en-US" w:eastAsia="zh-CN"/>
                    </w:rPr>
                    <w:t>RT-qPCR相对定量实验</w:t>
                  </w:r>
                </w:p>
              </w:tc>
              <w:tc>
                <w:tcPr>
                  <w:tcW w:w="68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eastAsia="zh-CN"/>
                    </w:rPr>
                  </w:pPr>
                </w:p>
              </w:tc>
              <w:tc>
                <w:tcPr>
                  <w:tcW w:w="69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c>
                <w:tcPr>
                  <w:tcW w:w="1722" w:type="pct"/>
                  <w:vMerge w:val="restar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eastAsia="宋体"/>
                      <w:color w:val="auto"/>
                      <w:sz w:val="21"/>
                      <w:szCs w:val="21"/>
                      <w:lang w:val="en-US" w:eastAsia="zh-CN"/>
                    </w:rPr>
                  </w:pPr>
                  <w:r>
                    <w:rPr>
                      <w:rFonts w:hint="eastAsia"/>
                      <w:color w:val="auto"/>
                    </w:rPr>
                    <w:t>植物</w:t>
                  </w:r>
                  <w:r>
                    <w:rPr>
                      <w:rFonts w:hint="eastAsia"/>
                      <w:color w:val="auto"/>
                      <w:sz w:val="21"/>
                      <w:szCs w:val="21"/>
                      <w:lang w:val="en-US" w:eastAsia="zh-CN"/>
                    </w:rPr>
                    <w:t>样本液氮保存、研磨粉碎、离心分离；动物样本破碎离心分离取上清液；细胞样本采用</w:t>
                  </w:r>
                  <w:r>
                    <w:rPr>
                      <w:rFonts w:hint="eastAsia"/>
                      <w:color w:val="auto"/>
                    </w:rPr>
                    <w:t>直接裂解法</w:t>
                  </w:r>
                  <w:r>
                    <w:rPr>
                      <w:rFonts w:hint="eastAsia"/>
                      <w:color w:val="auto"/>
                      <w:lang w:eastAsia="zh-CN"/>
                    </w:rPr>
                    <w:t>、</w:t>
                  </w:r>
                  <w:r>
                    <w:rPr>
                      <w:rFonts w:hint="eastAsia"/>
                      <w:color w:val="auto"/>
                    </w:rPr>
                    <w:t>胰蛋白酶处理法</w:t>
                  </w:r>
                  <w:r>
                    <w:rPr>
                      <w:rFonts w:hint="eastAsia"/>
                      <w:color w:val="auto"/>
                      <w:lang w:eastAsia="zh-CN"/>
                    </w:rPr>
                    <w:t>。</w:t>
                  </w:r>
                </w:p>
              </w:tc>
              <w:tc>
                <w:tcPr>
                  <w:tcW w:w="441"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eastAsia" w:eastAsia="宋体"/>
                      <w:color w:val="auto"/>
                      <w:sz w:val="21"/>
                      <w:szCs w:val="21"/>
                      <w:vertAlign w:val="subscript"/>
                      <w:lang w:val="en-US" w:eastAsia="zh-CN"/>
                    </w:rPr>
                  </w:pPr>
                  <w:r>
                    <w:rPr>
                      <w:rFonts w:hint="eastAsia" w:ascii="Times New Roman" w:hAnsi="Times New Roman" w:eastAsia="宋体" w:cs="Times New Roman"/>
                      <w:color w:val="auto"/>
                      <w:sz w:val="21"/>
                      <w:szCs w:val="21"/>
                      <w:lang w:val="en-US" w:eastAsia="zh-CN"/>
                    </w:rPr>
                    <w:t>Western Blot检测</w:t>
                  </w:r>
                </w:p>
              </w:tc>
              <w:tc>
                <w:tcPr>
                  <w:tcW w:w="68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eastAsia="zh-CN"/>
                    </w:rPr>
                  </w:pPr>
                </w:p>
              </w:tc>
              <w:tc>
                <w:tcPr>
                  <w:tcW w:w="69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c>
                <w:tcPr>
                  <w:tcW w:w="1722"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c>
                <w:tcPr>
                  <w:tcW w:w="441"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5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r>
                    <w:rPr>
                      <w:rFonts w:hint="eastAsia" w:cs="Times New Roman"/>
                      <w:color w:val="auto"/>
                      <w:sz w:val="21"/>
                      <w:szCs w:val="21"/>
                      <w:lang w:val="en-US" w:eastAsia="zh-CN"/>
                    </w:rPr>
                    <w:t>细胞实验</w:t>
                  </w:r>
                </w:p>
              </w:tc>
              <w:tc>
                <w:tcPr>
                  <w:tcW w:w="686" w:type="pct"/>
                  <w:tcBorders>
                    <w:tl2br w:val="nil"/>
                    <w:tr2bl w:val="nil"/>
                  </w:tcBorders>
                  <w:noWrap w:val="0"/>
                  <w:vAlign w:val="center"/>
                </w:tcPr>
                <w:p>
                  <w:pPr>
                    <w:pStyle w:val="84"/>
                    <w:bidi w:val="0"/>
                    <w:rPr>
                      <w:rFonts w:hint="default"/>
                      <w:color w:val="auto"/>
                      <w:sz w:val="21"/>
                      <w:szCs w:val="21"/>
                      <w:lang w:eastAsia="zh-CN"/>
                    </w:rPr>
                  </w:pPr>
                  <w:r>
                    <w:rPr>
                      <w:rFonts w:hint="eastAsia"/>
                      <w:color w:val="auto"/>
                      <w:sz w:val="21"/>
                      <w:szCs w:val="21"/>
                      <w:lang w:eastAsia="zh-CN"/>
                    </w:rPr>
                    <w:t>细胞样本</w:t>
                  </w:r>
                </w:p>
              </w:tc>
              <w:tc>
                <w:tcPr>
                  <w:tcW w:w="696"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c>
                <w:tcPr>
                  <w:tcW w:w="172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r>
                    <w:rPr>
                      <w:rFonts w:hint="eastAsia"/>
                      <w:color w:val="auto"/>
                      <w:sz w:val="21"/>
                      <w:szCs w:val="21"/>
                      <w:lang w:val="en-US" w:eastAsia="zh-CN"/>
                    </w:rPr>
                    <w:t>细胞培养</w:t>
                  </w:r>
                </w:p>
              </w:tc>
              <w:tc>
                <w:tcPr>
                  <w:tcW w:w="441" w:type="pct"/>
                  <w:vMerge w:val="continue"/>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sz w:val="21"/>
                      <w:szCs w:val="21"/>
                      <w:lang w:val="en-US" w:eastAsia="zh-CN"/>
                    </w:rPr>
                  </w:pPr>
                </w:p>
              </w:tc>
            </w:tr>
          </w:tbl>
          <w:p>
            <w:pPr>
              <w:pStyle w:val="10"/>
              <w:rPr>
                <w:color w:val="auto"/>
                <w:sz w:val="21"/>
                <w:szCs w:val="21"/>
              </w:rPr>
            </w:pPr>
            <w:r>
              <w:rPr>
                <w:color w:val="auto"/>
                <w:sz w:val="21"/>
                <w:szCs w:val="21"/>
              </w:rPr>
              <w:t>表</w:t>
            </w:r>
            <w:r>
              <w:rPr>
                <w:rFonts w:hint="eastAsia"/>
                <w:color w:val="auto"/>
                <w:sz w:val="21"/>
                <w:szCs w:val="21"/>
                <w:lang w:val="en-US" w:eastAsia="zh-CN"/>
              </w:rPr>
              <w:t>2-14</w:t>
            </w:r>
            <w:r>
              <w:rPr>
                <w:color w:val="auto"/>
                <w:sz w:val="21"/>
                <w:szCs w:val="21"/>
              </w:rPr>
              <w:t xml:space="preserve">   </w:t>
            </w:r>
            <w:r>
              <w:rPr>
                <w:rFonts w:hint="eastAsia"/>
                <w:color w:val="auto"/>
                <w:sz w:val="21"/>
                <w:szCs w:val="21"/>
                <w:lang w:eastAsia="zh-CN"/>
              </w:rPr>
              <w:t>实验所在位置及产污环节</w:t>
            </w:r>
            <w:r>
              <w:rPr>
                <w:color w:val="auto"/>
                <w:sz w:val="21"/>
                <w:szCs w:val="21"/>
              </w:rPr>
              <w:t>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618"/>
              <w:gridCol w:w="5190"/>
              <w:gridCol w:w="15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964"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实验位置</w:t>
                  </w:r>
                </w:p>
              </w:tc>
              <w:tc>
                <w:tcPr>
                  <w:tcW w:w="3092"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实验内容</w:t>
                  </w:r>
                </w:p>
              </w:tc>
              <w:tc>
                <w:tcPr>
                  <w:tcW w:w="942"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产生污染物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964" w:type="pct"/>
                  <w:vMerge w:val="continue"/>
                  <w:tcBorders>
                    <w:tl2br w:val="nil"/>
                    <w:tr2bl w:val="nil"/>
                  </w:tcBorders>
                  <w:vAlign w:val="center"/>
                </w:tcPr>
                <w:p>
                  <w:pPr>
                    <w:spacing w:line="240" w:lineRule="auto"/>
                    <w:jc w:val="center"/>
                    <w:rPr>
                      <w:b/>
                      <w:bCs/>
                      <w:color w:val="auto"/>
                      <w:sz w:val="21"/>
                      <w:szCs w:val="21"/>
                    </w:rPr>
                  </w:pPr>
                </w:p>
              </w:tc>
              <w:tc>
                <w:tcPr>
                  <w:tcW w:w="3092" w:type="pct"/>
                  <w:vMerge w:val="continue"/>
                  <w:tcBorders>
                    <w:tl2br w:val="nil"/>
                    <w:tr2bl w:val="nil"/>
                  </w:tcBorders>
                  <w:vAlign w:val="center"/>
                </w:tcPr>
                <w:p>
                  <w:pPr>
                    <w:spacing w:line="240" w:lineRule="auto"/>
                    <w:jc w:val="center"/>
                    <w:rPr>
                      <w:b/>
                      <w:bCs/>
                      <w:color w:val="auto"/>
                      <w:sz w:val="21"/>
                      <w:szCs w:val="21"/>
                    </w:rPr>
                  </w:pPr>
                </w:p>
              </w:tc>
              <w:tc>
                <w:tcPr>
                  <w:tcW w:w="942" w:type="pct"/>
                  <w:vMerge w:val="continue"/>
                  <w:tcBorders>
                    <w:tl2br w:val="nil"/>
                    <w:tr2bl w:val="nil"/>
                  </w:tcBorders>
                  <w:vAlign w:val="center"/>
                </w:tcPr>
                <w:p>
                  <w:pPr>
                    <w:spacing w:line="240" w:lineRule="auto"/>
                    <w:jc w:val="center"/>
                    <w:rPr>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vMerge w:val="restar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病理实验室</w:t>
                  </w:r>
                </w:p>
              </w:tc>
              <w:tc>
                <w:tcPr>
                  <w:tcW w:w="3092" w:type="pc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lang w:val="en-US" w:eastAsia="zh-CN"/>
                    </w:rPr>
                    <w:t>HE染色实验</w:t>
                  </w:r>
                </w:p>
              </w:tc>
              <w:tc>
                <w:tcPr>
                  <w:tcW w:w="942" w:type="pct"/>
                  <w:vMerge w:val="restart"/>
                  <w:tcBorders>
                    <w:tl2br w:val="nil"/>
                    <w:tr2bl w:val="nil"/>
                  </w:tcBorders>
                  <w:vAlign w:val="center"/>
                </w:tcPr>
                <w:p>
                  <w:pPr>
                    <w:spacing w:line="240" w:lineRule="auto"/>
                    <w:jc w:val="center"/>
                    <w:rPr>
                      <w:rFonts w:hint="default"/>
                      <w:color w:val="auto"/>
                      <w:lang w:val="en-US" w:eastAsia="zh-CN"/>
                    </w:rPr>
                  </w:pPr>
                  <w:r>
                    <w:rPr>
                      <w:rFonts w:hint="eastAsia"/>
                      <w:color w:val="auto"/>
                      <w:sz w:val="21"/>
                      <w:szCs w:val="21"/>
                      <w:lang w:val="en-US" w:eastAsia="zh-CN"/>
                    </w:rPr>
                    <w:t>G2实验废气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vMerge w:val="continue"/>
                  <w:tcBorders>
                    <w:tl2br w:val="nil"/>
                    <w:tr2bl w:val="nil"/>
                  </w:tcBorders>
                  <w:vAlign w:val="center"/>
                </w:tcPr>
                <w:p>
                  <w:pPr>
                    <w:spacing w:line="240" w:lineRule="auto"/>
                    <w:jc w:val="center"/>
                    <w:rPr>
                      <w:color w:val="auto"/>
                      <w:sz w:val="21"/>
                      <w:szCs w:val="21"/>
                    </w:rPr>
                  </w:pPr>
                </w:p>
              </w:tc>
              <w:tc>
                <w:tcPr>
                  <w:tcW w:w="3092" w:type="pct"/>
                  <w:tcBorders>
                    <w:tl2br w:val="nil"/>
                    <w:tr2bl w:val="nil"/>
                  </w:tcBorders>
                  <w:vAlign w:val="center"/>
                </w:tcPr>
                <w:p>
                  <w:pPr>
                    <w:spacing w:line="240" w:lineRule="auto"/>
                    <w:jc w:val="center"/>
                    <w:rPr>
                      <w:color w:val="auto"/>
                      <w:sz w:val="21"/>
                      <w:szCs w:val="21"/>
                    </w:rPr>
                  </w:pPr>
                  <w:r>
                    <w:rPr>
                      <w:rFonts w:hint="eastAsia" w:ascii="Times New Roman" w:hAnsi="Times New Roman" w:eastAsia="宋体" w:cs="Times New Roman"/>
                      <w:color w:val="auto"/>
                      <w:sz w:val="21"/>
                      <w:szCs w:val="21"/>
                      <w:lang w:val="en-US" w:eastAsia="zh-CN"/>
                    </w:rPr>
                    <w:t>细胞滴片免疫组化实验</w:t>
                  </w:r>
                </w:p>
              </w:tc>
              <w:tc>
                <w:tcPr>
                  <w:tcW w:w="942" w:type="pct"/>
                  <w:vMerge w:val="continue"/>
                  <w:tcBorders>
                    <w:tl2br w:val="nil"/>
                    <w:tr2bl w:val="nil"/>
                  </w:tcBorders>
                  <w:vAlign w:val="center"/>
                </w:tcPr>
                <w:p>
                  <w:pPr>
                    <w:spacing w:line="240" w:lineRule="auto"/>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51" w:hRule="atLeast"/>
              </w:trPr>
              <w:tc>
                <w:tcPr>
                  <w:tcW w:w="964" w:type="pct"/>
                  <w:vMerge w:val="continue"/>
                  <w:tcBorders>
                    <w:tl2br w:val="nil"/>
                    <w:tr2bl w:val="nil"/>
                  </w:tcBorders>
                  <w:vAlign w:val="center"/>
                </w:tcPr>
                <w:p>
                  <w:pPr>
                    <w:spacing w:line="240" w:lineRule="auto"/>
                    <w:jc w:val="center"/>
                    <w:rPr>
                      <w:rFonts w:hint="eastAsia"/>
                      <w:color w:val="auto"/>
                      <w:sz w:val="21"/>
                      <w:szCs w:val="21"/>
                    </w:rPr>
                  </w:pPr>
                </w:p>
              </w:tc>
              <w:tc>
                <w:tcPr>
                  <w:tcW w:w="3092" w:type="pct"/>
                  <w:tcBorders>
                    <w:tl2br w:val="nil"/>
                    <w:tr2bl w:val="nil"/>
                  </w:tcBorders>
                  <w:vAlign w:val="center"/>
                </w:tcPr>
                <w:p>
                  <w:pPr>
                    <w:spacing w:line="240" w:lineRule="auto"/>
                    <w:jc w:val="center"/>
                    <w:rPr>
                      <w:rFonts w:hint="eastAsia"/>
                      <w:color w:val="auto"/>
                      <w:sz w:val="21"/>
                      <w:szCs w:val="21"/>
                      <w:lang w:eastAsia="zh-CN"/>
                    </w:rPr>
                  </w:pPr>
                  <w:r>
                    <w:rPr>
                      <w:rFonts w:hint="eastAsia" w:ascii="Times New Roman" w:hAnsi="Times New Roman" w:eastAsia="宋体" w:cs="Times New Roman"/>
                      <w:color w:val="auto"/>
                      <w:sz w:val="21"/>
                      <w:szCs w:val="21"/>
                      <w:lang w:val="en-US" w:eastAsia="zh-CN"/>
                    </w:rPr>
                    <w:t>石蜡切片免疫组化实验</w:t>
                  </w:r>
                </w:p>
              </w:tc>
              <w:tc>
                <w:tcPr>
                  <w:tcW w:w="942" w:type="pct"/>
                  <w:vMerge w:val="continue"/>
                  <w:tcBorders>
                    <w:tl2br w:val="nil"/>
                    <w:tr2bl w:val="nil"/>
                  </w:tcBorders>
                  <w:vAlign w:val="center"/>
                </w:tcPr>
                <w:p>
                  <w:pPr>
                    <w:spacing w:line="240" w:lineRule="auto"/>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vMerge w:val="continue"/>
                  <w:tcBorders>
                    <w:tl2br w:val="nil"/>
                    <w:tr2bl w:val="nil"/>
                  </w:tcBorders>
                  <w:vAlign w:val="center"/>
                </w:tcPr>
                <w:p>
                  <w:pPr>
                    <w:spacing w:line="240" w:lineRule="auto"/>
                    <w:jc w:val="center"/>
                    <w:rPr>
                      <w:rFonts w:hint="eastAsia"/>
                      <w:color w:val="auto"/>
                      <w:sz w:val="21"/>
                      <w:szCs w:val="21"/>
                    </w:rPr>
                  </w:pPr>
                </w:p>
              </w:tc>
              <w:tc>
                <w:tcPr>
                  <w:tcW w:w="3092" w:type="pc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eastAsia="zh-CN"/>
                    </w:rPr>
                    <w:t>RT-qPCR相对定量实验中RNA提取、溶液配制</w:t>
                  </w:r>
                </w:p>
              </w:tc>
              <w:tc>
                <w:tcPr>
                  <w:tcW w:w="942" w:type="pct"/>
                  <w:vMerge w:val="continue"/>
                  <w:tcBorders>
                    <w:tl2br w:val="nil"/>
                    <w:tr2bl w:val="nil"/>
                  </w:tcBorders>
                  <w:vAlign w:val="center"/>
                </w:tcPr>
                <w:p>
                  <w:pPr>
                    <w:spacing w:line="240" w:lineRule="auto"/>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vMerge w:val="continue"/>
                  <w:tcBorders>
                    <w:tl2br w:val="nil"/>
                    <w:tr2bl w:val="nil"/>
                  </w:tcBorders>
                  <w:vAlign w:val="center"/>
                </w:tcPr>
                <w:p>
                  <w:pPr>
                    <w:snapToGrid w:val="0"/>
                    <w:spacing w:line="240" w:lineRule="auto"/>
                    <w:ind w:firstLine="0" w:firstLineChars="0"/>
                    <w:jc w:val="center"/>
                    <w:rPr>
                      <w:color w:val="auto"/>
                    </w:rPr>
                  </w:pPr>
                </w:p>
              </w:tc>
              <w:tc>
                <w:tcPr>
                  <w:tcW w:w="3092" w:type="pc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val="en-US" w:eastAsia="zh-CN"/>
                    </w:rPr>
                    <w:t>Western Blot检测转膜过程</w:t>
                  </w:r>
                </w:p>
              </w:tc>
              <w:tc>
                <w:tcPr>
                  <w:tcW w:w="942"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tcBorders>
                    <w:tl2br w:val="nil"/>
                    <w:tr2bl w:val="nil"/>
                  </w:tcBorders>
                  <w:vAlign w:val="center"/>
                </w:tcPr>
                <w:p>
                  <w:pPr>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分子实验室</w:t>
                  </w:r>
                </w:p>
              </w:tc>
              <w:tc>
                <w:tcPr>
                  <w:tcW w:w="3092" w:type="pct"/>
                  <w:tcBorders>
                    <w:tl2br w:val="nil"/>
                    <w:tr2bl w:val="nil"/>
                  </w:tcBorders>
                  <w:vAlign w:val="center"/>
                </w:tcPr>
                <w:p>
                  <w:pPr>
                    <w:spacing w:line="240" w:lineRule="auto"/>
                    <w:jc w:val="center"/>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RT-qPCR相对定量实验</w:t>
                  </w:r>
                  <w:r>
                    <w:rPr>
                      <w:rFonts w:hint="eastAsia"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Western Blot检测</w:t>
                  </w:r>
                  <w:r>
                    <w:rPr>
                      <w:rFonts w:hint="eastAsia" w:ascii="Times New Roman" w:hAnsi="Times New Roman" w:cs="Times New Roman"/>
                      <w:color w:val="auto"/>
                      <w:sz w:val="21"/>
                      <w:szCs w:val="21"/>
                      <w:lang w:val="en-US" w:eastAsia="zh-CN"/>
                    </w:rPr>
                    <w:t>不使用挥发性试剂的试验过程</w:t>
                  </w:r>
                </w:p>
              </w:tc>
              <w:tc>
                <w:tcPr>
                  <w:tcW w:w="942"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964" w:type="pct"/>
                  <w:tcBorders>
                    <w:tl2br w:val="nil"/>
                    <w:tr2bl w:val="nil"/>
                  </w:tcBorders>
                  <w:vAlign w:val="center"/>
                </w:tcPr>
                <w:p>
                  <w:pPr>
                    <w:spacing w:line="240" w:lineRule="auto"/>
                    <w:jc w:val="center"/>
                    <w:rPr>
                      <w:rFonts w:hint="eastAsia" w:ascii="Times New Roman" w:hAnsi="Times New Roman" w:cs="Times New Roman"/>
                      <w:color w:val="auto"/>
                      <w:sz w:val="21"/>
                      <w:szCs w:val="21"/>
                      <w:lang w:eastAsia="zh-CN"/>
                    </w:rPr>
                  </w:pPr>
                  <w:r>
                    <w:rPr>
                      <w:rFonts w:hint="eastAsia" w:ascii="Times New Roman" w:hAnsi="Times New Roman" w:cs="Times New Roman"/>
                      <w:color w:val="auto"/>
                      <w:sz w:val="21"/>
                      <w:szCs w:val="21"/>
                      <w:lang w:eastAsia="zh-CN"/>
                    </w:rPr>
                    <w:t>细胞实验室</w:t>
                  </w:r>
                </w:p>
              </w:tc>
              <w:tc>
                <w:tcPr>
                  <w:tcW w:w="3092" w:type="pct"/>
                  <w:tcBorders>
                    <w:tl2br w:val="nil"/>
                    <w:tr2bl w:val="nil"/>
                  </w:tcBorders>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细胞实验（细胞划痕迁移检测、细胞活性检测、细胞增殖-毒性检测、MTT细胞增殖能力检测、流式细胞凋亡）</w:t>
                  </w:r>
                </w:p>
              </w:tc>
              <w:tc>
                <w:tcPr>
                  <w:tcW w:w="942"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r>
          </w:tbl>
          <w:p>
            <w:pPr>
              <w:pStyle w:val="4"/>
              <w:keepLines w:val="0"/>
              <w:pageBreakBefore w:val="0"/>
              <w:kinsoku/>
              <w:wordWrap/>
              <w:overflowPunct/>
              <w:topLinePunct w:val="0"/>
              <w:bidi w:val="0"/>
              <w:adjustRightInd/>
              <w:snapToGrid/>
              <w:spacing w:line="360" w:lineRule="auto"/>
              <w:ind w:left="0" w:firstLine="482" w:firstLineChars="200"/>
              <w:textAlignment w:val="auto"/>
              <w:rPr>
                <w:rFonts w:hint="default"/>
                <w:color w:val="auto"/>
                <w:lang w:val="en-US" w:eastAsia="zh-CN"/>
              </w:rPr>
            </w:pPr>
            <w:r>
              <w:rPr>
                <w:rFonts w:hint="eastAsia"/>
                <w:color w:val="auto"/>
                <w:lang w:val="en-US" w:eastAsia="zh-CN"/>
              </w:rPr>
              <w:t>2.1</w:t>
            </w:r>
            <w:r>
              <w:rPr>
                <w:rFonts w:hint="default"/>
                <w:color w:val="auto"/>
                <w:lang w:val="en-US" w:eastAsia="zh-CN"/>
              </w:rPr>
              <w:t>细胞培养方法</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default"/>
                <w:b w:val="0"/>
                <w:bCs/>
                <w:color w:val="auto"/>
                <w:lang w:val="en-US" w:eastAsia="zh-CN"/>
              </w:rPr>
            </w:pPr>
            <w:r>
              <w:rPr>
                <w:rFonts w:hint="default"/>
                <w:b w:val="0"/>
                <w:bCs/>
                <w:color w:val="auto"/>
                <w:lang w:val="en-US" w:eastAsia="zh-CN"/>
              </w:rPr>
              <w:t>1、完全培养基配置</w:t>
            </w:r>
            <w:r>
              <w:rPr>
                <w:rFonts w:hint="eastAsia"/>
                <w:b w:val="0"/>
                <w:bCs/>
                <w:color w:val="auto"/>
                <w:lang w:val="en-US" w:eastAsia="zh-CN"/>
              </w:rPr>
              <w:t>：</w:t>
            </w:r>
            <w:r>
              <w:rPr>
                <w:rFonts w:hint="default"/>
                <w:b w:val="0"/>
                <w:bCs/>
                <w:color w:val="auto"/>
                <w:lang w:val="en-US" w:eastAsia="zh-CN"/>
              </w:rPr>
              <w:t>培养基的配制需在超净台内无菌操作</w:t>
            </w:r>
            <w:r>
              <w:rPr>
                <w:rFonts w:hint="eastAsia"/>
                <w:b w:val="0"/>
                <w:bCs/>
                <w:color w:val="auto"/>
                <w:lang w:val="en-US" w:eastAsia="zh-CN"/>
              </w:rPr>
              <w:t>，</w:t>
            </w:r>
            <w:r>
              <w:rPr>
                <w:rFonts w:hint="default"/>
                <w:b w:val="0"/>
                <w:bCs/>
                <w:color w:val="auto"/>
                <w:lang w:val="en-US" w:eastAsia="zh-CN"/>
              </w:rPr>
              <w:t>10%FBS+90%培养基(根据细胞的种类分为DMEM/F12、DMEM/HIGH、MEM/EBSS、改良型RPMI-</w:t>
            </w:r>
            <w:r>
              <w:rPr>
                <w:rFonts w:hint="eastAsia"/>
                <w:b w:val="0"/>
                <w:bCs/>
                <w:color w:val="auto"/>
                <w:lang w:val="en-US" w:eastAsia="zh-CN"/>
              </w:rPr>
              <w:t xml:space="preserve"> </w:t>
            </w:r>
            <w:r>
              <w:rPr>
                <w:rFonts w:hint="default"/>
                <w:b w:val="0"/>
                <w:bCs/>
                <w:color w:val="auto"/>
                <w:lang w:val="en-US" w:eastAsia="zh-CN"/>
              </w:rPr>
              <w:t>1640培养基)。</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default"/>
                <w:b w:val="0"/>
                <w:bCs/>
                <w:color w:val="auto"/>
                <w:lang w:val="en-US" w:eastAsia="zh-CN"/>
              </w:rPr>
            </w:pPr>
            <w:r>
              <w:rPr>
                <w:rFonts w:hint="default"/>
                <w:b w:val="0"/>
                <w:bCs/>
                <w:color w:val="auto"/>
                <w:lang w:val="en-US" w:eastAsia="zh-CN"/>
              </w:rPr>
              <w:t>2、细胞复苏</w:t>
            </w:r>
            <w:r>
              <w:rPr>
                <w:rFonts w:hint="eastAsia"/>
                <w:b w:val="0"/>
                <w:bCs/>
                <w:color w:val="auto"/>
                <w:lang w:val="en-US" w:eastAsia="zh-CN"/>
              </w:rPr>
              <w:t>：</w:t>
            </w:r>
            <w:r>
              <w:rPr>
                <w:rFonts w:hint="default"/>
                <w:b w:val="0"/>
                <w:bCs/>
                <w:color w:val="auto"/>
                <w:lang w:val="en-US" w:eastAsia="zh-CN"/>
              </w:rPr>
              <w:t>将冻存管从液氮中取出来，立即投入37℃水浴锅中，轻微摇动。液体都融化后(大概1</w:t>
            </w:r>
            <w:r>
              <w:rPr>
                <w:rFonts w:hint="eastAsia"/>
                <w:b w:val="0"/>
                <w:bCs/>
                <w:color w:val="auto"/>
                <w:lang w:val="en-US" w:eastAsia="zh-CN"/>
              </w:rPr>
              <w:t>~</w:t>
            </w:r>
            <w:r>
              <w:rPr>
                <w:rFonts w:hint="default"/>
                <w:b w:val="0"/>
                <w:bCs/>
                <w:color w:val="auto"/>
                <w:lang w:val="en-US" w:eastAsia="zh-CN"/>
              </w:rPr>
              <w:t>1.5分钟)，转移至</w:t>
            </w:r>
            <w:r>
              <w:rPr>
                <w:rFonts w:hint="eastAsia"/>
                <w:b w:val="0"/>
                <w:bCs/>
                <w:color w:val="auto"/>
                <w:lang w:val="en-US" w:eastAsia="zh-CN"/>
              </w:rPr>
              <w:t>生物安全柜</w:t>
            </w:r>
            <w:r>
              <w:rPr>
                <w:rFonts w:hint="default"/>
                <w:b w:val="0"/>
                <w:bCs/>
                <w:color w:val="auto"/>
                <w:lang w:val="en-US" w:eastAsia="zh-CN"/>
              </w:rPr>
              <w:t>内喷洒适量酒精后。将上述细胞悬液吸到装10mL培养基的15mL的离心管中(用培养基把冻存管洗一遍，把粘在壁上的细胞都洗下来)，1000转离心5分钟。将上清液倒掉，加1mL培养基将细胞悬浮起来。转移至装有10mL培养基的培养瓶中前后左右轻轻摇动，使培养瓶中的细胞均匀分布。标好细胞种类和日期等，放到</w:t>
            </w:r>
            <w:r>
              <w:rPr>
                <w:rFonts w:hint="eastAsia"/>
                <w:b w:val="0"/>
                <w:bCs/>
                <w:color w:val="auto"/>
                <w:lang w:val="en-US" w:eastAsia="zh-CN"/>
              </w:rPr>
              <w:t>二氧化碳</w:t>
            </w:r>
            <w:r>
              <w:rPr>
                <w:rFonts w:hint="default"/>
                <w:b w:val="0"/>
                <w:bCs/>
                <w:color w:val="auto"/>
                <w:lang w:val="en-US" w:eastAsia="zh-CN"/>
              </w:rPr>
              <w:t>培养箱中培养，细胞贴壁后换培养基。3天换一次培养基。</w:t>
            </w:r>
            <w:r>
              <w:rPr>
                <w:rFonts w:hint="eastAsia"/>
                <w:b w:val="0"/>
                <w:bCs/>
                <w:color w:val="auto"/>
                <w:lang w:val="en-US" w:eastAsia="zh-CN"/>
              </w:rPr>
              <w:t>此过程中产生S1实验废液。消毒过程使用酒精量较少，通过生物安全柜内循环，30%的空气排入实验室内循环。</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default"/>
                <w:b w:val="0"/>
                <w:bCs/>
                <w:color w:val="auto"/>
                <w:lang w:val="en-US" w:eastAsia="zh-CN"/>
              </w:rPr>
            </w:pPr>
            <w:r>
              <w:rPr>
                <w:rFonts w:hint="default"/>
                <w:b w:val="0"/>
                <w:bCs/>
                <w:color w:val="auto"/>
                <w:lang w:val="en-US" w:eastAsia="zh-CN"/>
              </w:rPr>
              <w:t>3、细胞传代</w:t>
            </w:r>
            <w:r>
              <w:rPr>
                <w:rFonts w:hint="eastAsia"/>
                <w:b w:val="0"/>
                <w:bCs/>
                <w:color w:val="auto"/>
                <w:lang w:val="en-US" w:eastAsia="zh-CN"/>
              </w:rPr>
              <w:t>：</w:t>
            </w:r>
            <w:r>
              <w:rPr>
                <w:rFonts w:hint="default"/>
                <w:b w:val="0"/>
                <w:bCs/>
                <w:color w:val="auto"/>
                <w:lang w:val="en-US" w:eastAsia="zh-CN"/>
              </w:rPr>
              <w:t>培养瓶中的细胞覆盖率达到80%</w:t>
            </w:r>
            <w:r>
              <w:rPr>
                <w:rFonts w:hint="eastAsia"/>
                <w:b w:val="0"/>
                <w:bCs/>
                <w:color w:val="auto"/>
                <w:lang w:val="en-US" w:eastAsia="zh-CN"/>
              </w:rPr>
              <w:t>~</w:t>
            </w:r>
            <w:r>
              <w:rPr>
                <w:rFonts w:hint="default"/>
                <w:b w:val="0"/>
                <w:bCs/>
                <w:color w:val="auto"/>
                <w:lang w:val="en-US" w:eastAsia="zh-CN"/>
              </w:rPr>
              <w:t>90%时要传代。把原有培养基吸掉</w:t>
            </w:r>
            <w:r>
              <w:rPr>
                <w:rFonts w:hint="eastAsia"/>
                <w:b w:val="0"/>
                <w:bCs/>
                <w:color w:val="auto"/>
                <w:lang w:val="en-US" w:eastAsia="zh-CN"/>
              </w:rPr>
              <w:t>，</w:t>
            </w:r>
            <w:r>
              <w:rPr>
                <w:rFonts w:hint="default"/>
                <w:b w:val="0"/>
                <w:bCs/>
                <w:color w:val="auto"/>
                <w:lang w:val="en-US" w:eastAsia="zh-CN"/>
              </w:rPr>
              <w:t>加适当的胰蛋白酶(能覆盖细胞就行)，消化1</w:t>
            </w:r>
            <w:r>
              <w:rPr>
                <w:rFonts w:hint="eastAsia"/>
                <w:b w:val="0"/>
                <w:bCs/>
                <w:color w:val="auto"/>
                <w:lang w:val="en-US" w:eastAsia="zh-CN"/>
              </w:rPr>
              <w:t>~</w:t>
            </w:r>
            <w:r>
              <w:rPr>
                <w:rFonts w:hint="default"/>
                <w:b w:val="0"/>
                <w:bCs/>
                <w:color w:val="auto"/>
                <w:lang w:val="en-US" w:eastAsia="zh-CN"/>
              </w:rPr>
              <w:t>2分钟。细胞都变圆后吸出胰酶，终止消化。加入20mL的完全培养基，移液枪吹打细胞，把细胞都悬浮起来。根据细胞种类把细胞传到几个培养瓶中。一般癌细胞分4个，正常细胞传3个</w:t>
            </w:r>
            <w:r>
              <w:rPr>
                <w:rFonts w:hint="eastAsia"/>
                <w:b w:val="0"/>
                <w:bCs/>
                <w:color w:val="auto"/>
                <w:lang w:val="en-US" w:eastAsia="zh-CN"/>
              </w:rPr>
              <w:t>，</w:t>
            </w:r>
            <w:r>
              <w:rPr>
                <w:rFonts w:hint="default"/>
                <w:b w:val="0"/>
                <w:bCs/>
                <w:color w:val="auto"/>
                <w:lang w:val="en-US" w:eastAsia="zh-CN"/>
              </w:rPr>
              <w:t>继续培养。</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eastAsia="zh-CN"/>
              </w:rPr>
            </w:pPr>
            <w:r>
              <w:rPr>
                <w:rFonts w:hint="default"/>
                <w:b w:val="0"/>
                <w:bCs/>
                <w:color w:val="auto"/>
                <w:lang w:val="en-US" w:eastAsia="zh-CN"/>
              </w:rPr>
              <w:t>4、细胞冻存</w:t>
            </w:r>
            <w:r>
              <w:rPr>
                <w:rFonts w:hint="eastAsia"/>
                <w:b w:val="0"/>
                <w:bCs/>
                <w:color w:val="auto"/>
                <w:lang w:val="en-US" w:eastAsia="zh-CN"/>
              </w:rPr>
              <w:t>：</w:t>
            </w:r>
            <w:r>
              <w:rPr>
                <w:rFonts w:hint="default"/>
                <w:b w:val="0"/>
                <w:bCs/>
                <w:color w:val="auto"/>
                <w:lang w:val="en-US" w:eastAsia="zh-CN"/>
              </w:rPr>
              <w:t>把细胞消化下来并离心(同上)</w:t>
            </w:r>
            <w:r>
              <w:rPr>
                <w:rFonts w:hint="eastAsia"/>
                <w:b w:val="0"/>
                <w:bCs/>
                <w:color w:val="auto"/>
                <w:lang w:val="en-US" w:eastAsia="zh-CN"/>
              </w:rPr>
              <w:t>，</w:t>
            </w:r>
            <w:r>
              <w:rPr>
                <w:rFonts w:hint="default"/>
                <w:b w:val="0"/>
                <w:bCs/>
                <w:color w:val="auto"/>
                <w:lang w:val="en-US" w:eastAsia="zh-CN"/>
              </w:rPr>
              <w:t>用配好的冻存液把细胞悬浮起来，分装到灭菌的冻存管中，静止几分钟，写明细胞种类，冻存日期。4℃30min，-20℃30min，-80℃过夜，然后放到液氮罐中保存。冻存液的配制：70%的完全培养基+20%FBS+10%DMSO。DMSO要慢慢滴加，边滴边摇。</w:t>
            </w:r>
          </w:p>
          <w:p>
            <w:pPr>
              <w:pStyle w:val="4"/>
              <w:bidi w:val="0"/>
              <w:rPr>
                <w:rFonts w:hint="eastAsia"/>
                <w:color w:val="auto"/>
                <w:lang w:eastAsia="zh-CN"/>
              </w:rPr>
            </w:pPr>
            <w:r>
              <w:rPr>
                <w:rFonts w:hint="eastAsia"/>
                <w:color w:val="auto"/>
                <w:lang w:val="en-US" w:eastAsia="zh-CN"/>
              </w:rPr>
              <w:t>2.2 HE染色实验</w:t>
            </w:r>
            <w:r>
              <w:rPr>
                <w:rFonts w:hint="eastAsia"/>
                <w:color w:val="auto"/>
              </w:rPr>
              <w:t>流程</w:t>
            </w:r>
          </w:p>
          <w:p>
            <w:pPr>
              <w:spacing w:line="440" w:lineRule="atLeast"/>
              <w:jc w:val="center"/>
              <w:rPr>
                <w:rFonts w:hint="eastAsia"/>
                <w:color w:val="auto"/>
                <w:lang w:eastAsia="zh-CN"/>
              </w:rPr>
            </w:pPr>
            <w:r>
              <w:rPr>
                <w:rFonts w:hint="eastAsia"/>
                <w:color w:val="auto"/>
                <w:lang w:eastAsia="zh-CN"/>
              </w:rPr>
              <w:drawing>
                <wp:inline distT="0" distB="0" distL="114300" distR="114300">
                  <wp:extent cx="3754755" cy="2292350"/>
                  <wp:effectExtent l="0" t="0" r="0" b="0"/>
                  <wp:docPr id="1" name="ECB019B1-382A-4266-B25C-5B523AA43C14-3" descr="C:/Users/Administrator.USER-20191121OT/AppData/Local/Temp/wps.lUbcQk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3" descr="C:/Users/Administrator.USER-20191121OT/AppData/Local/Temp/wps.lUbcQkwps"/>
                          <pic:cNvPicPr>
                            <a:picLocks noChangeAspect="1"/>
                          </pic:cNvPicPr>
                        </pic:nvPicPr>
                        <pic:blipFill>
                          <a:blip r:embed="rId13"/>
                          <a:stretch>
                            <a:fillRect/>
                          </a:stretch>
                        </pic:blipFill>
                        <pic:spPr>
                          <a:xfrm>
                            <a:off x="0" y="0"/>
                            <a:ext cx="3754755" cy="2292350"/>
                          </a:xfrm>
                          <a:prstGeom prst="rect">
                            <a:avLst/>
                          </a:prstGeom>
                        </pic:spPr>
                      </pic:pic>
                    </a:graphicData>
                  </a:graphic>
                </wp:inline>
              </w:drawing>
            </w:r>
          </w:p>
          <w:p>
            <w:pPr>
              <w:pStyle w:val="10"/>
              <w:bidi w:val="0"/>
              <w:rPr>
                <w:rFonts w:hint="default"/>
                <w:color w:val="auto"/>
                <w:lang w:val="en-US" w:eastAsia="zh-CN"/>
              </w:rPr>
            </w:pPr>
            <w:r>
              <w:rPr>
                <w:rFonts w:hint="eastAsia"/>
                <w:color w:val="auto"/>
                <w:lang w:val="en-US" w:eastAsia="zh-CN"/>
              </w:rPr>
              <w:t>图2-3  HE染色实验过程及产排污环节示意图</w:t>
            </w:r>
          </w:p>
          <w:p>
            <w:pPr>
              <w:pStyle w:val="4"/>
              <w:keepNext/>
              <w:keepLines w:val="0"/>
              <w:pageBreakBefore w:val="0"/>
              <w:widowControl/>
              <w:numPr>
                <w:ilvl w:val="0"/>
                <w:numId w:val="7"/>
              </w:numPr>
              <w:kinsoku/>
              <w:wordWrap/>
              <w:overflowPunct/>
              <w:topLinePunct w:val="0"/>
              <w:autoSpaceDE/>
              <w:autoSpaceDN/>
              <w:bidi w:val="0"/>
              <w:adjustRightInd/>
              <w:snapToGrid/>
              <w:ind w:left="0" w:leftChars="0" w:firstLine="480" w:firstLineChars="200"/>
              <w:textAlignment w:val="auto"/>
              <w:rPr>
                <w:rFonts w:hint="default"/>
                <w:b w:val="0"/>
                <w:bCs/>
                <w:color w:val="auto"/>
                <w:lang w:val="en-US" w:eastAsia="zh-CN"/>
              </w:rPr>
            </w:pPr>
            <w:r>
              <w:rPr>
                <w:rFonts w:hint="eastAsia"/>
                <w:b w:val="0"/>
                <w:bCs/>
                <w:color w:val="auto"/>
                <w:lang w:val="en-US" w:eastAsia="zh-CN"/>
              </w:rPr>
              <w:t>组织包埋：细胞组织经染色机中不同浓度的乙醇溶液进行逐级脱水，各级乙醇溶液脱水 40min。乙醇溶液浓度为75％ 85％ 95％ 100％ 100％ ，无水乙醇和纯水进行配置，乙醇溶液配置位于病理实验室通风橱内。细胞组织再依次浸泡于染色机三个盛有二甲苯溶液的缸中，每缸各30min，使组织变透明。细胞组织依次浸泡于染色机三个石蜡缸中浸蜡，第一缸浸泡时间1h，第二缸浸泡时间1.5h，第三缸浸泡时间2h。整个实验过程染色机自动进行，染色机位于病理实验室通风橱内。将液态的石蜡倒入模具盒中，再将浸好蜡的组织块平放底部，注意切面方向朝下放置，待石蜡凝固后去掉包埋框，完全冷却变硬后再修整蜡块，组织外围的石蜡保留适中以便切片。有机溶剂配制、实验过程中产生G2实验废气，由通风橱收集，经活性炭处理后，通过1根20m高排气筒P1排放。</w:t>
            </w:r>
            <w:r>
              <w:rPr>
                <w:rFonts w:hint="eastAsia"/>
                <w:b w:val="0"/>
                <w:bCs/>
                <w:color w:val="auto"/>
                <w:lang w:val="en-US" w:eastAsia="zh-CN"/>
              </w:rPr>
              <w:t>乙醇溶液配制过程使用实验器具清洗，产生W2第三次实验清洗废水、S4实验废液。</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val="en-US" w:eastAsia="zh-CN"/>
              </w:rPr>
            </w:pPr>
            <w:r>
              <w:rPr>
                <w:rFonts w:hint="eastAsia"/>
                <w:b w:val="0"/>
                <w:bCs/>
                <w:color w:val="auto"/>
                <w:lang w:val="en-US" w:eastAsia="zh-CN"/>
              </w:rPr>
              <w:t>2.切片制作：将预冷的蜡块固定在石蜡切片机上，使蜡块的切面与刀口成平行方向，刀的倾斜度通常15℃，转动轮转推进器，调节切片厚度</w:t>
            </w:r>
            <w:r>
              <w:rPr>
                <w:rFonts w:hint="default"/>
                <w:b w:val="0"/>
                <w:bCs/>
                <w:color w:val="auto"/>
                <w:lang w:val="en-US" w:eastAsia="zh-CN"/>
              </w:rPr>
              <w:t>为3μm</w:t>
            </w:r>
            <w:r>
              <w:rPr>
                <w:rFonts w:hint="eastAsia"/>
                <w:b w:val="0"/>
                <w:bCs/>
                <w:color w:val="auto"/>
                <w:lang w:val="en-US" w:eastAsia="zh-CN"/>
              </w:rPr>
              <w:t>，切成厚度均匀的切片。左手持毛笔，右手旋动切片机转把，切片带出来之后，用毛笔轻轻托起，再用镊子轻镊蜡片，以正面放入展片箱中，其水温 40℃左右。待摊平整后捞片。贴附切片左手持载玻片之一端，垂直入水去附贴切片，右手用镊子辅助推动，附贴至玻片上的三分之二处。切片贴附后，放在空气中稍晾干，放置60℃电加热烤片机上烤1h，再放置电加热烘箱内烘烤2h。</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val="en-US" w:eastAsia="zh-CN"/>
              </w:rPr>
            </w:pPr>
            <w:r>
              <w:rPr>
                <w:rFonts w:hint="eastAsia"/>
                <w:b w:val="0"/>
                <w:bCs/>
                <w:color w:val="auto"/>
                <w:lang w:val="en-US" w:eastAsia="zh-CN"/>
              </w:rPr>
              <w:t>3.石蜡切片脱蜡至水：人工石蜡切片放入染色机中，染色机自动漂洗，依次将石蜡切片放入染色机二甲苯Ⅰ15min-二甲苯Ⅱ15min-无水乙醇Ⅰ10min-无水乙醇Ⅱ10min-95%酒精10min-85%酒精10min梯度脱蜡。有机溶剂配制、实验过程中产生G2实验废气，由通风橱收集，经活性炭处理后，通过1根20m高排气筒P1排放。</w:t>
            </w:r>
            <w:r>
              <w:rPr>
                <w:rFonts w:hint="eastAsia"/>
                <w:b w:val="0"/>
                <w:bCs/>
                <w:color w:val="auto"/>
                <w:lang w:val="en-US" w:eastAsia="zh-CN"/>
              </w:rPr>
              <w:t>乙醇溶液配制过程使用实验器具清洗，产生W2第三次实验清洗废水、S4实验废液。</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val="en-US" w:eastAsia="zh-CN"/>
              </w:rPr>
            </w:pPr>
            <w:r>
              <w:rPr>
                <w:rFonts w:hint="eastAsia"/>
                <w:b w:val="0"/>
                <w:bCs/>
                <w:color w:val="auto"/>
                <w:lang w:val="en-US" w:eastAsia="zh-CN"/>
              </w:rPr>
              <w:t>4.HE染色：石蜡切片进入染色机中苏木素染5-10分钟min，自来水漂洗，分化液分化数秒，自来水漂洗，然后1%氨水水溶液返蓝1min，流水冲洗数秒，放入伊红染液中染色数秒，流水漂洗。盐酸酒精分化液配置使用无水乙醇、33%盐酸进行配置。分化液配制、实验过程中盐酸、污水乙醇挥发产生G2实验废气，由通风橱收集，经活性炭处理后，通过1根20m高排气筒P1排放。</w:t>
            </w:r>
            <w:r>
              <w:rPr>
                <w:rFonts w:hint="eastAsia"/>
                <w:b w:val="0"/>
                <w:bCs/>
                <w:color w:val="auto"/>
                <w:lang w:val="en-US" w:eastAsia="zh-CN"/>
              </w:rPr>
              <w:t>分化液配制过程使用实验器具清洗，产生W2第三次实验清洗废水、S4实验废液。</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val="en-US" w:eastAsia="zh-CN"/>
              </w:rPr>
            </w:pPr>
            <w:r>
              <w:rPr>
                <w:rFonts w:hint="eastAsia"/>
                <w:b w:val="0"/>
                <w:bCs/>
                <w:color w:val="auto"/>
                <w:lang w:val="en-US" w:eastAsia="zh-CN"/>
              </w:rPr>
              <w:t>5.脱水封片：石蜡切片依次放入75%乙醇 2min -85%乙醇 2min-无水乙醇2min -无水乙醇2min -二甲苯2min 透明，人工将切片从二甲苯拿出来中性树胶封片。溶剂配制、实验过程中使用无水乙醇、二甲苯挥发产生G2实验废气，由通风橱收集，经活性炭处理后，通过1根20m高排气筒P1排放。</w:t>
            </w:r>
            <w:r>
              <w:rPr>
                <w:rFonts w:hint="eastAsia"/>
                <w:b w:val="0"/>
                <w:bCs/>
                <w:color w:val="auto"/>
                <w:lang w:val="en-US" w:eastAsia="zh-CN"/>
              </w:rPr>
              <w:t>乙醇溶液配制过程使用实验器具清洗，产生W2第三次实验清洗废水、S4实验废液。</w:t>
            </w:r>
          </w:p>
          <w:p>
            <w:pPr>
              <w:pStyle w:val="4"/>
              <w:keepLines w:val="0"/>
              <w:pageBreakBefore w:val="0"/>
              <w:kinsoku/>
              <w:wordWrap/>
              <w:overflowPunct/>
              <w:topLinePunct w:val="0"/>
              <w:bidi w:val="0"/>
              <w:adjustRightInd/>
              <w:snapToGrid/>
              <w:spacing w:line="360" w:lineRule="auto"/>
              <w:ind w:left="0" w:firstLine="480" w:firstLineChars="200"/>
              <w:textAlignment w:val="auto"/>
              <w:rPr>
                <w:rFonts w:hint="eastAsia"/>
                <w:b w:val="0"/>
                <w:bCs/>
                <w:color w:val="auto"/>
                <w:lang w:val="en-US" w:eastAsia="zh-CN"/>
              </w:rPr>
            </w:pPr>
            <w:r>
              <w:rPr>
                <w:rFonts w:hint="eastAsia"/>
                <w:b w:val="0"/>
                <w:bCs/>
                <w:color w:val="auto"/>
                <w:lang w:val="en-US" w:eastAsia="zh-CN"/>
              </w:rPr>
              <w:t>6.结果判读：细胞核为蓝色，细胞质为红色。</w:t>
            </w:r>
          </w:p>
          <w:p>
            <w:pPr>
              <w:pStyle w:val="4"/>
              <w:bidi w:val="0"/>
              <w:rPr>
                <w:rFonts w:hint="eastAsia"/>
                <w:color w:val="auto"/>
              </w:rPr>
            </w:pPr>
            <w:r>
              <w:rPr>
                <w:rFonts w:hint="eastAsia"/>
                <w:color w:val="auto"/>
                <w:lang w:val="en-US" w:eastAsia="zh-CN"/>
              </w:rPr>
              <w:t>2.3 RT-qPCR相对定量实验</w:t>
            </w:r>
            <w:r>
              <w:rPr>
                <w:rFonts w:hint="eastAsia"/>
                <w:color w:val="auto"/>
              </w:rPr>
              <w:t>流程</w:t>
            </w:r>
          </w:p>
          <w:p>
            <w:pPr>
              <w:pStyle w:val="8"/>
              <w:bidi w:val="0"/>
              <w:ind w:left="0" w:leftChars="0" w:firstLine="0" w:firstLineChars="0"/>
              <w:jc w:val="center"/>
              <w:rPr>
                <w:rFonts w:hint="eastAsia"/>
                <w:color w:val="auto"/>
                <w:lang w:val="en-US" w:eastAsia="zh-CN"/>
              </w:rPr>
            </w:pPr>
            <w:r>
              <w:rPr>
                <w:rFonts w:hint="eastAsia"/>
                <w:color w:val="auto"/>
                <w:lang w:val="en-US" w:eastAsia="zh-CN"/>
              </w:rPr>
              <w:drawing>
                <wp:inline distT="0" distB="0" distL="114300" distR="114300">
                  <wp:extent cx="4232910" cy="2245995"/>
                  <wp:effectExtent l="0" t="0" r="0" b="0"/>
                  <wp:docPr id="3" name="ECB019B1-382A-4266-B25C-5B523AA43C14-4" descr="C:/Users/Administrator.USER-20191121OT/AppData/Local/Temp/wps.FtYNw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4" descr="C:/Users/Administrator.USER-20191121OT/AppData/Local/Temp/wps.FtYNwZwps"/>
                          <pic:cNvPicPr>
                            <a:picLocks noChangeAspect="1"/>
                          </pic:cNvPicPr>
                        </pic:nvPicPr>
                        <pic:blipFill>
                          <a:blip r:embed="rId14"/>
                          <a:stretch>
                            <a:fillRect/>
                          </a:stretch>
                        </pic:blipFill>
                        <pic:spPr>
                          <a:xfrm>
                            <a:off x="0" y="0"/>
                            <a:ext cx="4232910" cy="2245995"/>
                          </a:xfrm>
                          <a:prstGeom prst="rect">
                            <a:avLst/>
                          </a:prstGeom>
                        </pic:spPr>
                      </pic:pic>
                    </a:graphicData>
                  </a:graphic>
                </wp:inline>
              </w:drawing>
            </w:r>
          </w:p>
          <w:p>
            <w:pPr>
              <w:pStyle w:val="10"/>
              <w:bidi w:val="0"/>
              <w:rPr>
                <w:rFonts w:hint="default"/>
                <w:color w:val="auto"/>
                <w:lang w:val="en-US" w:eastAsia="zh-CN"/>
              </w:rPr>
            </w:pPr>
            <w:r>
              <w:rPr>
                <w:rFonts w:hint="eastAsia"/>
                <w:color w:val="auto"/>
                <w:lang w:val="en-US" w:eastAsia="zh-CN"/>
              </w:rPr>
              <w:t>图2-4   RT-qPCR相对定量实验流程及产排污环节示意图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rPr>
              <w:t xml:space="preserve"> </w:t>
            </w:r>
            <w:r>
              <w:rPr>
                <w:rFonts w:hint="eastAsia"/>
                <w:color w:val="auto"/>
                <w:lang w:val="en-US" w:eastAsia="zh-CN"/>
              </w:rPr>
              <w:t>1.</w:t>
            </w:r>
            <w:r>
              <w:rPr>
                <w:rFonts w:hint="eastAsia"/>
                <w:color w:val="auto"/>
              </w:rPr>
              <w:t xml:space="preserve">样品处理 </w:t>
            </w:r>
          </w:p>
          <w:p>
            <w:pPr>
              <w:adjustRightInd w:val="0"/>
              <w:snapToGrid w:val="0"/>
              <w:spacing w:line="360" w:lineRule="auto"/>
              <w:ind w:firstLine="480" w:firstLineChars="20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植物</w:t>
            </w:r>
            <w:r>
              <w:rPr>
                <w:rFonts w:hint="eastAsia"/>
                <w:color w:val="auto"/>
                <w:lang w:eastAsia="zh-CN"/>
              </w:rPr>
              <w:t>样本</w:t>
            </w:r>
            <w:r>
              <w:rPr>
                <w:rFonts w:hint="eastAsia"/>
                <w:color w:val="auto"/>
              </w:rPr>
              <w:t>：以叶片</w:t>
            </w:r>
            <w:r>
              <w:rPr>
                <w:color w:val="auto"/>
              </w:rPr>
              <w:t>RNA</w:t>
            </w:r>
            <w:r>
              <w:rPr>
                <w:rFonts w:hint="eastAsia"/>
                <w:color w:val="auto"/>
              </w:rPr>
              <w:t>提取为例，取</w:t>
            </w:r>
            <w:r>
              <w:rPr>
                <w:color w:val="auto"/>
              </w:rPr>
              <w:t>100 mg</w:t>
            </w:r>
            <w:r>
              <w:rPr>
                <w:rFonts w:hint="eastAsia"/>
                <w:color w:val="auto"/>
              </w:rPr>
              <w:t>新鲜叶片在液氮中</w:t>
            </w:r>
            <w:r>
              <w:rPr>
                <w:rFonts w:hint="eastAsia"/>
                <w:color w:val="auto"/>
                <w:lang w:eastAsia="zh-CN"/>
              </w:rPr>
              <w:t>人工</w:t>
            </w:r>
            <w:r>
              <w:rPr>
                <w:rFonts w:hint="eastAsia"/>
                <w:color w:val="auto"/>
              </w:rPr>
              <w:t>充分研磨，</w:t>
            </w:r>
            <w:r>
              <w:rPr>
                <w:rFonts w:hint="eastAsia"/>
                <w:color w:val="auto"/>
                <w:lang w:eastAsia="zh-CN"/>
              </w:rPr>
              <w:t>防止核酸降解，</w:t>
            </w:r>
            <w:r>
              <w:rPr>
                <w:rFonts w:hint="eastAsia"/>
                <w:color w:val="auto"/>
              </w:rPr>
              <w:t>研磨后迅速将样本转移至预冷的离心管中，加入</w:t>
            </w:r>
            <w:r>
              <w:rPr>
                <w:color w:val="auto"/>
              </w:rPr>
              <w:t>1 ml TRIzol</w:t>
            </w:r>
            <w:r>
              <w:rPr>
                <w:rFonts w:hint="eastAsia"/>
                <w:color w:val="auto"/>
              </w:rPr>
              <w:t xml:space="preserve">试剂，充分混匀。 </w:t>
            </w:r>
          </w:p>
          <w:p>
            <w:pPr>
              <w:adjustRightInd w:val="0"/>
              <w:snapToGrid w:val="0"/>
              <w:spacing w:line="360" w:lineRule="auto"/>
              <w:ind w:firstLine="480" w:firstLineChars="20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rFonts w:hint="eastAsia"/>
                <w:color w:val="auto"/>
              </w:rPr>
              <w:t>动物</w:t>
            </w:r>
            <w:r>
              <w:rPr>
                <w:rFonts w:hint="eastAsia"/>
                <w:color w:val="auto"/>
                <w:lang w:eastAsia="zh-CN"/>
              </w:rPr>
              <w:t>样本</w:t>
            </w:r>
            <w:r>
              <w:rPr>
                <w:rFonts w:hint="eastAsia"/>
                <w:color w:val="auto"/>
              </w:rPr>
              <w:t>：以鼠肝脏</w:t>
            </w:r>
            <w:r>
              <w:rPr>
                <w:color w:val="auto"/>
              </w:rPr>
              <w:t>RNA</w:t>
            </w:r>
            <w:r>
              <w:rPr>
                <w:rFonts w:hint="eastAsia"/>
                <w:color w:val="auto"/>
              </w:rPr>
              <w:t>提取为例，取100</w:t>
            </w:r>
            <w:r>
              <w:rPr>
                <w:color w:val="auto"/>
              </w:rPr>
              <w:t xml:space="preserve"> mg</w:t>
            </w:r>
            <w:r>
              <w:rPr>
                <w:rFonts w:hint="eastAsia"/>
                <w:color w:val="auto"/>
              </w:rPr>
              <w:t>新鲜肝脏组织，研磨前尽量剪碎，加入</w:t>
            </w:r>
            <w:r>
              <w:rPr>
                <w:color w:val="auto"/>
              </w:rPr>
              <w:t>1 ml TRIzol</w:t>
            </w:r>
            <w:r>
              <w:rPr>
                <w:rFonts w:hint="eastAsia"/>
                <w:color w:val="auto"/>
              </w:rPr>
              <w:t>试剂，使用高通量组织研磨仪快速充分匀浆 (</w:t>
            </w:r>
            <w:r>
              <w:rPr>
                <w:color w:val="auto"/>
              </w:rPr>
              <w:t>6m/s</w:t>
            </w:r>
            <w:r>
              <w:rPr>
                <w:rFonts w:hint="eastAsia"/>
                <w:color w:val="auto"/>
              </w:rPr>
              <w:t>，研磨2</w:t>
            </w:r>
            <w:r>
              <w:rPr>
                <w:color w:val="auto"/>
              </w:rPr>
              <w:t>0s</w:t>
            </w:r>
            <w:r>
              <w:rPr>
                <w:rFonts w:hint="eastAsia"/>
                <w:color w:val="auto"/>
              </w:rPr>
              <w:t>，静置1</w:t>
            </w:r>
            <w:r>
              <w:rPr>
                <w:color w:val="auto"/>
              </w:rPr>
              <w:t>5s</w:t>
            </w:r>
            <w:r>
              <w:rPr>
                <w:rFonts w:hint="eastAsia"/>
                <w:color w:val="auto"/>
              </w:rPr>
              <w:t xml:space="preserve">，研磨2个循环)。 </w:t>
            </w:r>
          </w:p>
          <w:p>
            <w:pPr>
              <w:adjustRightInd w:val="0"/>
              <w:snapToGrid w:val="0"/>
              <w:spacing w:line="360" w:lineRule="auto"/>
              <w:ind w:firstLine="480" w:firstLineChars="20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rPr>
              <w:t>单层培养细胞</w:t>
            </w:r>
            <w:r>
              <w:rPr>
                <w:rFonts w:hint="eastAsia"/>
                <w:color w:val="auto"/>
                <w:lang w:eastAsia="zh-CN"/>
              </w:rPr>
              <w:t>样本</w:t>
            </w:r>
            <w:r>
              <w:rPr>
                <w:rFonts w:hint="eastAsia"/>
                <w:color w:val="auto"/>
              </w:rPr>
              <w:t>：单层贴壁细胞的收集（收集细胞数量请不要超过</w:t>
            </w:r>
            <w:r>
              <w:rPr>
                <w:color w:val="auto"/>
              </w:rPr>
              <w:t>1</w:t>
            </w:r>
            <w:r>
              <w:rPr>
                <w:rFonts w:hint="eastAsia"/>
                <w:color w:val="auto"/>
              </w:rPr>
              <w:t>×</w:t>
            </w:r>
            <w:r>
              <w:rPr>
                <w:color w:val="auto"/>
              </w:rPr>
              <w:t>10</w:t>
            </w:r>
            <w:r>
              <w:rPr>
                <w:rFonts w:hint="eastAsia"/>
                <w:color w:val="auto"/>
                <w:lang w:val="en-US" w:eastAsia="zh-CN"/>
              </w:rPr>
              <w:t>7</w:t>
            </w:r>
            <w:r>
              <w:rPr>
                <w:rFonts w:hint="eastAsia"/>
                <w:color w:val="auto"/>
              </w:rPr>
              <w:t>）。</w:t>
            </w:r>
          </w:p>
          <w:p>
            <w:pPr>
              <w:adjustRightInd w:val="0"/>
              <w:snapToGrid w:val="0"/>
              <w:spacing w:line="360" w:lineRule="auto"/>
              <w:ind w:firstLine="480" w:firstLineChars="200"/>
              <w:rPr>
                <w:color w:val="auto"/>
              </w:rPr>
            </w:pPr>
            <w:r>
              <w:rPr>
                <w:rFonts w:hint="eastAsia"/>
                <w:color w:val="auto"/>
                <w:lang w:eastAsia="zh-CN"/>
              </w:rPr>
              <w:t>①</w:t>
            </w:r>
            <w:r>
              <w:rPr>
                <w:rFonts w:hint="eastAsia"/>
                <w:color w:val="auto"/>
              </w:rPr>
              <w:t>直接裂解法： 直接在培养板中加入</w:t>
            </w:r>
            <w:r>
              <w:rPr>
                <w:color w:val="auto"/>
              </w:rPr>
              <w:t xml:space="preserve">TRIzol </w:t>
            </w:r>
            <w:r>
              <w:rPr>
                <w:rFonts w:hint="eastAsia"/>
                <w:color w:val="auto"/>
              </w:rPr>
              <w:t>试剂裂解细胞，每</w:t>
            </w:r>
            <w:r>
              <w:rPr>
                <w:color w:val="auto"/>
              </w:rPr>
              <w:t>10 cm</w:t>
            </w:r>
            <w:r>
              <w:rPr>
                <w:rFonts w:hint="eastAsia"/>
                <w:color w:val="auto"/>
                <w:lang w:val="en-US" w:eastAsia="zh-CN"/>
              </w:rPr>
              <w:t>2</w:t>
            </w:r>
            <w:r>
              <w:rPr>
                <w:rFonts w:hint="eastAsia"/>
                <w:color w:val="auto"/>
              </w:rPr>
              <w:t>面积加入</w:t>
            </w:r>
            <w:r>
              <w:rPr>
                <w:color w:val="auto"/>
              </w:rPr>
              <w:t>1 ml TRIzol</w:t>
            </w:r>
            <w:r>
              <w:rPr>
                <w:rFonts w:hint="eastAsia"/>
                <w:color w:val="auto"/>
              </w:rPr>
              <w:t>试剂。用取样器吹打几次。注意：TR</w:t>
            </w:r>
            <w:r>
              <w:rPr>
                <w:color w:val="auto"/>
              </w:rPr>
              <w:t>I</w:t>
            </w:r>
            <w:r>
              <w:rPr>
                <w:rFonts w:hint="eastAsia"/>
                <w:color w:val="auto"/>
              </w:rPr>
              <w:t>zol</w:t>
            </w:r>
            <w:r>
              <w:rPr>
                <w:color w:val="auto"/>
              </w:rPr>
              <w:t xml:space="preserve">试剂加量根据培养板面积决定，不是由细胞数决定。 </w:t>
            </w:r>
          </w:p>
          <w:p>
            <w:pPr>
              <w:adjustRightInd w:val="0"/>
              <w:snapToGrid w:val="0"/>
              <w:spacing w:line="360" w:lineRule="auto"/>
              <w:ind w:firstLine="480" w:firstLineChars="200"/>
              <w:rPr>
                <w:rFonts w:hint="default" w:eastAsia="宋体"/>
                <w:color w:val="auto"/>
                <w:lang w:val="en-US" w:eastAsia="zh-CN"/>
              </w:rPr>
            </w:pPr>
            <w:r>
              <w:rPr>
                <w:rFonts w:hint="eastAsia"/>
                <w:color w:val="auto"/>
                <w:lang w:eastAsia="zh-CN"/>
              </w:rPr>
              <w:t>②</w:t>
            </w:r>
            <w:r>
              <w:rPr>
                <w:rFonts w:hint="eastAsia"/>
                <w:color w:val="auto"/>
              </w:rPr>
              <w:t>胰蛋白酶处理法：吸除培养基，使用</w:t>
            </w:r>
            <w:r>
              <w:rPr>
                <w:color w:val="auto"/>
              </w:rPr>
              <w:t>PBS</w:t>
            </w:r>
            <w:r>
              <w:rPr>
                <w:rFonts w:hint="eastAsia"/>
                <w:color w:val="auto"/>
              </w:rPr>
              <w:t>洗涤细胞，加入含有</w:t>
            </w:r>
            <w:r>
              <w:rPr>
                <w:color w:val="auto"/>
              </w:rPr>
              <w:t>0.25%</w:t>
            </w:r>
            <w:r>
              <w:rPr>
                <w:rFonts w:hint="eastAsia"/>
                <w:color w:val="auto"/>
              </w:rPr>
              <w:t>胰蛋白酶的</w:t>
            </w:r>
            <w:r>
              <w:rPr>
                <w:color w:val="auto"/>
              </w:rPr>
              <w:t>PBS</w:t>
            </w:r>
            <w:r>
              <w:rPr>
                <w:rFonts w:hint="eastAsia"/>
                <w:color w:val="auto"/>
              </w:rPr>
              <w:t>（或培养基）处理细胞，当细胞脱离容器壁时，加入含有血清的培养基失活胰蛋白酶，将细胞溶液转移至</w:t>
            </w:r>
            <w:r>
              <w:rPr>
                <w:color w:val="auto"/>
              </w:rPr>
              <w:t>RNase-free</w:t>
            </w:r>
            <w:r>
              <w:rPr>
                <w:rFonts w:hint="eastAsia"/>
                <w:color w:val="auto"/>
              </w:rPr>
              <w:t>的离心管中，</w:t>
            </w:r>
            <w:r>
              <w:rPr>
                <w:color w:val="auto"/>
              </w:rPr>
              <w:t>300</w:t>
            </w:r>
            <w:r>
              <w:rPr>
                <w:rFonts w:hint="eastAsia"/>
                <w:color w:val="auto"/>
              </w:rPr>
              <w:t>×</w:t>
            </w:r>
            <w:r>
              <w:rPr>
                <w:color w:val="auto"/>
              </w:rPr>
              <w:t>g</w:t>
            </w:r>
            <w:r>
              <w:rPr>
                <w:rFonts w:hint="eastAsia"/>
                <w:color w:val="auto"/>
              </w:rPr>
              <w:t>离心</w:t>
            </w:r>
            <w:r>
              <w:rPr>
                <w:color w:val="auto"/>
              </w:rPr>
              <w:t>5 min</w:t>
            </w:r>
            <w:r>
              <w:rPr>
                <w:rFonts w:hint="eastAsia"/>
                <w:color w:val="auto"/>
              </w:rPr>
              <w:t>，收集细胞沉淀。</w:t>
            </w:r>
            <w:r>
              <w:rPr>
                <w:color w:val="auto"/>
              </w:rPr>
              <w:t>注意：收集细胞时一定要将细胞培养液去除干净，否则会导致裂解不完全，造成RNA的产量降低。</w:t>
            </w:r>
            <w:r>
              <w:rPr>
                <w:rFonts w:hint="eastAsia"/>
                <w:color w:val="auto"/>
                <w:lang w:eastAsia="zh-CN"/>
              </w:rPr>
              <w:t>实验过程中产生</w:t>
            </w:r>
            <w:r>
              <w:rPr>
                <w:rFonts w:hint="eastAsia"/>
                <w:color w:val="auto"/>
                <w:lang w:val="en-US" w:eastAsia="zh-CN"/>
              </w:rPr>
              <w:t>S5废培养基。</w:t>
            </w:r>
          </w:p>
          <w:p>
            <w:pPr>
              <w:adjustRightInd w:val="0"/>
              <w:snapToGrid w:val="0"/>
              <w:spacing w:line="360" w:lineRule="auto"/>
              <w:ind w:firstLine="480" w:firstLineChars="200"/>
              <w:rPr>
                <w:color w:val="auto"/>
              </w:rPr>
            </w:pPr>
            <w:r>
              <w:rPr>
                <w:color w:val="auto"/>
              </w:rPr>
              <w:t xml:space="preserve">d. </w:t>
            </w:r>
            <w:r>
              <w:rPr>
                <w:rFonts w:hint="eastAsia"/>
                <w:color w:val="auto"/>
              </w:rPr>
              <w:t>细胞和细菌悬液：每</w:t>
            </w:r>
            <w:r>
              <w:rPr>
                <w:color w:val="auto"/>
              </w:rPr>
              <w:t>1</w:t>
            </w:r>
            <w:r>
              <w:rPr>
                <w:rFonts w:hint="eastAsia"/>
                <w:color w:val="auto"/>
              </w:rPr>
              <w:t>×</w:t>
            </w:r>
            <w:r>
              <w:rPr>
                <w:color w:val="auto"/>
              </w:rPr>
              <w:t>10</w:t>
            </w:r>
            <w:r>
              <w:rPr>
                <w:rFonts w:hint="eastAsia"/>
                <w:color w:val="auto"/>
                <w:lang w:val="en-US" w:eastAsia="zh-CN"/>
              </w:rPr>
              <w:t>6</w:t>
            </w:r>
            <w:r>
              <w:rPr>
                <w:color w:val="auto"/>
              </w:rPr>
              <w:t xml:space="preserve"> </w:t>
            </w:r>
            <w:r>
              <w:rPr>
                <w:rFonts w:hint="eastAsia"/>
                <w:color w:val="auto"/>
                <w:lang w:val="en-US" w:eastAsia="zh-CN"/>
              </w:rPr>
              <w:t>~</w:t>
            </w:r>
            <w:r>
              <w:rPr>
                <w:color w:val="auto"/>
              </w:rPr>
              <w:t>1</w:t>
            </w:r>
            <w:r>
              <w:rPr>
                <w:rFonts w:hint="eastAsia"/>
                <w:color w:val="auto"/>
              </w:rPr>
              <w:t>×</w:t>
            </w:r>
            <w:r>
              <w:rPr>
                <w:color w:val="auto"/>
              </w:rPr>
              <w:t>10</w:t>
            </w:r>
            <w:r>
              <w:rPr>
                <w:rFonts w:hint="eastAsia"/>
                <w:color w:val="auto"/>
                <w:lang w:val="en-US" w:eastAsia="zh-CN"/>
              </w:rPr>
              <w:t>7</w:t>
            </w:r>
            <w:r>
              <w:rPr>
                <w:rFonts w:hint="eastAsia"/>
                <w:color w:val="auto"/>
              </w:rPr>
              <w:t>细胞或者菌体加入</w:t>
            </w:r>
            <w:r>
              <w:rPr>
                <w:color w:val="auto"/>
              </w:rPr>
              <w:t>1 ml TRIzol</w:t>
            </w:r>
            <w:r>
              <w:rPr>
                <w:rFonts w:hint="eastAsia"/>
                <w:color w:val="auto"/>
              </w:rPr>
              <w:t xml:space="preserve">试剂。细菌在处理前需要加入溶菌酶进行裂解。 </w:t>
            </w:r>
          </w:p>
          <w:p>
            <w:pPr>
              <w:adjustRightInd w:val="0"/>
              <w:snapToGrid w:val="0"/>
              <w:spacing w:line="360" w:lineRule="auto"/>
              <w:ind w:firstLine="480" w:firstLineChars="200"/>
              <w:rPr>
                <w:color w:val="auto"/>
              </w:rPr>
            </w:pPr>
            <w:r>
              <w:rPr>
                <w:color w:val="auto"/>
              </w:rPr>
              <w:t xml:space="preserve">e. </w:t>
            </w:r>
            <w:r>
              <w:rPr>
                <w:rFonts w:hint="eastAsia"/>
                <w:color w:val="auto"/>
              </w:rPr>
              <w:t>血液处理：直接取新鲜的血液，加入</w:t>
            </w:r>
            <w:r>
              <w:rPr>
                <w:color w:val="auto"/>
              </w:rPr>
              <w:t>3</w:t>
            </w:r>
            <w:r>
              <w:rPr>
                <w:rFonts w:hint="eastAsia"/>
                <w:color w:val="auto"/>
              </w:rPr>
              <w:t>倍体积</w:t>
            </w:r>
            <w:r>
              <w:rPr>
                <w:color w:val="auto"/>
              </w:rPr>
              <w:t>TRIzol</w:t>
            </w:r>
            <w:r>
              <w:rPr>
                <w:rFonts w:hint="eastAsia"/>
                <w:color w:val="auto"/>
              </w:rPr>
              <w:t xml:space="preserve">试剂 </w:t>
            </w:r>
            <w:r>
              <w:rPr>
                <w:color w:val="auto"/>
              </w:rPr>
              <w:t>(推荐0.2 ml全血加入0.6 ml TRIzol试剂)，</w:t>
            </w:r>
            <w:r>
              <w:rPr>
                <w:rFonts w:hint="eastAsia"/>
                <w:color w:val="auto"/>
              </w:rPr>
              <w:t>充分振荡混匀。</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color w:val="auto"/>
              </w:rPr>
            </w:pPr>
            <w:r>
              <w:rPr>
                <w:rFonts w:hint="eastAsia"/>
                <w:color w:val="auto"/>
                <w:lang w:val="en-US" w:eastAsia="zh-CN"/>
              </w:rPr>
              <w:t>2.</w:t>
            </w:r>
            <w:r>
              <w:rPr>
                <w:rFonts w:hint="eastAsia"/>
                <w:color w:val="auto"/>
              </w:rPr>
              <w:t>RNA提取</w:t>
            </w:r>
            <w:r>
              <w:rPr>
                <w:rFonts w:hint="eastAsia"/>
                <w:color w:val="auto"/>
                <w:lang w:eastAsia="zh-CN"/>
              </w:rPr>
              <w:t>：</w:t>
            </w:r>
            <w:r>
              <w:rPr>
                <w:rFonts w:hint="eastAsia"/>
                <w:color w:val="auto"/>
              </w:rPr>
              <w:t>将加入</w:t>
            </w:r>
            <w:r>
              <w:rPr>
                <w:color w:val="auto"/>
              </w:rPr>
              <w:t>TRIzol</w:t>
            </w:r>
            <w:r>
              <w:rPr>
                <w:rFonts w:hint="eastAsia"/>
                <w:color w:val="auto"/>
              </w:rPr>
              <w:t>后的样本室温反应10min。加入200</w:t>
            </w:r>
            <w:r>
              <w:rPr>
                <w:color w:val="auto"/>
              </w:rPr>
              <w:t>µ</w:t>
            </w:r>
            <w:r>
              <w:rPr>
                <w:rFonts w:hint="eastAsia"/>
                <w:color w:val="auto"/>
              </w:rPr>
              <w:t>l</w:t>
            </w:r>
            <w:r>
              <w:rPr>
                <w:rFonts w:hint="eastAsia"/>
                <w:color w:val="auto"/>
                <w:lang w:eastAsia="zh-CN"/>
              </w:rPr>
              <w:t>异丙醇</w:t>
            </w:r>
            <w:r>
              <w:rPr>
                <w:rFonts w:hint="eastAsia"/>
                <w:color w:val="auto"/>
              </w:rPr>
              <w:t>，剧烈摇荡15 s</w:t>
            </w:r>
            <w:r>
              <w:rPr>
                <w:rFonts w:hint="eastAsia"/>
                <w:color w:val="auto"/>
                <w:lang w:eastAsia="zh-CN"/>
              </w:rPr>
              <w:t>，</w:t>
            </w:r>
            <w:r>
              <w:rPr>
                <w:rFonts w:hint="eastAsia"/>
                <w:color w:val="auto"/>
              </w:rPr>
              <w:t>不要使用涡旋振荡仪，室温放置10min。</w:t>
            </w:r>
            <w:r>
              <w:rPr>
                <w:rFonts w:hint="eastAsia"/>
                <w:color w:val="auto"/>
                <w:lang w:val="en-US" w:eastAsia="zh-CN"/>
              </w:rPr>
              <w:t xml:space="preserve"> </w:t>
            </w:r>
            <w:r>
              <w:rPr>
                <w:rFonts w:hint="eastAsia"/>
                <w:color w:val="auto"/>
              </w:rPr>
              <w:t>4℃12000rpm离心15min。离心后溶液分层，</w:t>
            </w:r>
            <w:r>
              <w:rPr>
                <w:rFonts w:hint="eastAsia"/>
                <w:color w:val="auto"/>
                <w:lang w:val="en-US" w:eastAsia="zh-CN"/>
              </w:rPr>
              <w:t>分为</w:t>
            </w:r>
            <w:r>
              <w:rPr>
                <w:rFonts w:hint="eastAsia"/>
                <w:color w:val="auto"/>
              </w:rPr>
              <w:t>白色蛋白层和澄清的水层，RNA存在于水层中。取上层水相400 µL于新的离心管中，等体积加入异丙醇（4℃预冷），-20℃放置15 min。 4℃12000rpm离心10 min。弃上清，加入1 mL 75%乙醇（4℃预冷）洗涤RNA沉淀。轻轻上下翻转，充分洗涤。4℃12000 rpm离心5 min。弃上清，重复</w:t>
            </w:r>
            <w:r>
              <w:rPr>
                <w:rFonts w:hint="eastAsia"/>
                <w:color w:val="auto"/>
                <w:lang w:eastAsia="zh-CN"/>
              </w:rPr>
              <w:t>乙醇洗涤</w:t>
            </w:r>
            <w:r>
              <w:rPr>
                <w:rFonts w:hint="eastAsia"/>
                <w:color w:val="auto"/>
              </w:rPr>
              <w:t>步骤一次。弃上清，用移液器小心将残留液体吸干净，晾干。加入50 µL DEPC水中，用枪轻轻吹打使其充分溶解。</w:t>
            </w:r>
            <w:r>
              <w:rPr>
                <w:rFonts w:hint="eastAsia"/>
                <w:color w:val="auto"/>
                <w:lang w:eastAsia="zh-CN"/>
              </w:rPr>
              <w:t>使用</w:t>
            </w:r>
            <w:r>
              <w:rPr>
                <w:rFonts w:hint="eastAsia"/>
                <w:color w:val="auto"/>
              </w:rPr>
              <w:t>NanoDrop</w:t>
            </w:r>
            <w:r>
              <w:rPr>
                <w:color w:val="auto"/>
              </w:rPr>
              <w:t xml:space="preserve"> 2000</w:t>
            </w:r>
            <w:r>
              <w:rPr>
                <w:rFonts w:hint="eastAsia"/>
                <w:color w:val="auto"/>
              </w:rPr>
              <w:t>测定提取RNA的OD值和浓度。用1.5%琼脂糖凝胶电泳鉴定RNA的完整性。RNA样品长期保存于-80℃冰箱。</w:t>
            </w:r>
            <w:r>
              <w:rPr>
                <w:rFonts w:hint="eastAsia"/>
                <w:color w:val="auto"/>
                <w:lang w:eastAsia="zh-CN"/>
              </w:rPr>
              <w:t>实验</w:t>
            </w:r>
            <w:r>
              <w:rPr>
                <w:rFonts w:hint="eastAsia"/>
                <w:color w:val="auto"/>
                <w:lang w:val="en-US" w:eastAsia="zh-CN"/>
              </w:rPr>
              <w:t>过程中使用异丙醇挥发产生G2实验废气，废弃上清液作为S4实验废液，离心管清洗产生W2第三次实验清洗废水、S4实验废液。</w:t>
            </w:r>
          </w:p>
          <w:p>
            <w:pPr>
              <w:spacing w:line="360" w:lineRule="auto"/>
              <w:ind w:firstLine="480" w:firstLineChars="200"/>
              <w:rPr>
                <w:rFonts w:hint="eastAsia"/>
                <w:color w:val="auto"/>
              </w:rPr>
            </w:pPr>
            <w:r>
              <w:rPr>
                <w:rFonts w:hint="eastAsia"/>
                <w:color w:val="auto"/>
                <w:lang w:val="en-US" w:eastAsia="zh-CN"/>
              </w:rPr>
              <w:t>3.</w:t>
            </w:r>
            <w:r>
              <w:rPr>
                <w:color w:val="auto"/>
              </w:rPr>
              <w:t xml:space="preserve"> </w:t>
            </w:r>
            <w:r>
              <w:rPr>
                <w:rFonts w:hint="eastAsia"/>
                <w:color w:val="auto"/>
              </w:rPr>
              <w:t>体外反转录</w:t>
            </w:r>
            <w:r>
              <w:rPr>
                <w:rFonts w:hint="eastAsia"/>
                <w:color w:val="auto"/>
                <w:lang w:eastAsia="zh-CN"/>
              </w:rPr>
              <w:t>：</w:t>
            </w:r>
            <w:r>
              <w:rPr>
                <w:color w:val="auto"/>
              </w:rPr>
              <w:t>将下列试剂</w:t>
            </w:r>
            <w:r>
              <w:rPr>
                <w:rFonts w:hint="eastAsia"/>
                <w:color w:val="auto"/>
              </w:rPr>
              <w:t>按照下表</w:t>
            </w:r>
            <w:r>
              <w:rPr>
                <w:color w:val="auto"/>
              </w:rPr>
              <w:t>加入</w:t>
            </w:r>
            <w:r>
              <w:rPr>
                <w:rFonts w:hint="eastAsia"/>
                <w:color w:val="auto"/>
              </w:rPr>
              <w:t>RNase/DNase-free PCR管</w:t>
            </w:r>
            <w:r>
              <w:rPr>
                <w:color w:val="auto"/>
              </w:rPr>
              <w:t>中</w:t>
            </w:r>
            <w:r>
              <w:rPr>
                <w:rFonts w:hint="eastAsia"/>
                <w:color w:val="auto"/>
              </w:rPr>
              <w:t>，冰上操作轻轻混匀，离心。如果使用</w:t>
            </w:r>
            <w:r>
              <w:rPr>
                <w:color w:val="auto"/>
              </w:rPr>
              <w:t>Oligo（dT）18</w:t>
            </w:r>
            <w:r>
              <w:rPr>
                <w:rFonts w:hint="eastAsia"/>
                <w:color w:val="auto"/>
              </w:rPr>
              <w:t>或者基因特异性引物，4</w:t>
            </w:r>
            <w:r>
              <w:rPr>
                <w:color w:val="auto"/>
              </w:rPr>
              <w:t>2 ℃</w:t>
            </w:r>
            <w:r>
              <w:rPr>
                <w:rFonts w:hint="eastAsia"/>
                <w:color w:val="auto"/>
                <w:lang w:eastAsia="zh-CN"/>
              </w:rPr>
              <w:t>摇床</w:t>
            </w:r>
            <w:r>
              <w:rPr>
                <w:color w:val="auto"/>
              </w:rPr>
              <w:t>孵育60 min</w:t>
            </w:r>
            <w:r>
              <w:rPr>
                <w:rFonts w:hint="eastAsia"/>
                <w:color w:val="auto"/>
              </w:rPr>
              <w:t>；如果使用随机六聚体引物，</w:t>
            </w:r>
            <w:r>
              <w:rPr>
                <w:color w:val="auto"/>
              </w:rPr>
              <w:t>2</w:t>
            </w:r>
            <w:r>
              <w:rPr>
                <w:rFonts w:hint="eastAsia"/>
                <w:color w:val="auto"/>
              </w:rPr>
              <w:t>5</w:t>
            </w:r>
            <w:r>
              <w:rPr>
                <w:color w:val="auto"/>
              </w:rPr>
              <w:t xml:space="preserve"> ℃</w:t>
            </w:r>
            <w:r>
              <w:rPr>
                <w:rFonts w:hint="eastAsia"/>
                <w:color w:val="auto"/>
                <w:lang w:eastAsia="zh-CN"/>
              </w:rPr>
              <w:t>摇床</w:t>
            </w:r>
            <w:r>
              <w:rPr>
                <w:color w:val="auto"/>
              </w:rPr>
              <w:t>孵育</w:t>
            </w:r>
            <w:r>
              <w:rPr>
                <w:rFonts w:hint="eastAsia"/>
                <w:color w:val="auto"/>
              </w:rPr>
              <w:t>5</w:t>
            </w:r>
            <w:r>
              <w:rPr>
                <w:color w:val="auto"/>
              </w:rPr>
              <w:t xml:space="preserve"> min</w:t>
            </w:r>
            <w:r>
              <w:rPr>
                <w:rFonts w:hint="eastAsia"/>
                <w:color w:val="auto"/>
              </w:rPr>
              <w:t>，随后</w:t>
            </w:r>
            <w:r>
              <w:rPr>
                <w:color w:val="auto"/>
              </w:rPr>
              <w:t>42 ℃</w:t>
            </w:r>
            <w:r>
              <w:rPr>
                <w:rFonts w:hint="eastAsia"/>
                <w:color w:val="auto"/>
                <w:lang w:eastAsia="zh-CN"/>
              </w:rPr>
              <w:t>摇床</w:t>
            </w:r>
            <w:r>
              <w:rPr>
                <w:color w:val="auto"/>
              </w:rPr>
              <w:t>孵育60 min</w:t>
            </w:r>
            <w:r>
              <w:rPr>
                <w:rFonts w:hint="eastAsia"/>
                <w:color w:val="auto"/>
              </w:rPr>
              <w:t xml:space="preserve">。如果RNA模板GC含量高或者含有二级结构，将模板和引物的混合液轻轻混匀，短暂离心，65 </w:t>
            </w:r>
            <w:r>
              <w:rPr>
                <w:color w:val="auto"/>
              </w:rPr>
              <w:t>℃</w:t>
            </w:r>
            <w:r>
              <w:rPr>
                <w:rFonts w:hint="eastAsia"/>
                <w:color w:val="auto"/>
                <w:lang w:eastAsia="zh-CN"/>
              </w:rPr>
              <w:t>摇床</w:t>
            </w:r>
            <w:r>
              <w:rPr>
                <w:rFonts w:hint="eastAsia"/>
                <w:color w:val="auto"/>
              </w:rPr>
              <w:t>孵育5min，冰上冷却，离心，再置于冰上。</w:t>
            </w:r>
            <w:r>
              <w:rPr>
                <w:color w:val="auto"/>
              </w:rPr>
              <w:t xml:space="preserve"> 70 ℃</w:t>
            </w:r>
            <w:r>
              <w:rPr>
                <w:rFonts w:hint="eastAsia"/>
                <w:color w:val="auto"/>
                <w:lang w:eastAsia="zh-CN"/>
              </w:rPr>
              <w:t>水浴</w:t>
            </w:r>
            <w:r>
              <w:rPr>
                <w:color w:val="auto"/>
              </w:rPr>
              <w:t>加热5 min，终止反应。</w:t>
            </w:r>
            <w:r>
              <w:rPr>
                <w:rFonts w:hint="eastAsia"/>
                <w:color w:val="auto"/>
              </w:rPr>
              <w:t>反应所得</w:t>
            </w:r>
            <w:r>
              <w:rPr>
                <w:color w:val="auto"/>
              </w:rPr>
              <w:t>cDNA</w:t>
            </w:r>
            <w:r>
              <w:rPr>
                <w:rFonts w:hint="eastAsia"/>
                <w:color w:val="auto"/>
              </w:rPr>
              <w:t>稀释后可直接用于PCR反应或者在-20</w:t>
            </w:r>
            <w:r>
              <w:rPr>
                <w:color w:val="auto"/>
              </w:rPr>
              <w:t>℃</w:t>
            </w:r>
            <w:r>
              <w:rPr>
                <w:rFonts w:hint="eastAsia"/>
                <w:color w:val="auto"/>
              </w:rPr>
              <w:t>短期保存，长时间保存，放入-80</w:t>
            </w:r>
            <w:r>
              <w:rPr>
                <w:color w:val="auto"/>
              </w:rPr>
              <w:t>℃</w:t>
            </w:r>
            <w:r>
              <w:rPr>
                <w:rFonts w:hint="eastAsia"/>
                <w:color w:val="auto"/>
                <w:lang w:eastAsia="zh-CN"/>
              </w:rPr>
              <w:t>超低温</w:t>
            </w:r>
            <w:r>
              <w:rPr>
                <w:rFonts w:hint="eastAsia"/>
                <w:color w:val="auto"/>
              </w:rPr>
              <w:t>冰箱。</w:t>
            </w:r>
          </w:p>
          <w:p>
            <w:pPr>
              <w:pStyle w:val="10"/>
              <w:bidi w:val="0"/>
              <w:rPr>
                <w:rFonts w:hint="default"/>
                <w:color w:val="auto"/>
                <w:lang w:val="en-US" w:eastAsia="zh-CN"/>
              </w:rPr>
            </w:pPr>
            <w:r>
              <w:rPr>
                <w:rFonts w:hint="eastAsia"/>
                <w:color w:val="auto"/>
                <w:lang w:val="en-US" w:eastAsia="zh-CN"/>
              </w:rPr>
              <w:t>表2-14  试剂配制用量表</w:t>
            </w:r>
          </w:p>
          <w:tbl>
            <w:tblPr>
              <w:tblStyle w:val="30"/>
              <w:tblW w:w="842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5"/>
              <w:gridCol w:w="31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试剂</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color w:val="auto"/>
                      <w:sz w:val="21"/>
                      <w:szCs w:val="21"/>
                    </w:rPr>
                    <w:t>5</w:t>
                  </w:r>
                  <w:r>
                    <w:rPr>
                      <w:rFonts w:hint="eastAsia"/>
                      <w:color w:val="auto"/>
                      <w:sz w:val="21"/>
                      <w:szCs w:val="21"/>
                    </w:rPr>
                    <w:t xml:space="preserve"> </w:t>
                  </w:r>
                  <w:r>
                    <w:rPr>
                      <w:color w:val="auto"/>
                      <w:sz w:val="21"/>
                      <w:szCs w:val="21"/>
                    </w:rPr>
                    <w:t>×</w:t>
                  </w:r>
                  <w:r>
                    <w:rPr>
                      <w:rFonts w:hint="eastAsia"/>
                      <w:color w:val="auto"/>
                      <w:sz w:val="21"/>
                      <w:szCs w:val="21"/>
                    </w:rPr>
                    <w:t xml:space="preserve"> </w:t>
                  </w:r>
                  <w:r>
                    <w:rPr>
                      <w:color w:val="auto"/>
                      <w:sz w:val="21"/>
                      <w:szCs w:val="21"/>
                    </w:rPr>
                    <w:t>Reaction Buffer</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rPr>
                    <w:t xml:space="preserve">4 </w:t>
                  </w:r>
                  <w:r>
                    <w:rPr>
                      <w:color w:val="auto"/>
                      <w:sz w:val="21"/>
                      <w:szCs w:val="21"/>
                    </w:rPr>
                    <w:t>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rPr>
                    <w:t>反转录引物</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color w:val="auto"/>
                      <w:sz w:val="21"/>
                      <w:szCs w:val="21"/>
                    </w:rPr>
                    <w:t>1</w:t>
                  </w:r>
                  <w:r>
                    <w:rPr>
                      <w:rFonts w:hint="eastAsia"/>
                      <w:color w:val="auto"/>
                      <w:sz w:val="21"/>
                      <w:szCs w:val="21"/>
                    </w:rPr>
                    <w:t xml:space="preserve"> </w:t>
                  </w:r>
                  <w:r>
                    <w:rPr>
                      <w:color w:val="auto"/>
                      <w:sz w:val="21"/>
                      <w:szCs w:val="21"/>
                    </w:rPr>
                    <w:t>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color w:val="auto"/>
                      <w:sz w:val="21"/>
                      <w:szCs w:val="21"/>
                    </w:rPr>
                    <w:t>RNA</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5ug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color w:val="auto"/>
                      <w:sz w:val="21"/>
                      <w:szCs w:val="21"/>
                    </w:rPr>
                    <w:t>Ribolock</w:t>
                  </w:r>
                  <w:r>
                    <w:rPr>
                      <w:rFonts w:hint="eastAsia"/>
                      <w:color w:val="auto"/>
                      <w:sz w:val="21"/>
                      <w:szCs w:val="21"/>
                    </w:rPr>
                    <w:t xml:space="preserve"> RNA酶抑制剂（20U/</w:t>
                  </w:r>
                  <w:r>
                    <w:rPr>
                      <w:color w:val="auto"/>
                      <w:sz w:val="21"/>
                      <w:szCs w:val="21"/>
                    </w:rPr>
                    <w:t>µL</w:t>
                  </w:r>
                  <w:r>
                    <w:rPr>
                      <w:rFonts w:hint="eastAsia"/>
                      <w:color w:val="auto"/>
                      <w:sz w:val="21"/>
                      <w:szCs w:val="21"/>
                    </w:rPr>
                    <w:t>）</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color w:val="auto"/>
                      <w:sz w:val="21"/>
                      <w:szCs w:val="21"/>
                    </w:rPr>
                    <w:t>1</w:t>
                  </w:r>
                  <w:r>
                    <w:rPr>
                      <w:rFonts w:hint="eastAsia"/>
                      <w:color w:val="auto"/>
                      <w:sz w:val="21"/>
                      <w:szCs w:val="21"/>
                    </w:rPr>
                    <w:t xml:space="preserve"> </w:t>
                  </w:r>
                  <w:r>
                    <w:rPr>
                      <w:color w:val="auto"/>
                      <w:sz w:val="21"/>
                      <w:szCs w:val="21"/>
                    </w:rPr>
                    <w:t>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color w:val="auto"/>
                      <w:sz w:val="21"/>
                      <w:szCs w:val="21"/>
                    </w:rPr>
                    <w:t>Revertaid</w:t>
                  </w:r>
                  <w:r>
                    <w:rPr>
                      <w:rFonts w:hint="eastAsia"/>
                      <w:color w:val="auto"/>
                      <w:sz w:val="21"/>
                      <w:szCs w:val="21"/>
                    </w:rPr>
                    <w:t xml:space="preserve"> M-MuLV逆转录酶（200U/</w:t>
                  </w:r>
                  <w:r>
                    <w:rPr>
                      <w:color w:val="auto"/>
                      <w:sz w:val="21"/>
                      <w:szCs w:val="21"/>
                    </w:rPr>
                    <w:t>µL</w:t>
                  </w:r>
                  <w:r>
                    <w:rPr>
                      <w:rFonts w:hint="eastAsia"/>
                      <w:color w:val="auto"/>
                      <w:sz w:val="21"/>
                      <w:szCs w:val="21"/>
                    </w:rPr>
                    <w:t>）</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color w:val="auto"/>
                      <w:sz w:val="21"/>
                      <w:szCs w:val="21"/>
                    </w:rPr>
                    <w:t>1</w:t>
                  </w:r>
                  <w:r>
                    <w:rPr>
                      <w:rFonts w:hint="eastAsia"/>
                      <w:color w:val="auto"/>
                      <w:sz w:val="21"/>
                      <w:szCs w:val="21"/>
                    </w:rPr>
                    <w:t xml:space="preserve"> </w:t>
                  </w:r>
                  <w:r>
                    <w:rPr>
                      <w:color w:val="auto"/>
                      <w:sz w:val="21"/>
                      <w:szCs w:val="21"/>
                    </w:rPr>
                    <w:t>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 xml:space="preserve">10 mM </w:t>
                  </w:r>
                  <w:r>
                    <w:rPr>
                      <w:color w:val="auto"/>
                      <w:sz w:val="21"/>
                      <w:szCs w:val="21"/>
                    </w:rPr>
                    <w:t>dNTP</w:t>
                  </w:r>
                  <w:r>
                    <w:rPr>
                      <w:rFonts w:hint="eastAsia"/>
                      <w:color w:val="auto"/>
                      <w:sz w:val="21"/>
                      <w:szCs w:val="21"/>
                    </w:rPr>
                    <w:t xml:space="preserve"> Mix</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color w:val="auto"/>
                      <w:sz w:val="21"/>
                      <w:szCs w:val="21"/>
                    </w:rPr>
                    <w:t>2</w:t>
                  </w:r>
                  <w:r>
                    <w:rPr>
                      <w:rFonts w:hint="eastAsia"/>
                      <w:color w:val="auto"/>
                      <w:sz w:val="21"/>
                      <w:szCs w:val="21"/>
                    </w:rPr>
                    <w:t xml:space="preserve"> </w:t>
                  </w:r>
                  <w:r>
                    <w:rPr>
                      <w:color w:val="auto"/>
                      <w:sz w:val="21"/>
                      <w:szCs w:val="21"/>
                    </w:rPr>
                    <w:t>µL</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4.PCR扩增</w:t>
            </w:r>
          </w:p>
          <w:p>
            <w:pPr>
              <w:adjustRightInd w:val="0"/>
              <w:snapToGrid w:val="0"/>
              <w:spacing w:line="360" w:lineRule="auto"/>
              <w:ind w:firstLine="480" w:firstLineChars="200"/>
              <w:rPr>
                <w:color w:val="auto"/>
              </w:rPr>
            </w:pPr>
            <w:r>
              <w:rPr>
                <w:color w:val="auto"/>
              </w:rPr>
              <w:t>将</w:t>
            </w:r>
            <w:r>
              <w:rPr>
                <w:rFonts w:hint="eastAsia"/>
                <w:color w:val="auto"/>
              </w:rPr>
              <w:t>稀释后</w:t>
            </w:r>
            <w:r>
              <w:rPr>
                <w:color w:val="auto"/>
              </w:rPr>
              <w:t>cDNA</w:t>
            </w:r>
            <w:r>
              <w:rPr>
                <w:rFonts w:hint="eastAsia"/>
                <w:color w:val="auto"/>
              </w:rPr>
              <w:t>（约</w:t>
            </w:r>
            <w:r>
              <w:rPr>
                <w:rFonts w:hint="eastAsia"/>
                <w:color w:val="auto"/>
                <w:lang w:val="en-US" w:eastAsia="zh-CN"/>
              </w:rPr>
              <w:t>1</w:t>
            </w:r>
            <w:r>
              <w:rPr>
                <w:color w:val="auto"/>
              </w:rPr>
              <w:t>0</w:t>
            </w:r>
            <w:r>
              <w:rPr>
                <w:rFonts w:hint="eastAsia"/>
                <w:color w:val="auto"/>
              </w:rPr>
              <w:t>0ng/</w:t>
            </w:r>
            <w:r>
              <w:rPr>
                <w:color w:val="auto"/>
              </w:rPr>
              <w:t>µ</w:t>
            </w:r>
            <w:r>
              <w:rPr>
                <w:rFonts w:hint="eastAsia"/>
                <w:color w:val="auto"/>
              </w:rPr>
              <w:t>l）</w:t>
            </w:r>
            <w:r>
              <w:rPr>
                <w:color w:val="auto"/>
              </w:rPr>
              <w:t>作为PCR</w:t>
            </w:r>
            <w:r>
              <w:rPr>
                <w:rFonts w:hint="eastAsia"/>
                <w:color w:val="auto"/>
              </w:rPr>
              <w:t>反应</w:t>
            </w:r>
            <w:r>
              <w:rPr>
                <w:color w:val="auto"/>
              </w:rPr>
              <w:t>模板。</w:t>
            </w:r>
            <w:r>
              <w:rPr>
                <w:rFonts w:hint="eastAsia"/>
                <w:color w:val="auto"/>
              </w:rPr>
              <w:t>P</w:t>
            </w:r>
            <w:r>
              <w:rPr>
                <w:color w:val="auto"/>
              </w:rPr>
              <w:t>CR反应体系如下：</w:t>
            </w:r>
          </w:p>
          <w:p>
            <w:pPr>
              <w:pStyle w:val="10"/>
              <w:bidi w:val="0"/>
              <w:rPr>
                <w:rFonts w:hint="eastAsia"/>
                <w:color w:val="auto"/>
                <w:lang w:val="en-US" w:eastAsia="zh-CN"/>
              </w:rPr>
            </w:pPr>
            <w:r>
              <w:rPr>
                <w:rFonts w:hint="eastAsia"/>
                <w:color w:val="auto"/>
                <w:lang w:val="en-US" w:eastAsia="zh-CN"/>
              </w:rPr>
              <w:t>表2-15  试剂配制用量表</w:t>
            </w:r>
          </w:p>
          <w:tbl>
            <w:tblPr>
              <w:tblStyle w:val="30"/>
              <w:tblW w:w="8422"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55"/>
              <w:gridCol w:w="31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试剂</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用量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cDNA</w:t>
                  </w:r>
                </w:p>
              </w:tc>
              <w:tc>
                <w:tcPr>
                  <w:tcW w:w="31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lang w:val="en-US" w:eastAsia="zh-CN"/>
                    </w:rPr>
                    <w:t>1</w:t>
                  </w:r>
                  <w:r>
                    <w:rPr>
                      <w:rFonts w:hint="eastAsia"/>
                      <w:color w:val="auto"/>
                    </w:rPr>
                    <w:t>00ng/</w:t>
                  </w:r>
                  <w:r>
                    <w:rPr>
                      <w:rFonts w:hint="eastAsia"/>
                      <w:color w:val="auto"/>
                      <w:lang w:val="en-US" w:eastAsia="zh-CN"/>
                    </w:rPr>
                    <w:t>1</w:t>
                  </w:r>
                  <w:r>
                    <w:rPr>
                      <w:rFonts w:hint="eastAsia"/>
                      <w:color w:val="auto"/>
                    </w:rPr>
                    <w:t xml:space="preserve"> 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引物F(10µM)</w:t>
                  </w:r>
                </w:p>
              </w:tc>
              <w:tc>
                <w:tcPr>
                  <w:tcW w:w="31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0.8 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rPr>
                  </w:pPr>
                  <w:r>
                    <w:rPr>
                      <w:rFonts w:hint="eastAsia"/>
                      <w:color w:val="auto"/>
                    </w:rPr>
                    <w:t>引物R(10µM)</w:t>
                  </w:r>
                </w:p>
              </w:tc>
              <w:tc>
                <w:tcPr>
                  <w:tcW w:w="31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0.8 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SYBR mix</w:t>
                  </w:r>
                </w:p>
              </w:tc>
              <w:tc>
                <w:tcPr>
                  <w:tcW w:w="31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10 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ROX Reference Dye（50×）</w:t>
                  </w:r>
                </w:p>
              </w:tc>
              <w:tc>
                <w:tcPr>
                  <w:tcW w:w="3167"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0.4 µL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25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RNase/DNase-free ddH2O</w:t>
                  </w:r>
                </w:p>
              </w:tc>
              <w:tc>
                <w:tcPr>
                  <w:tcW w:w="31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lang w:val="en-US" w:eastAsia="zh-CN"/>
                    </w:rPr>
                  </w:pPr>
                  <w:r>
                    <w:rPr>
                      <w:rFonts w:hint="eastAsia"/>
                      <w:color w:val="auto"/>
                    </w:rPr>
                    <w:t>Up to 20 µL</w:t>
                  </w:r>
                </w:p>
              </w:tc>
            </w:tr>
          </w:tbl>
          <w:p>
            <w:pPr>
              <w:pStyle w:val="2"/>
              <w:rPr>
                <w:color w:val="auto"/>
              </w:rPr>
            </w:pPr>
          </w:p>
          <w:p>
            <w:pPr>
              <w:adjustRightInd w:val="0"/>
              <w:snapToGrid w:val="0"/>
              <w:spacing w:line="360" w:lineRule="auto"/>
              <w:ind w:firstLine="480" w:firstLineChars="200"/>
              <w:jc w:val="center"/>
              <w:rPr>
                <w:rFonts w:hint="eastAsia"/>
                <w:color w:val="auto"/>
                <w:lang w:eastAsia="zh-CN"/>
              </w:rPr>
            </w:pPr>
            <w:r>
              <w:rPr>
                <w:rFonts w:hint="eastAsia"/>
                <w:color w:val="auto"/>
                <w:lang w:eastAsia="zh-CN"/>
              </w:rPr>
              <w:drawing>
                <wp:inline distT="0" distB="0" distL="114300" distR="114300">
                  <wp:extent cx="2219960" cy="2385695"/>
                  <wp:effectExtent l="0" t="0" r="8890" b="14605"/>
                  <wp:docPr id="7" name="图片 7" descr="1670486125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0486125964"/>
                          <pic:cNvPicPr>
                            <a:picLocks noChangeAspect="1"/>
                          </pic:cNvPicPr>
                        </pic:nvPicPr>
                        <pic:blipFill>
                          <a:blip r:embed="rId15"/>
                          <a:stretch>
                            <a:fillRect/>
                          </a:stretch>
                        </pic:blipFill>
                        <pic:spPr>
                          <a:xfrm>
                            <a:off x="0" y="0"/>
                            <a:ext cx="2219960" cy="23856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color w:val="auto"/>
                <w:lang w:val="en-US" w:eastAsia="zh-CN"/>
              </w:rPr>
            </w:pPr>
            <w:r>
              <w:rPr>
                <w:rFonts w:hint="eastAsia"/>
                <w:color w:val="auto"/>
                <w:lang w:val="en-US" w:eastAsia="zh-CN"/>
              </w:rPr>
              <w:t>5.数据分析</w:t>
            </w:r>
          </w:p>
          <w:p>
            <w:pPr>
              <w:adjustRightInd w:val="0"/>
              <w:snapToGrid w:val="0"/>
              <w:spacing w:line="360" w:lineRule="auto"/>
              <w:ind w:firstLine="480" w:firstLineChars="200"/>
              <w:rPr>
                <w:color w:val="auto"/>
              </w:rPr>
            </w:pPr>
            <w:r>
              <w:rPr>
                <w:color w:val="auto"/>
              </w:rPr>
              <w:t xml:space="preserve">使用 </w:t>
            </w:r>
            <w:r>
              <w:rPr>
                <w:rFonts w:hint="eastAsia"/>
                <w:color w:val="auto"/>
              </w:rPr>
              <w:t>Step</w:t>
            </w:r>
            <w:r>
              <w:rPr>
                <w:color w:val="auto"/>
              </w:rPr>
              <w:t>o</w:t>
            </w:r>
            <w:r>
              <w:rPr>
                <w:rFonts w:hint="eastAsia"/>
                <w:color w:val="auto"/>
              </w:rPr>
              <w:t>ne软件读取各P</w:t>
            </w:r>
            <w:r>
              <w:rPr>
                <w:color w:val="auto"/>
              </w:rPr>
              <w:t>CR</w:t>
            </w:r>
            <w:r>
              <w:rPr>
                <w:rFonts w:hint="eastAsia"/>
                <w:color w:val="auto"/>
              </w:rPr>
              <w:t>反应</w:t>
            </w:r>
            <w:r>
              <w:rPr>
                <w:color w:val="auto"/>
              </w:rPr>
              <w:t>Ct值，</w:t>
            </w:r>
            <w:r>
              <w:rPr>
                <w:rFonts w:hint="eastAsia"/>
                <w:color w:val="auto"/>
              </w:rPr>
              <w:t>使用目的基因的Ct值减去内参基因的Ct值，得到</w:t>
            </w:r>
            <w:r>
              <w:rPr>
                <w:color w:val="auto"/>
              </w:rPr>
              <w:t>Δ</w:t>
            </w:r>
            <w:r>
              <w:rPr>
                <w:rFonts w:hint="eastAsia"/>
                <w:color w:val="auto"/>
              </w:rPr>
              <w:t xml:space="preserve"> Ct；用实验组</w:t>
            </w:r>
            <w:r>
              <w:rPr>
                <w:color w:val="auto"/>
              </w:rPr>
              <w:t>Δ</w:t>
            </w:r>
            <w:r>
              <w:rPr>
                <w:rFonts w:hint="eastAsia"/>
                <w:color w:val="auto"/>
              </w:rPr>
              <w:t xml:space="preserve"> Ct减去对照组的</w:t>
            </w:r>
            <w:r>
              <w:rPr>
                <w:color w:val="auto"/>
              </w:rPr>
              <w:t>Δ</w:t>
            </w:r>
            <w:r>
              <w:rPr>
                <w:rFonts w:hint="eastAsia"/>
                <w:color w:val="auto"/>
              </w:rPr>
              <w:t xml:space="preserve"> Ct均值，得到 </w:t>
            </w:r>
            <w:r>
              <w:rPr>
                <w:color w:val="auto"/>
              </w:rPr>
              <w:t>ΔΔC</w:t>
            </w:r>
            <w:r>
              <w:rPr>
                <w:rFonts w:hint="eastAsia"/>
                <w:color w:val="auto"/>
              </w:rPr>
              <w:t xml:space="preserve">t 。使用 </w:t>
            </w:r>
            <w:r>
              <w:rPr>
                <w:color w:val="auto"/>
              </w:rPr>
              <w:t>2-ΔΔC</w:t>
            </w:r>
            <w:r>
              <w:rPr>
                <w:rFonts w:hint="eastAsia"/>
                <w:color w:val="auto"/>
              </w:rPr>
              <w:t>t计算相对于对照组，实验组目的基因的表达变化。</w:t>
            </w:r>
          </w:p>
          <w:p>
            <w:pPr>
              <w:pStyle w:val="4"/>
              <w:bidi w:val="0"/>
              <w:rPr>
                <w:rFonts w:hint="eastAsia"/>
                <w:color w:val="auto"/>
              </w:rPr>
            </w:pPr>
            <w:r>
              <w:rPr>
                <w:rFonts w:hint="eastAsia"/>
                <w:color w:val="auto"/>
                <w:lang w:val="en-US" w:eastAsia="zh-CN"/>
              </w:rPr>
              <w:t>2.4 Western Blot检测</w:t>
            </w:r>
            <w:r>
              <w:rPr>
                <w:rFonts w:hint="eastAsia"/>
                <w:color w:val="auto"/>
              </w:rPr>
              <w:t>流程</w:t>
            </w:r>
          </w:p>
          <w:p>
            <w:pPr>
              <w:rPr>
                <w:rFonts w:hint="eastAsia"/>
                <w:color w:val="auto"/>
                <w:lang w:eastAsia="zh-CN"/>
              </w:rPr>
            </w:pPr>
            <w:r>
              <w:rPr>
                <w:rFonts w:hint="eastAsia"/>
                <w:color w:val="auto"/>
                <w:lang w:eastAsia="zh-CN"/>
              </w:rPr>
              <w:drawing>
                <wp:inline distT="0" distB="0" distL="114300" distR="114300">
                  <wp:extent cx="5346065" cy="2426335"/>
                  <wp:effectExtent l="0" t="0" r="0" b="0"/>
                  <wp:docPr id="8" name="ECB019B1-382A-4266-B25C-5B523AA43C14-5" descr="C:/Users/Administrator.USER-20191121OT/AppData/Local/Temp/wps.SOsvvM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B019B1-382A-4266-B25C-5B523AA43C14-5" descr="C:/Users/Administrator.USER-20191121OT/AppData/Local/Temp/wps.SOsvvMwps"/>
                          <pic:cNvPicPr>
                            <a:picLocks noChangeAspect="1"/>
                          </pic:cNvPicPr>
                        </pic:nvPicPr>
                        <pic:blipFill>
                          <a:blip r:embed="rId16"/>
                          <a:stretch>
                            <a:fillRect/>
                          </a:stretch>
                        </pic:blipFill>
                        <pic:spPr>
                          <a:xfrm>
                            <a:off x="0" y="0"/>
                            <a:ext cx="5346065" cy="2426335"/>
                          </a:xfrm>
                          <a:prstGeom prst="rect">
                            <a:avLst/>
                          </a:prstGeom>
                        </pic:spPr>
                      </pic:pic>
                    </a:graphicData>
                  </a:graphic>
                </wp:inline>
              </w:drawing>
            </w:r>
          </w:p>
          <w:p>
            <w:pPr>
              <w:pStyle w:val="10"/>
              <w:bidi w:val="0"/>
              <w:rPr>
                <w:rFonts w:hint="eastAsia"/>
                <w:color w:val="auto"/>
                <w:lang w:eastAsia="zh-CN"/>
              </w:rPr>
            </w:pPr>
            <w:r>
              <w:rPr>
                <w:rFonts w:hint="eastAsia"/>
                <w:color w:val="auto"/>
                <w:lang w:val="en-US" w:eastAsia="zh-CN"/>
              </w:rPr>
              <w:t>图2-5  实验过程及产排污环节示意图</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1.蛋白的提取</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称取组织样本约0.1g，加入约1mL RIPA裂解液使用组织研磨仪进行匀浆；将研磨完成后的组织匀浆，4℃裂解30min，然后4000rpm离心30min，取上清；</w:t>
            </w:r>
          </w:p>
          <w:p>
            <w:pPr>
              <w:adjustRightInd w:val="0"/>
              <w:snapToGrid w:val="0"/>
              <w:spacing w:line="360" w:lineRule="auto"/>
              <w:rPr>
                <w:rFonts w:hint="default"/>
                <w:color w:val="auto"/>
                <w:lang w:val="en-US" w:eastAsia="zh-CN"/>
              </w:rPr>
            </w:pPr>
            <w:r>
              <w:rPr>
                <w:rFonts w:hint="eastAsia"/>
                <w:color w:val="auto"/>
                <w:lang w:val="en-US" w:eastAsia="zh-CN"/>
              </w:rPr>
              <w:t>将取出的上清进行BCA蛋白定量后，-80℃超低温冰箱长期保存。</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2. BCA蛋白定量</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使用BCA蛋白定量试剂盒通过PBS、纯水稀释得到不同浓度的标准品，说明书进行操作。取标准品及待测品各25μL到96孔板内，再加入20μLBCA工作液盖上96孔板盖子，放37℃摇床培育30分钟，使用酶标仪测定光吸收波长。绘制曲线，根据计算得到待测样品的蛋白浓度。</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3.蛋白样本的变性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eastAsia"/>
                <w:color w:val="auto"/>
                <w:lang w:val="en-US" w:eastAsia="zh-CN"/>
              </w:rPr>
              <w:t>将已定量的总蛋白从冰箱中取出，放到金属冰盒上，金属冰盒提前进冰箱降温，等待样本融化；将融化后的样本，根据BCA蛋白定量结果，取适量样本加入5</w:t>
            </w:r>
            <w:r>
              <w:rPr>
                <w:rFonts w:hint="default"/>
                <w:color w:val="auto"/>
                <w:lang w:val="en-US" w:eastAsia="zh-CN"/>
              </w:rPr>
              <w:t>×</w:t>
            </w:r>
            <w:r>
              <w:rPr>
                <w:rFonts w:hint="eastAsia"/>
                <w:color w:val="auto"/>
                <w:lang w:val="en-US" w:eastAsia="zh-CN"/>
              </w:rPr>
              <w:t>蛋白上样缓冲液沸水中变性10min，短暂离心后准备上样。</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4.电泳</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根据目的蛋白大小，使用电泳试剂盒内配制好的分离胶、浓缩胶、电泳缓冲液进行操作，然后将PAGE胶放入垂直水平套装中的电泳槽，准备进行电泳；样品上样量为25uL，Maker上样量为5uL，使用80V电泳直至条带跑出浓缩胶后，升高为120V，直至Loading刚刚跑出胶停止电泳。</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5.转膜</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将电泳完成后的胶取出，切去浓缩胶，将分离胶放入配制好的1</w:t>
            </w:r>
            <w:r>
              <w:rPr>
                <w:rFonts w:hint="default"/>
                <w:color w:val="auto"/>
                <w:lang w:val="en-US" w:eastAsia="zh-CN"/>
              </w:rPr>
              <w:t>×</w:t>
            </w:r>
            <w:r>
              <w:rPr>
                <w:rFonts w:hint="eastAsia"/>
                <w:color w:val="auto"/>
                <w:lang w:val="en-US" w:eastAsia="zh-CN"/>
              </w:rPr>
              <w:t>转膜液中平衡20min；裁剪适当大小的PVDF膜和薄、厚滤纸，使用无水甲醇激活PVDF膜，然后将PVDF膜、薄厚滤纸放入转膜液中平衡20min；按照负极-厚滤纸-薄滤纸-胶-PVDF膜-薄滤纸-厚滤纸-正极的顺序进行放置，放置过程中注意不要产生气泡；</w:t>
            </w:r>
          </w:p>
          <w:p>
            <w:pPr>
              <w:adjustRightInd w:val="0"/>
              <w:snapToGrid w:val="0"/>
              <w:spacing w:line="360" w:lineRule="auto"/>
              <w:rPr>
                <w:rFonts w:hint="default"/>
                <w:color w:val="auto"/>
                <w:lang w:val="en-US" w:eastAsia="zh-CN"/>
              </w:rPr>
            </w:pPr>
            <w:r>
              <w:rPr>
                <w:rFonts w:hint="eastAsia"/>
                <w:color w:val="auto"/>
                <w:lang w:val="en-US" w:eastAsia="zh-CN"/>
              </w:rPr>
              <w:t>使用湿转仪200mA恒流转膜1h。无水甲醇过程中产生G2实验废气，转模结束湿转仪中剩余的无水甲醇作为S4实验废液。</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6.封闭和抗体孵育</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lang w:val="en-US" w:eastAsia="zh-CN"/>
              </w:rPr>
            </w:pPr>
            <w:r>
              <w:rPr>
                <w:rFonts w:hint="eastAsia"/>
                <w:color w:val="auto"/>
                <w:lang w:val="en-US" w:eastAsia="zh-CN"/>
              </w:rPr>
              <w:t>使用1</w:t>
            </w:r>
            <w:r>
              <w:rPr>
                <w:rFonts w:hint="default"/>
                <w:color w:val="auto"/>
                <w:lang w:val="en-US" w:eastAsia="zh-CN"/>
              </w:rPr>
              <w:t>×</w:t>
            </w:r>
            <w:r>
              <w:rPr>
                <w:rFonts w:hint="eastAsia"/>
                <w:color w:val="auto"/>
                <w:lang w:val="en-US" w:eastAsia="zh-CN"/>
              </w:rPr>
              <w:t>TBST配制5%脱脂奶粉溶液；根据目的蛋白大小，正确裁剪转膜完成后的PVDF膜；使用配制好的5%脱脂奶粉进行封闭；按照抗体说明书，加入适量稀释的一抗，4℃摇床孵育过夜，然后使用1</w:t>
            </w:r>
            <w:r>
              <w:rPr>
                <w:rFonts w:hint="default"/>
                <w:color w:val="auto"/>
                <w:lang w:val="en-US" w:eastAsia="zh-CN"/>
              </w:rPr>
              <w:t>×</w:t>
            </w:r>
            <w:r>
              <w:rPr>
                <w:rFonts w:hint="eastAsia"/>
                <w:color w:val="auto"/>
                <w:lang w:val="en-US" w:eastAsia="zh-CN"/>
              </w:rPr>
              <w:t>TBST清洗3次，每次10min；将清洗后的膜，放入稀释好的二抗中，室温摇床孵育1h，然后使用1</w:t>
            </w:r>
            <w:r>
              <w:rPr>
                <w:rFonts w:hint="default"/>
                <w:color w:val="auto"/>
                <w:lang w:val="en-US" w:eastAsia="zh-CN"/>
              </w:rPr>
              <w:t>×</w:t>
            </w:r>
            <w:r>
              <w:rPr>
                <w:rFonts w:hint="eastAsia"/>
                <w:color w:val="auto"/>
                <w:lang w:val="en-US" w:eastAsia="zh-CN"/>
              </w:rPr>
              <w:t>TBST清洗3次，每次10min。</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7.ECL显色</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按照ECL显色试剂盒说明书要求，配制适量ECL工作液；沥干PVDF膜上的洗膜液，将配制好的ECL工作液，均匀滴在膜上，室温摇床孵育5min，然后吸去多余显色液，放入全自动化学发光图像分析系统内成像，使用灰度值软件对结果进行分析。</w:t>
            </w:r>
          </w:p>
          <w:p>
            <w:pPr>
              <w:pStyle w:val="4"/>
              <w:bidi w:val="0"/>
              <w:rPr>
                <w:rFonts w:hint="eastAsia"/>
                <w:color w:val="auto"/>
              </w:rPr>
            </w:pPr>
            <w:r>
              <w:rPr>
                <w:rFonts w:hint="eastAsia"/>
                <w:color w:val="auto"/>
                <w:lang w:val="en-US" w:eastAsia="zh-CN"/>
              </w:rPr>
              <w:t>2.5细胞滴片免疫组化实验</w:t>
            </w:r>
            <w:r>
              <w:rPr>
                <w:rFonts w:hint="eastAsia"/>
                <w:color w:val="auto"/>
              </w:rPr>
              <w:t>流程</w:t>
            </w:r>
          </w:p>
          <w:p>
            <w:pPr>
              <w:rPr>
                <w:rFonts w:hint="eastAsia"/>
                <w:color w:val="auto"/>
                <w:lang w:val="en-US" w:eastAsia="zh-CN"/>
              </w:rPr>
            </w:pPr>
            <w:r>
              <w:rPr>
                <w:rFonts w:hint="eastAsia"/>
                <w:color w:val="auto"/>
                <w:lang w:val="en-US" w:eastAsia="zh-CN"/>
              </w:rPr>
              <w:drawing>
                <wp:inline distT="0" distB="0" distL="114300" distR="114300">
                  <wp:extent cx="4949825" cy="2458085"/>
                  <wp:effectExtent l="0" t="0" r="0" b="0"/>
                  <wp:docPr id="10" name="ECB019B1-382A-4266-B25C-5B523AA43C14-6" descr="C:/Users/Administrator.USER-20191121OT/AppData/Local/Temp/wps.CCgJz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CB019B1-382A-4266-B25C-5B523AA43C14-6" descr="C:/Users/Administrator.USER-20191121OT/AppData/Local/Temp/wps.CCgJzgwps"/>
                          <pic:cNvPicPr>
                            <a:picLocks noChangeAspect="1"/>
                          </pic:cNvPicPr>
                        </pic:nvPicPr>
                        <pic:blipFill>
                          <a:blip r:embed="rId17"/>
                          <a:stretch>
                            <a:fillRect/>
                          </a:stretch>
                        </pic:blipFill>
                        <pic:spPr>
                          <a:xfrm>
                            <a:off x="0" y="0"/>
                            <a:ext cx="4949825" cy="2458085"/>
                          </a:xfrm>
                          <a:prstGeom prst="rect">
                            <a:avLst/>
                          </a:prstGeom>
                        </pic:spPr>
                      </pic:pic>
                    </a:graphicData>
                  </a:graphic>
                </wp:inline>
              </w:drawing>
            </w:r>
          </w:p>
          <w:p>
            <w:pPr>
              <w:pStyle w:val="10"/>
              <w:bidi w:val="0"/>
              <w:rPr>
                <w:rFonts w:hint="eastAsia"/>
                <w:color w:val="auto"/>
                <w:lang w:val="en-US" w:eastAsia="zh-CN"/>
              </w:rPr>
            </w:pPr>
            <w:r>
              <w:rPr>
                <w:rFonts w:hint="eastAsia"/>
                <w:color w:val="auto"/>
                <w:lang w:val="en-US" w:eastAsia="zh-CN"/>
              </w:rPr>
              <w:t>图2-6  实验过程及产排污环节示意图</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1.石蜡切片脱蜡至水：依次将切片放入二甲苯Ⅰ15min-二甲苯Ⅱ15min-无水乙醇Ⅰ5min-无水乙醇Ⅱ5min-85%酒精5min-75%酒精5min-蒸馏水洗。此过程位于病理实验室内通风橱的染色机进行自动漂洗。</w:t>
            </w:r>
            <w:r>
              <w:rPr>
                <w:rFonts w:hint="eastAsia"/>
                <w:b w:val="0"/>
                <w:bCs/>
                <w:color w:val="auto"/>
                <w:lang w:val="en-US" w:eastAsia="zh-CN"/>
              </w:rPr>
              <w:t>有机溶剂配制、实验过程中产生G2实验废气，由通风橱收集，经活性炭处理后，通过1根20m高排气筒P1排放。乙醇溶液配制过程使用实验器具清洗，产生W2第三次实验清洗废水、</w:t>
            </w:r>
            <w:r>
              <w:rPr>
                <w:rFonts w:hint="eastAsia"/>
                <w:color w:val="auto"/>
                <w:lang w:val="en-US" w:eastAsia="zh-CN"/>
              </w:rPr>
              <w:t>S4实验废液</w:t>
            </w:r>
            <w:r>
              <w:rPr>
                <w:rFonts w:hint="eastAsia"/>
                <w:b w:val="0"/>
                <w:bCs/>
                <w:color w:val="auto"/>
                <w:lang w:val="en-US" w:eastAsia="zh-CN"/>
              </w:rPr>
              <w:t>。</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2.抗原修复：组织切片置于盛满EDTA抗原修复缓冲液（PH8.0）的修复盒中于微波炉内进行抗原修复。中火8min停火8min转中低火7min，此过程中应防止缓冲液过度蒸发，切勿干片。自然冷却后将玻片置于PBS（pH7.4）中在脱色摇床上晃动洗涤3次，每次5min。(修复液和修复条件根据组织来确定）。</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3.画圈、通透：切片稍甩干后在圈内滴加Triton X-100通透液，通透30min。后将玻片置于PBS缓冲液（pH7.4）中在脱色摇床上晃动洗涤3次，每次5min。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4.血清封闭：切片稍甩干，滴加BSA</w:t>
            </w:r>
            <w:r>
              <w:rPr>
                <w:rFonts w:hint="eastAsia"/>
                <w:color w:val="auto"/>
                <w:lang w:eastAsia="zh-CN"/>
              </w:rPr>
              <w:t>牛血清白蛋白</w:t>
            </w:r>
            <w:r>
              <w:rPr>
                <w:rFonts w:hint="eastAsia"/>
                <w:color w:val="auto"/>
                <w:lang w:val="en-US" w:eastAsia="zh-CN"/>
              </w:rPr>
              <w:t>，封闭30min。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5.加第一种一抗：轻轻甩掉封闭液，在切片上滴加PBS缓冲液按一定比例配好的一抗，切片平放于湿盒内4℃孵育过夜。（湿盒内加少量水防止抗体蒸发）。</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6.加对应的FITC标记的二抗：玻片置于PBS缓冲液（pH7.4）中在脱色摇床上晃动洗涤3次，每次5min。切片稍甩干后在圈内滴加与一抗相应种属的FITC标记的二抗覆盖组织，室温避光摇床孵育50min。 孵育完后，玻片置于PBS缓冲液（pH7.4）中在脱色摇床上晃动洗涤3次，每次5min。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7.微波处理：组织切片置于盛满EDTA抗原修复缓冲液（pH8.0）的修复盒中于微波炉内加热处理，中火8min停火8min转中低火7min，去掉已经结合到组织上的一抗二抗，此过程中应防止缓冲液过度蒸发，切勿干片。</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8.加第二种一抗：在切片上滴加PBS缓冲液按一定比例配好的一抗，切片平放于湿盒内4℃孵育过夜。（湿盒内加少量水防止抗体蒸发）。</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9.加对应的CY3标记的二抗：玻片置于PBS缓冲液（pH7.4）中在脱色摇床上晃动洗涤3次，每次5min。切片稍甩干后在圈内滴加与一抗相应种属的HRP标记的二抗覆盖组织，避光室温摇床孵育50min。孵育完后，玻片置于PBS缓冲液（pH7.4）中在脱色摇床上晃动洗涤3次，每次5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10.微波处理：组织切片置于盛满EDTA抗原修复缓冲液（pH8.0）的修复盒中于微波炉内加热处理，中火8min停火8min转中低火7min，去掉已经结合到组织上的一抗二抗，此过程中应防止缓冲液过度蒸发，切勿干片。</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11.加第三种一抗：在切片上滴加PBS缓冲液按一定比例配好的一抗，切片平放于湿盒内4℃孵育过夜。（湿盒内加少量水防止抗体蒸发）。</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12.加Alexa Fluor 594标记的荧光二抗：玻片置于PBS缓冲液（pH7.4）中在脱色摇床上晃动洗涤3次，每次5min。切片稍甩干后在圈内滴加与一抗相应种属的Alexa Fluor 594标记荧光二抗覆盖组织，避光室温孵育50min。孵育完后，玻片置于PBS缓冲液（pH7.4）中在脱色摇床上晃动洗涤3次，每次5min。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13.DAPI复染细胞核：切片稍甩干后在圈内滴加DAPI染液，避光室温孵育10min。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14.淬灭组织自发荧光：玻片置于PBS缓冲液（pH7.4）中在脱色摇床上晃动洗涤3次，每次5min。在圈内加入自发荧光淬灭剂5min，流水冲洗10min。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15.封片：玻片置于PBS缓冲液（pH7.4）中在脱色摇床上晃动洗涤3次，每次5min。切片稍甩干后用抗荧光淬灭封片剂封片。</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16.采集图像：切片置于扫片仪下采集图像，DAPI紫外激发波长330-380nm，发射波长420nm，发蓝光；FITC激发波长465-495nm，发射波长515-555 nm，发绿光；CY3激发波长510-560，发射波长590nm，发红光。Alexa Fluor 594激发波长 590nm，发射波长617nm，发橙黄色光。</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17.结果判读：DAPI染出来的细胞核在紫外的激发下为蓝色，阳性表达为相应荧光素标记的红光，橙黄光，绿光 。</w:t>
            </w:r>
          </w:p>
          <w:p>
            <w:pPr>
              <w:pStyle w:val="4"/>
              <w:bidi w:val="0"/>
              <w:rPr>
                <w:rFonts w:hint="eastAsia"/>
                <w:color w:val="auto"/>
              </w:rPr>
            </w:pPr>
            <w:r>
              <w:rPr>
                <w:rFonts w:hint="eastAsia"/>
                <w:color w:val="auto"/>
                <w:lang w:val="en-US" w:eastAsia="zh-CN"/>
              </w:rPr>
              <w:t>2.6 石蜡切片免疫组化实验</w:t>
            </w:r>
            <w:r>
              <w:rPr>
                <w:rFonts w:hint="eastAsia"/>
                <w:color w:val="auto"/>
              </w:rPr>
              <w:t>流程</w:t>
            </w:r>
          </w:p>
          <w:p>
            <w:pPr>
              <w:rPr>
                <w:rFonts w:hint="eastAsia"/>
                <w:color w:val="auto"/>
                <w:lang w:val="en-US" w:eastAsia="zh-CN"/>
              </w:rPr>
            </w:pPr>
            <w:r>
              <w:rPr>
                <w:rFonts w:hint="eastAsia"/>
                <w:color w:val="auto"/>
                <w:lang w:val="en-US" w:eastAsia="zh-CN"/>
              </w:rPr>
              <w:drawing>
                <wp:inline distT="0" distB="0" distL="114300" distR="114300">
                  <wp:extent cx="5340350" cy="2559050"/>
                  <wp:effectExtent l="0" t="0" r="0" b="0"/>
                  <wp:docPr id="12" name="ECB019B1-382A-4266-B25C-5B523AA43C14-7" descr="C:/Users/Administrator.USER-20191121OT/AppData/Local/Temp/wps.xCIQN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B019B1-382A-4266-B25C-5B523AA43C14-7" descr="C:/Users/Administrator.USER-20191121OT/AppData/Local/Temp/wps.xCIQNbwps"/>
                          <pic:cNvPicPr>
                            <a:picLocks noChangeAspect="1"/>
                          </pic:cNvPicPr>
                        </pic:nvPicPr>
                        <pic:blipFill>
                          <a:blip r:embed="rId18"/>
                          <a:stretch>
                            <a:fillRect/>
                          </a:stretch>
                        </pic:blipFill>
                        <pic:spPr>
                          <a:xfrm>
                            <a:off x="0" y="0"/>
                            <a:ext cx="5340350" cy="2559050"/>
                          </a:xfrm>
                          <a:prstGeom prst="rect">
                            <a:avLst/>
                          </a:prstGeom>
                        </pic:spPr>
                      </pic:pic>
                    </a:graphicData>
                  </a:graphic>
                </wp:inline>
              </w:drawing>
            </w:r>
          </w:p>
          <w:p>
            <w:pPr>
              <w:pStyle w:val="10"/>
              <w:bidi w:val="0"/>
              <w:rPr>
                <w:rFonts w:hint="eastAsia"/>
                <w:color w:val="auto"/>
                <w:lang w:val="en-US" w:eastAsia="zh-CN"/>
              </w:rPr>
            </w:pPr>
            <w:r>
              <w:rPr>
                <w:rFonts w:hint="eastAsia"/>
                <w:color w:val="auto"/>
                <w:lang w:val="en-US" w:eastAsia="zh-CN"/>
              </w:rPr>
              <w:t>图2-7  实验过程及产排污环节示意图</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1.石蜡切片脱蜡至水：依次将石蜡切片放入二甲苯Ⅰ20min-二甲苯Ⅱ20min-二甲苯III 15min-无水乙醇Ⅰ5min-无水乙醇Ⅱ5min-85%酒精5min-75%酒精5min-蒸馏水洗。</w:t>
            </w:r>
            <w:r>
              <w:rPr>
                <w:rFonts w:hint="eastAsia"/>
                <w:b w:val="0"/>
                <w:bCs/>
                <w:color w:val="auto"/>
                <w:lang w:val="en-US" w:eastAsia="zh-CN"/>
              </w:rPr>
              <w:t>有机溶剂配制、实验过程中产生G2实验废气，由通风橱收集，经活性炭处理后，通过1根20m高排气筒P1排放。乙醇溶液配制过程使用实验器具清洗，产生W2第三次实验清洗废水</w:t>
            </w:r>
            <w:r>
              <w:rPr>
                <w:rFonts w:hint="eastAsia"/>
                <w:color w:val="auto"/>
                <w:lang w:val="en-US" w:eastAsia="zh-CN"/>
              </w:rPr>
              <w:t>、S4实验废液</w:t>
            </w:r>
            <w:r>
              <w:rPr>
                <w:rFonts w:hint="eastAsia"/>
                <w:b w:val="0"/>
                <w:bCs/>
                <w:color w:val="auto"/>
                <w:lang w:val="en-US" w:eastAsia="zh-CN"/>
              </w:rPr>
              <w:t>。</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2.抗原修复：将盛有修复液和玻片的烧杯置于微波炉中，高火5min，停火3min，中火5min，自然冷却至室温。修复液和修复条件根据抗体决定。</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3.阻断内源性过氧化物酶：</w:t>
            </w:r>
            <w:r>
              <w:rPr>
                <w:rFonts w:hint="eastAsia"/>
                <w:color w:val="auto"/>
                <w:lang w:val="zh-CN" w:eastAsia="zh-CN"/>
              </w:rPr>
              <w:t>切片放入3%</w:t>
            </w:r>
            <w:r>
              <w:rPr>
                <w:rFonts w:hint="eastAsia"/>
                <w:color w:val="auto"/>
                <w:lang w:val="en-US" w:eastAsia="zh-CN"/>
              </w:rPr>
              <w:t>双氧水</w:t>
            </w:r>
            <w:r>
              <w:rPr>
                <w:rFonts w:hint="eastAsia"/>
                <w:color w:val="auto"/>
                <w:lang w:val="zh-CN" w:eastAsia="zh-CN"/>
              </w:rPr>
              <w:t>溶液，室温避光孵育25</w:t>
            </w:r>
            <w:r>
              <w:rPr>
                <w:rFonts w:hint="eastAsia"/>
                <w:color w:val="auto"/>
                <w:lang w:val="en-US" w:eastAsia="zh-CN"/>
              </w:rPr>
              <w:t xml:space="preserve"> min</w:t>
            </w:r>
            <w:r>
              <w:rPr>
                <w:rFonts w:hint="eastAsia"/>
                <w:color w:val="auto"/>
                <w:lang w:val="zh-CN" w:eastAsia="zh-CN"/>
              </w:rPr>
              <w:t>，</w:t>
            </w:r>
            <w:r>
              <w:rPr>
                <w:rFonts w:hint="eastAsia"/>
                <w:color w:val="auto"/>
                <w:lang w:val="en-US" w:eastAsia="zh-CN"/>
              </w:rPr>
              <w:t>将玻片置于PBS缓冲液</w:t>
            </w:r>
            <w:r>
              <w:rPr>
                <w:rFonts w:hint="eastAsia"/>
                <w:color w:val="auto"/>
                <w:lang w:val="zh-CN" w:eastAsia="zh-CN"/>
              </w:rPr>
              <w:t>（PH7.4）中晃动洗涤浸泡</w:t>
            </w:r>
            <w:r>
              <w:rPr>
                <w:rFonts w:hint="eastAsia"/>
                <w:color w:val="auto"/>
                <w:lang w:val="en-US" w:eastAsia="zh-CN"/>
              </w:rPr>
              <w:t>3次，每次5min。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 xml:space="preserve">4.血清封闭：切片稍甩干后用组化笔在组织周围画圈（防止抗体流走），在组化圈内滴加山羊血清均匀覆盖组织，室温封闭30min。 </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5.加一抗：轻轻甩掉封闭液，在切片上滴加PBS缓冲液按一定比例配好的一抗，切片平放于湿盒内4℃孵育过夜。（湿盒内加少量水防止抗体蒸发）</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6.加二抗：切片置于PBS缓冲液</w:t>
            </w:r>
            <w:r>
              <w:rPr>
                <w:rFonts w:hint="eastAsia"/>
                <w:color w:val="auto"/>
                <w:lang w:val="zh-CN" w:eastAsia="zh-CN"/>
              </w:rPr>
              <w:t>（PH7.4）中晃动洗涤浸泡</w:t>
            </w:r>
            <w:r>
              <w:rPr>
                <w:rFonts w:hint="eastAsia"/>
                <w:color w:val="auto"/>
                <w:lang w:val="en-US" w:eastAsia="zh-CN"/>
              </w:rPr>
              <w:t>3次，每次5min。切片稍甩干后在圈内滴加与一抗相应种属的二抗（HRP标记）覆盖组织，室温孵育50min。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7.DAB显色：切片置于PBS缓冲液</w:t>
            </w:r>
            <w:r>
              <w:rPr>
                <w:rFonts w:hint="eastAsia"/>
                <w:color w:val="auto"/>
                <w:lang w:val="zh-CN" w:eastAsia="zh-CN"/>
              </w:rPr>
              <w:t>（PH7.4）中晃动洗涤浸泡</w:t>
            </w:r>
            <w:r>
              <w:rPr>
                <w:rFonts w:hint="eastAsia"/>
                <w:color w:val="auto"/>
                <w:lang w:val="en-US" w:eastAsia="zh-CN"/>
              </w:rPr>
              <w:t>3次，每次5min。切片稍甩干后在圈内滴加新鲜配制的DAB显色液，显微镜下控制显色时间，阳性为棕黄色，自来水冲洗切片终止显色。</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8.复染细胞核：苏木素复染5~10min左右，自来水漂洗，盐酸酒精分化数秒，</w:t>
            </w:r>
            <w:r>
              <w:rPr>
                <w:rFonts w:hint="eastAsia"/>
                <w:color w:val="auto"/>
                <w:lang w:val="zh-CN" w:eastAsia="zh-CN"/>
              </w:rPr>
              <w:t>自来水漂洗，然后</w:t>
            </w:r>
            <w:r>
              <w:rPr>
                <w:rFonts w:hint="eastAsia"/>
                <w:color w:val="auto"/>
                <w:lang w:val="en-US" w:eastAsia="zh-CN"/>
              </w:rPr>
              <w:t>1%</w:t>
            </w:r>
            <w:r>
              <w:rPr>
                <w:rFonts w:hint="eastAsia"/>
                <w:color w:val="auto"/>
                <w:lang w:val="zh-CN" w:eastAsia="zh-CN"/>
              </w:rPr>
              <w:t>氨水水溶液返蓝</w:t>
            </w:r>
            <w:r>
              <w:rPr>
                <w:rFonts w:hint="eastAsia"/>
                <w:color w:val="auto"/>
                <w:lang w:val="en-US" w:eastAsia="zh-CN"/>
              </w:rPr>
              <w:t>1min，自来水漂洗</w:t>
            </w:r>
            <w:r>
              <w:rPr>
                <w:rFonts w:hint="eastAsia"/>
                <w:color w:val="auto"/>
                <w:lang w:val="zh-CN" w:eastAsia="zh-CN"/>
              </w:rPr>
              <w:t>。</w:t>
            </w:r>
            <w:r>
              <w:rPr>
                <w:rFonts w:hint="eastAsia"/>
                <w:color w:val="auto"/>
                <w:lang w:val="en-US" w:eastAsia="zh-CN"/>
              </w:rPr>
              <w:t>盐酸酒精分化液配置使用无水乙醇、33%盐酸，按100：1的比例配置，配置过程在病理实验室通风橱内进行。分化液配制过程盐酸、无水乙醇挥发产生G2实验废气，配制过程使用实验器具，实验器具清洗产生W1</w:t>
            </w:r>
            <w:r>
              <w:rPr>
                <w:rFonts w:hint="eastAsia"/>
                <w:b w:val="0"/>
                <w:bCs/>
                <w:color w:val="auto"/>
                <w:lang w:val="en-US" w:eastAsia="zh-CN"/>
              </w:rPr>
              <w:t>第三次实验清洗废水</w:t>
            </w:r>
            <w:r>
              <w:rPr>
                <w:rFonts w:hint="eastAsia"/>
                <w:color w:val="auto"/>
                <w:lang w:val="en-US" w:eastAsia="zh-CN"/>
              </w:rPr>
              <w:t>、S4实验废液。</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9.脱水封片：将切片依次放入75%酒精5min-85%酒精5min --无水乙醇Ⅰ5min -无水乙醇Ⅱ5min -二甲苯Ⅰ5min 中脱水透明，将切片从二甲苯拿出来稍晾干，中性树胶封片。</w:t>
            </w:r>
            <w:r>
              <w:rPr>
                <w:rFonts w:hint="eastAsia"/>
                <w:b w:val="0"/>
                <w:bCs/>
                <w:color w:val="auto"/>
                <w:lang w:val="en-US" w:eastAsia="zh-CN"/>
              </w:rPr>
              <w:t>有机溶剂配制、实验过程中产生G2实验废气，由通风橱收集，经活性炭处理后，通过1根20m高排气筒P1排放。乙醇、二甲苯溶液配制过程使用实验器具清洗，产生</w:t>
            </w:r>
            <w:r>
              <w:rPr>
                <w:rFonts w:hint="eastAsia"/>
                <w:color w:val="auto"/>
                <w:lang w:val="en-US" w:eastAsia="zh-CN"/>
              </w:rPr>
              <w:t>S4实验废液、W1</w:t>
            </w:r>
            <w:r>
              <w:rPr>
                <w:rFonts w:hint="eastAsia"/>
                <w:b w:val="0"/>
                <w:bCs/>
                <w:color w:val="auto"/>
                <w:lang w:val="en-US" w:eastAsia="zh-CN"/>
              </w:rPr>
              <w:t>第三次实验清洗废水</w:t>
            </w:r>
            <w:r>
              <w:rPr>
                <w:rFonts w:hint="eastAsia"/>
                <w:color w:val="auto"/>
                <w:lang w:val="en-US" w:eastAsia="zh-CN"/>
              </w:rPr>
              <w:t>。</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10.结果判读：苏木素染细胞核为蓝色，DAB显出的阳性表达为棕黄色</w:t>
            </w:r>
          </w:p>
          <w:p>
            <w:pPr>
              <w:adjustRightInd w:val="0"/>
              <w:snapToGrid w:val="0"/>
              <w:spacing w:line="360" w:lineRule="auto"/>
              <w:ind w:firstLine="482" w:firstLineChars="200"/>
              <w:rPr>
                <w:rFonts w:hint="eastAsia"/>
                <w:b/>
                <w:bCs/>
                <w:color w:val="auto"/>
                <w:lang w:val="en-US" w:eastAsia="zh-CN"/>
              </w:rPr>
            </w:pPr>
            <w:r>
              <w:rPr>
                <w:rFonts w:hint="eastAsia"/>
                <w:b/>
                <w:bCs/>
                <w:color w:val="auto"/>
                <w:lang w:val="en-US" w:eastAsia="zh-CN"/>
              </w:rPr>
              <w:t>2.7 Transwell细胞迁移/侵袭能力检测</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采用未铺Matrigel胶的Transwell小室用于实验；制备细胞悬液</w:t>
            </w:r>
            <w:r>
              <w:rPr>
                <w:rFonts w:hint="eastAsia"/>
                <w:color w:val="auto"/>
                <w:lang w:val="en-US" w:eastAsia="zh-CN"/>
              </w:rPr>
              <w:t>，把贴壁培养的细胞消化吹打以后形成的悬液，</w:t>
            </w:r>
            <w:r>
              <w:rPr>
                <w:rFonts w:hint="default"/>
                <w:color w:val="auto"/>
                <w:lang w:val="en-US" w:eastAsia="zh-CN"/>
              </w:rPr>
              <w:t>接种细胞；检测穿过的细胞数；结果统计分析。</w:t>
            </w:r>
          </w:p>
          <w:p>
            <w:pPr>
              <w:adjustRightInd w:val="0"/>
              <w:snapToGrid w:val="0"/>
              <w:spacing w:line="360" w:lineRule="auto"/>
              <w:ind w:firstLine="482" w:firstLineChars="200"/>
              <w:rPr>
                <w:rFonts w:hint="eastAsia"/>
                <w:b/>
                <w:bCs/>
                <w:color w:val="auto"/>
                <w:lang w:val="en-US" w:eastAsia="zh-CN"/>
              </w:rPr>
            </w:pPr>
            <w:r>
              <w:rPr>
                <w:rFonts w:hint="eastAsia"/>
                <w:b/>
                <w:bCs/>
                <w:color w:val="auto"/>
                <w:lang w:val="en-US" w:eastAsia="zh-CN"/>
              </w:rPr>
              <w:t>2.8细胞划痕迁移检测</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1．先用marker笔在6孔板背后，用直尺比着，均匀得划横线，大约每隔0.5~1cm一道，横穿过孔。每孔至少穿过5条线。</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2</w:t>
            </w:r>
            <w:r>
              <w:rPr>
                <w:rFonts w:hint="eastAsia"/>
                <w:color w:val="auto"/>
                <w:lang w:val="en-US" w:eastAsia="zh-CN"/>
              </w:rPr>
              <w:t>.</w:t>
            </w:r>
            <w:r>
              <w:rPr>
                <w:rFonts w:hint="default"/>
                <w:color w:val="auto"/>
                <w:lang w:val="en-US" w:eastAsia="zh-CN"/>
              </w:rPr>
              <w:t>在</w:t>
            </w:r>
            <w:r>
              <w:rPr>
                <w:rFonts w:hint="eastAsia"/>
                <w:color w:val="auto"/>
                <w:lang w:val="en-US" w:eastAsia="zh-CN"/>
              </w:rPr>
              <w:t>孔</w:t>
            </w:r>
            <w:r>
              <w:rPr>
                <w:rFonts w:hint="default"/>
                <w:color w:val="auto"/>
                <w:lang w:val="en-US" w:eastAsia="zh-CN"/>
              </w:rPr>
              <w:t>中加入约5</w:t>
            </w:r>
            <w:r>
              <w:rPr>
                <w:rFonts w:hint="eastAsia"/>
                <w:color w:val="auto"/>
                <w:lang w:val="en-US" w:eastAsia="zh-CN"/>
              </w:rPr>
              <w:t>×</w:t>
            </w:r>
            <w:r>
              <w:rPr>
                <w:rFonts w:hint="default"/>
                <w:color w:val="auto"/>
                <w:lang w:val="en-US" w:eastAsia="zh-CN"/>
              </w:rPr>
              <w:t>105个细胞，具体数量因细胞不同而不同。</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第二天用枪头比着直尺，尽量垂至于背后的横线划痕，枪头要垂直，不能倾斜。</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用PBS</w:t>
            </w:r>
            <w:r>
              <w:rPr>
                <w:rFonts w:hint="eastAsia"/>
                <w:color w:val="auto"/>
                <w:lang w:val="en-US" w:eastAsia="zh-CN"/>
              </w:rPr>
              <w:t>缓冲液</w:t>
            </w:r>
            <w:r>
              <w:rPr>
                <w:rFonts w:hint="default"/>
                <w:color w:val="auto"/>
                <w:lang w:val="en-US" w:eastAsia="zh-CN"/>
              </w:rPr>
              <w:t>洗细胞3次，去处划下的细胞，加入无血清培养基。</w:t>
            </w:r>
          </w:p>
          <w:p>
            <w:pPr>
              <w:adjustRightInd w:val="0"/>
              <w:snapToGrid w:val="0"/>
              <w:spacing w:line="360" w:lineRule="auto"/>
              <w:ind w:firstLine="480" w:firstLineChars="200"/>
              <w:rPr>
                <w:rFonts w:hint="default"/>
                <w:color w:val="auto"/>
              </w:rPr>
            </w:pPr>
            <w:r>
              <w:rPr>
                <w:rFonts w:hint="default"/>
                <w:color w:val="auto"/>
                <w:lang w:val="en-US" w:eastAsia="zh-CN"/>
              </w:rPr>
              <w:t>5</w:t>
            </w:r>
            <w:r>
              <w:rPr>
                <w:rFonts w:hint="eastAsia"/>
                <w:color w:val="auto"/>
                <w:lang w:val="en-US" w:eastAsia="zh-CN"/>
              </w:rPr>
              <w:t>.</w:t>
            </w:r>
            <w:r>
              <w:rPr>
                <w:rFonts w:hint="default"/>
                <w:color w:val="auto"/>
                <w:lang w:val="en-US" w:eastAsia="zh-CN"/>
              </w:rPr>
              <w:t xml:space="preserve">放入37度5% </w:t>
            </w:r>
            <w:r>
              <w:rPr>
                <w:rFonts w:hint="eastAsia"/>
                <w:color w:val="auto"/>
                <w:lang w:val="en-US" w:eastAsia="zh-CN"/>
              </w:rPr>
              <w:t>二氧化碳</w:t>
            </w:r>
            <w:r>
              <w:rPr>
                <w:rFonts w:hint="default"/>
                <w:color w:val="auto"/>
                <w:lang w:val="en-US" w:eastAsia="zh-CN"/>
              </w:rPr>
              <w:t>培养箱，培养。按0</w:t>
            </w:r>
            <w:r>
              <w:rPr>
                <w:rFonts w:hint="eastAsia"/>
                <w:color w:val="auto"/>
                <w:lang w:val="en-US" w:eastAsia="zh-CN"/>
              </w:rPr>
              <w:t>、</w:t>
            </w:r>
            <w:r>
              <w:rPr>
                <w:rFonts w:hint="default"/>
                <w:color w:val="auto"/>
                <w:lang w:val="en-US" w:eastAsia="zh-CN"/>
              </w:rPr>
              <w:t>6</w:t>
            </w:r>
            <w:r>
              <w:rPr>
                <w:rFonts w:hint="eastAsia"/>
                <w:color w:val="auto"/>
                <w:lang w:val="en-US" w:eastAsia="zh-CN"/>
              </w:rPr>
              <w:t>、</w:t>
            </w:r>
            <w:r>
              <w:rPr>
                <w:rFonts w:hint="default"/>
                <w:color w:val="auto"/>
                <w:lang w:val="en-US" w:eastAsia="zh-CN"/>
              </w:rPr>
              <w:t>12</w:t>
            </w:r>
            <w:r>
              <w:rPr>
                <w:rFonts w:hint="eastAsia"/>
                <w:color w:val="auto"/>
                <w:lang w:val="en-US" w:eastAsia="zh-CN"/>
              </w:rPr>
              <w:t>、</w:t>
            </w:r>
            <w:r>
              <w:rPr>
                <w:rFonts w:hint="default"/>
                <w:color w:val="auto"/>
                <w:lang w:val="en-US" w:eastAsia="zh-CN"/>
              </w:rPr>
              <w:t>24小时取样，拍照。</w:t>
            </w:r>
          </w:p>
          <w:p>
            <w:pPr>
              <w:adjustRightInd w:val="0"/>
              <w:snapToGrid w:val="0"/>
              <w:spacing w:line="360" w:lineRule="auto"/>
              <w:ind w:firstLine="482" w:firstLineChars="200"/>
              <w:rPr>
                <w:rFonts w:hint="default"/>
                <w:b/>
                <w:bCs/>
                <w:color w:val="auto"/>
                <w:lang w:val="en-US" w:eastAsia="zh-CN"/>
              </w:rPr>
            </w:pPr>
            <w:r>
              <w:rPr>
                <w:rFonts w:hint="eastAsia"/>
                <w:b/>
                <w:bCs/>
                <w:color w:val="auto"/>
                <w:lang w:val="en-US" w:eastAsia="zh-CN"/>
              </w:rPr>
              <w:t xml:space="preserve">2.9 </w:t>
            </w:r>
            <w:r>
              <w:rPr>
                <w:rFonts w:hint="default"/>
                <w:b/>
                <w:bCs/>
                <w:color w:val="auto"/>
                <w:lang w:val="en-US" w:eastAsia="zh-CN"/>
              </w:rPr>
              <w:t>CCK8细胞增殖能力检测</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1.</w:t>
            </w:r>
            <w:r>
              <w:rPr>
                <w:rFonts w:hint="default"/>
                <w:color w:val="auto"/>
                <w:lang w:val="en-US" w:eastAsia="zh-CN"/>
              </w:rPr>
              <w:t xml:space="preserve"> 在 96 孔板中接种细胞悬液 (100μL/孔) ，将培养板放在培养箱中预培养24小时；</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2.</w:t>
            </w:r>
            <w:r>
              <w:rPr>
                <w:rFonts w:hint="default"/>
                <w:color w:val="auto"/>
                <w:lang w:val="en-US" w:eastAsia="zh-CN"/>
              </w:rPr>
              <w:t>向每孔加入10μL的CCK-8溶液 (注意不要产生气泡) ；</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3.</w:t>
            </w:r>
            <w:r>
              <w:rPr>
                <w:rFonts w:hint="default"/>
                <w:color w:val="auto"/>
                <w:lang w:val="en-US" w:eastAsia="zh-CN"/>
              </w:rPr>
              <w:t>将培养板置于培养箱内孵育1</w:t>
            </w:r>
            <w:r>
              <w:rPr>
                <w:rFonts w:hint="eastAsia"/>
                <w:color w:val="auto"/>
                <w:lang w:val="en-US" w:eastAsia="zh-CN"/>
              </w:rPr>
              <w:t>~</w:t>
            </w:r>
            <w:r>
              <w:rPr>
                <w:rFonts w:hint="default"/>
                <w:color w:val="auto"/>
                <w:lang w:val="en-US" w:eastAsia="zh-CN"/>
              </w:rPr>
              <w:t>4小时；</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4.</w:t>
            </w:r>
            <w:r>
              <w:rPr>
                <w:rFonts w:hint="default"/>
                <w:color w:val="auto"/>
                <w:lang w:val="en-US" w:eastAsia="zh-CN"/>
              </w:rPr>
              <w:t>用酶标仪测定在450nm处的吸光度。细胞活性检测</w:t>
            </w:r>
          </w:p>
          <w:p>
            <w:pPr>
              <w:adjustRightInd w:val="0"/>
              <w:snapToGrid w:val="0"/>
              <w:spacing w:line="360" w:lineRule="auto"/>
              <w:ind w:firstLine="482" w:firstLineChars="200"/>
              <w:rPr>
                <w:rFonts w:hint="default"/>
                <w:b/>
                <w:bCs/>
                <w:color w:val="auto"/>
                <w:lang w:val="en-US" w:eastAsia="zh-CN"/>
              </w:rPr>
            </w:pPr>
            <w:r>
              <w:rPr>
                <w:rFonts w:hint="eastAsia"/>
                <w:b/>
                <w:bCs/>
                <w:color w:val="auto"/>
                <w:lang w:val="en-US" w:eastAsia="zh-CN"/>
              </w:rPr>
              <w:t>2.10</w:t>
            </w:r>
            <w:r>
              <w:rPr>
                <w:rFonts w:hint="default"/>
                <w:b/>
                <w:bCs/>
                <w:color w:val="auto"/>
                <w:lang w:val="en-US" w:eastAsia="zh-CN"/>
              </w:rPr>
              <w:t>细胞增殖-毒性检测</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1.</w:t>
            </w:r>
            <w:r>
              <w:rPr>
                <w:rFonts w:hint="default"/>
                <w:color w:val="auto"/>
                <w:lang w:val="en-US" w:eastAsia="zh-CN"/>
              </w:rPr>
              <w:t>在96孔板中接种细胞悬液 (100μL/孔) ，将培养板放在培养箱中预培养24小时；</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2.</w:t>
            </w:r>
            <w:r>
              <w:rPr>
                <w:rFonts w:hint="default"/>
                <w:color w:val="auto"/>
                <w:lang w:val="en-US" w:eastAsia="zh-CN"/>
              </w:rPr>
              <w:t>向培养板加入不同浓度的待测药物；</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3.</w:t>
            </w:r>
            <w:r>
              <w:rPr>
                <w:rFonts w:hint="default"/>
                <w:color w:val="auto"/>
                <w:lang w:val="en-US" w:eastAsia="zh-CN"/>
              </w:rPr>
              <w:t>将培养板在培养箱孵育一段适当的时间；</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4.</w:t>
            </w:r>
            <w:r>
              <w:rPr>
                <w:rFonts w:hint="default"/>
                <w:color w:val="auto"/>
                <w:lang w:val="en-US" w:eastAsia="zh-CN"/>
              </w:rPr>
              <w:t>向每孔加入10μL的CCK-8溶液 (注意不要产生气泡)；</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5.</w:t>
            </w:r>
            <w:r>
              <w:rPr>
                <w:rFonts w:hint="default"/>
                <w:color w:val="auto"/>
                <w:lang w:val="en-US" w:eastAsia="zh-CN"/>
              </w:rPr>
              <w:t>将培养板置于培养箱内孵育1-4小时；</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6.</w:t>
            </w:r>
            <w:r>
              <w:rPr>
                <w:rFonts w:hint="default"/>
                <w:color w:val="auto"/>
                <w:lang w:val="en-US" w:eastAsia="zh-CN"/>
              </w:rPr>
              <w:t>用酶标仪测定在450nm处的吸光度。</w:t>
            </w:r>
          </w:p>
          <w:p>
            <w:pPr>
              <w:adjustRightInd w:val="0"/>
              <w:snapToGrid w:val="0"/>
              <w:spacing w:line="360" w:lineRule="auto"/>
              <w:ind w:firstLine="482" w:firstLineChars="200"/>
              <w:rPr>
                <w:rFonts w:hint="default"/>
                <w:b/>
                <w:bCs/>
                <w:color w:val="auto"/>
                <w:lang w:val="en-US" w:eastAsia="zh-CN"/>
              </w:rPr>
            </w:pPr>
            <w:r>
              <w:rPr>
                <w:rFonts w:hint="eastAsia"/>
                <w:b/>
                <w:bCs/>
                <w:color w:val="auto"/>
                <w:lang w:val="en-US" w:eastAsia="zh-CN"/>
              </w:rPr>
              <w:t xml:space="preserve">2.11 </w:t>
            </w:r>
            <w:r>
              <w:rPr>
                <w:rFonts w:hint="default"/>
                <w:b/>
                <w:bCs/>
                <w:color w:val="auto"/>
                <w:lang w:val="en-US" w:eastAsia="zh-CN"/>
              </w:rPr>
              <w:t>MTT细胞增殖能力检测</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 xml:space="preserve">1. 所有的管子在打开之前需要先离心。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2. 使用96孔板进行检测时，通常细胞增殖检测实验每孔加入100 μL 2000个细胞，细胞毒性检测实验每孔加入100 μL 5000个细胞（具体每孔所用的细胞的数目，需根据细胞的大小，细胞增殖速度的快慢等决定）。按照实验需要，进行培养并给予0</w:t>
            </w:r>
            <w:r>
              <w:rPr>
                <w:rFonts w:hint="eastAsia"/>
                <w:color w:val="auto"/>
                <w:lang w:val="en-US" w:eastAsia="zh-CN"/>
              </w:rPr>
              <w:t>~</w:t>
            </w:r>
            <w:r>
              <w:rPr>
                <w:rFonts w:hint="default"/>
                <w:color w:val="auto"/>
                <w:lang w:val="en-US" w:eastAsia="zh-CN"/>
              </w:rPr>
              <w:t>10 μL特定的药物刺激。在培养箱中孵育24小时。注意事项</w:t>
            </w:r>
            <w:r>
              <w:rPr>
                <w:rFonts w:hint="eastAsia"/>
                <w:color w:val="auto"/>
                <w:lang w:val="en-US" w:eastAsia="zh-CN"/>
              </w:rPr>
              <w:t>：</w:t>
            </w:r>
            <w:r>
              <w:rPr>
                <w:rFonts w:hint="default"/>
                <w:color w:val="auto"/>
                <w:lang w:val="en-US" w:eastAsia="zh-CN"/>
              </w:rPr>
              <w:t xml:space="preserve">每个样品建议设置5个复孔。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 xml:space="preserve">3. MTT溶液的配制：用MTT Solvent（组分B）溶解 MTT Reagent （组分A），配制成5mg/mL的MTT溶液。配制后即可使用，或直接-20°C避光保存，也可以根据需要适当分装后-20°C避光保存。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 xml:space="preserve">4. 每孔加入10μL MTT 溶液，使每个孔中的MTT的终浓度为0.5mg/ml。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 xml:space="preserve">5. 轻轻混匀后，37℃培养箱中孵育4小时。注意事项：孵育后，蓝紫色结晶甲瓒（Formazan）沉积在细胞中。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 xml:space="preserve">6. 小心吸取每个孔中的培养基已防止细胞单层破裂。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7. 每孔加入100μL Formazan Solubilization Solution（组分C）</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8. 将96孔板放在振荡器上轻轻震荡10分钟，直至在普通光学显微镜下观察发现甲臜全部溶解。</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9. 在酶标免疫检测仪570nm测定吸光度。</w:t>
            </w:r>
          </w:p>
          <w:p>
            <w:pPr>
              <w:adjustRightInd w:val="0"/>
              <w:snapToGrid w:val="0"/>
              <w:spacing w:line="360" w:lineRule="auto"/>
              <w:ind w:firstLine="480" w:firstLineChars="200"/>
              <w:rPr>
                <w:rFonts w:hint="default"/>
                <w:color w:val="auto"/>
                <w:lang w:val="en-US" w:eastAsia="zh-CN"/>
              </w:rPr>
            </w:pPr>
            <w:r>
              <w:rPr>
                <w:rFonts w:hint="eastAsia"/>
                <w:color w:val="auto"/>
                <w:lang w:val="en-US" w:eastAsia="zh-CN"/>
              </w:rPr>
              <w:t>2.12</w:t>
            </w:r>
            <w:r>
              <w:rPr>
                <w:rFonts w:hint="default"/>
                <w:color w:val="auto"/>
                <w:lang w:val="en-US" w:eastAsia="zh-CN"/>
              </w:rPr>
              <w:t>流式细胞凋亡</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1</w:t>
            </w:r>
            <w:r>
              <w:rPr>
                <w:rFonts w:hint="eastAsia"/>
                <w:color w:val="auto"/>
                <w:lang w:val="en-US" w:eastAsia="zh-CN"/>
              </w:rPr>
              <w:t>.</w:t>
            </w:r>
            <w:r>
              <w:rPr>
                <w:rFonts w:hint="default"/>
                <w:color w:val="auto"/>
                <w:lang w:val="en-US" w:eastAsia="zh-CN"/>
              </w:rPr>
              <w:t xml:space="preserve">收集上清：收集培养液于流式管中(有少量悬浮细胞)。 </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2</w:t>
            </w:r>
            <w:r>
              <w:rPr>
                <w:rFonts w:hint="eastAsia"/>
                <w:color w:val="auto"/>
                <w:lang w:val="en-US" w:eastAsia="zh-CN"/>
              </w:rPr>
              <w:t>.</w:t>
            </w:r>
            <w:r>
              <w:rPr>
                <w:rFonts w:hint="default"/>
                <w:color w:val="auto"/>
                <w:lang w:val="en-US" w:eastAsia="zh-CN"/>
              </w:rPr>
              <w:t>收集细胞：六孔板中的细胞用PBS洗涤一次，加入1 mL无EDTA 0.25%胰酶，待细胞变圆且有部分细胞悬浮，即加入PBS终止消化。用移液枪轻轻吹打细胞，使细胞悬浮。收集于流式管中，1500 rpm离心5 min，弃上清。</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3</w:t>
            </w:r>
            <w:r>
              <w:rPr>
                <w:rFonts w:hint="eastAsia"/>
                <w:color w:val="auto"/>
                <w:lang w:val="en-US" w:eastAsia="zh-CN"/>
              </w:rPr>
              <w:t>.</w:t>
            </w:r>
            <w:r>
              <w:rPr>
                <w:rFonts w:hint="default"/>
                <w:color w:val="auto"/>
                <w:lang w:val="en-US" w:eastAsia="zh-CN"/>
              </w:rPr>
              <w:t>PBS洗涤细胞：加入3ml 4℃预冷的PBS完全重悬细胞，1500 rpm离心5 min，弃上清。沉淀用200μL的Binding Buffer重悬。</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4</w:t>
            </w:r>
            <w:r>
              <w:rPr>
                <w:rFonts w:hint="eastAsia"/>
                <w:color w:val="auto"/>
                <w:lang w:val="en-US" w:eastAsia="zh-CN"/>
              </w:rPr>
              <w:t>.</w:t>
            </w:r>
            <w:r>
              <w:rPr>
                <w:rFonts w:hint="default"/>
                <w:color w:val="auto"/>
                <w:lang w:val="en-US" w:eastAsia="zh-CN"/>
              </w:rPr>
              <w:t>荧光标记：加入5μL Annexin V-FITC混匀后，加入5μL Propidium Iodide，混匀。室温下避光反应15min。</w:t>
            </w:r>
          </w:p>
          <w:p>
            <w:pPr>
              <w:adjustRightInd w:val="0"/>
              <w:snapToGrid w:val="0"/>
              <w:spacing w:line="360" w:lineRule="auto"/>
              <w:ind w:firstLine="480" w:firstLineChars="200"/>
              <w:rPr>
                <w:rFonts w:hint="default"/>
                <w:color w:val="auto"/>
                <w:lang w:val="en-US" w:eastAsia="zh-CN"/>
              </w:rPr>
            </w:pPr>
            <w:r>
              <w:rPr>
                <w:rFonts w:hint="default"/>
                <w:color w:val="auto"/>
                <w:lang w:val="en-US" w:eastAsia="zh-CN"/>
              </w:rPr>
              <w:t>5</w:t>
            </w:r>
            <w:r>
              <w:rPr>
                <w:rFonts w:hint="eastAsia"/>
                <w:color w:val="auto"/>
                <w:lang w:val="en-US" w:eastAsia="zh-CN"/>
              </w:rPr>
              <w:t>.</w:t>
            </w:r>
            <w:r>
              <w:rPr>
                <w:rFonts w:hint="default"/>
                <w:color w:val="auto"/>
                <w:lang w:val="en-US" w:eastAsia="zh-CN"/>
              </w:rPr>
              <w:t>检测：于1小时内上机检测Annexin V-FITC的绿色荧光通过FITC通道(FL1)检测，PI红色荧光通过PI通道(FL2)检测。流式细胞仪参数如下：激发波长Ex=488nm，发射波长FL1(Em=525±20nm)</w:t>
            </w:r>
            <w:r>
              <w:rPr>
                <w:rFonts w:hint="eastAsia"/>
                <w:color w:val="auto"/>
                <w:lang w:val="en-US" w:eastAsia="zh-CN"/>
              </w:rPr>
              <w:t>；</w:t>
            </w:r>
            <w:r>
              <w:rPr>
                <w:rFonts w:hint="default"/>
                <w:color w:val="auto"/>
                <w:lang w:val="en-US" w:eastAsia="zh-CN"/>
              </w:rPr>
              <w:t>FL2(Em=585±21nm)。用FlowJo软件分析细胞不同状态(主要是早凋、晚凋与死亡)的比例及数目。</w:t>
            </w:r>
          </w:p>
          <w:p>
            <w:pPr>
              <w:pStyle w:val="8"/>
              <w:rPr>
                <w:rFonts w:hint="eastAsia"/>
                <w:b/>
                <w:bCs/>
                <w:color w:val="auto"/>
                <w:lang w:val="en-US" w:eastAsia="zh-CN"/>
              </w:rPr>
            </w:pPr>
            <w:r>
              <w:rPr>
                <w:rFonts w:hint="eastAsia"/>
                <w:b/>
                <w:bCs/>
                <w:color w:val="auto"/>
                <w:lang w:val="en-US" w:eastAsia="zh-CN"/>
              </w:rPr>
              <w:t>2.12消毒、灭活</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本项目各实验室实验台上方使用紫外线灯消毒。动物房饲养间使用84消毒液、75%酒精进行消毒，手术器具使用75%酒精进行消毒。</w:t>
            </w:r>
            <w:r>
              <w:rPr>
                <w:rFonts w:hint="default"/>
                <w:color w:val="auto"/>
                <w:lang w:val="en-US" w:eastAsia="zh-CN"/>
              </w:rPr>
              <w:t>实验人员在操作前也做到最大限度的无菌准备，包括用洗手液充分清洗双手，吹干后用75%的乙醇擦拭双手等。</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本项目细胞实验均在生物安全柜中进行，生物安全柜运行时为微负压状态，气流由下而上为吸入气流、下降气流、循环气流和外排气流四部分气流。首先在生物安全柜底部吸入室内空气至柜体内部，实验过程中产生的气溶胶经过柜体内高效过滤器过滤，过滤后约 70%气体在柜体内部循环，约 30%气体通过柜体上的排口排至实验室内，净化后的气体在实验室内循环。生物安全柜使用后，对生物安全柜使用酒精消毒并用清水擦拭干净，最后打开生物安全柜紫外灯对内部进行紫外消毒30min。</w:t>
            </w:r>
          </w:p>
          <w:p>
            <w:pPr>
              <w:adjustRightInd w:val="0"/>
              <w:snapToGrid w:val="0"/>
              <w:spacing w:line="360" w:lineRule="auto"/>
              <w:ind w:firstLine="480" w:firstLineChars="200"/>
              <w:rPr>
                <w:rFonts w:hint="eastAsia"/>
                <w:color w:val="auto"/>
                <w:lang w:val="en-US" w:eastAsia="zh-CN"/>
              </w:rPr>
            </w:pPr>
            <w:r>
              <w:rPr>
                <w:rFonts w:hint="eastAsia"/>
                <w:color w:val="auto"/>
                <w:lang w:val="en-US" w:eastAsia="zh-CN"/>
              </w:rPr>
              <w:t>产生的废培养基经样本储藏间的压力蒸汽灭菌锅（121℃，30min）灭活处理，转移至一般固废暂存间，合理收集，由城市管理部门定期清运。动物粪便使用84消毒液、75%酒精进行消毒，暂存于一般固废暂存间，合理收集，由城市管理部门定期清运。</w:t>
            </w:r>
          </w:p>
          <w:p>
            <w:pPr>
              <w:pStyle w:val="8"/>
              <w:ind w:firstLine="480"/>
              <w:rPr>
                <w:b/>
                <w:bCs w:val="0"/>
                <w:color w:val="auto"/>
                <w:kern w:val="0"/>
                <w:lang w:val="en-US" w:eastAsia="zh-CN"/>
              </w:rPr>
            </w:pPr>
            <w:r>
              <w:rPr>
                <w:rFonts w:hint="eastAsia"/>
                <w:b/>
                <w:bCs w:val="0"/>
                <w:color w:val="auto"/>
                <w:kern w:val="0"/>
                <w:lang w:val="en-US" w:eastAsia="zh-CN"/>
              </w:rPr>
              <w:t>2.13</w:t>
            </w:r>
            <w:r>
              <w:rPr>
                <w:b/>
                <w:bCs w:val="0"/>
                <w:color w:val="auto"/>
                <w:kern w:val="0"/>
                <w:lang w:val="en-US" w:eastAsia="zh-CN"/>
              </w:rPr>
              <w:t>污水处理设备工艺</w:t>
            </w:r>
          </w:p>
          <w:p>
            <w:pPr>
              <w:pStyle w:val="8"/>
              <w:ind w:firstLine="480"/>
              <w:rPr>
                <w:rFonts w:hint="default"/>
                <w:bCs/>
                <w:color w:val="auto"/>
                <w:kern w:val="0"/>
                <w:lang w:val="en-US" w:eastAsia="zh-CN"/>
              </w:rPr>
            </w:pPr>
            <w:r>
              <w:rPr>
                <w:bCs/>
                <w:color w:val="auto"/>
                <w:kern w:val="0"/>
                <w:lang w:val="en-US" w:eastAsia="zh-CN"/>
              </w:rPr>
              <w:t>本</w:t>
            </w:r>
            <w:r>
              <w:rPr>
                <w:rFonts w:hint="eastAsia"/>
                <w:bCs/>
                <w:color w:val="auto"/>
                <w:kern w:val="0"/>
                <w:lang w:val="en-US" w:eastAsia="zh-CN"/>
              </w:rPr>
              <w:t>项目</w:t>
            </w:r>
            <w:r>
              <w:rPr>
                <w:bCs/>
                <w:color w:val="auto"/>
                <w:kern w:val="0"/>
                <w:lang w:val="en-US" w:eastAsia="zh-CN"/>
              </w:rPr>
              <w:t>采用1套一体机，尺寸为0.</w:t>
            </w:r>
            <w:r>
              <w:rPr>
                <w:rFonts w:hint="eastAsia"/>
                <w:bCs/>
                <w:color w:val="auto"/>
                <w:kern w:val="0"/>
                <w:lang w:val="en-US" w:eastAsia="zh-CN"/>
              </w:rPr>
              <w:t>67</w:t>
            </w:r>
            <w:r>
              <w:rPr>
                <w:bCs/>
                <w:color w:val="auto"/>
                <w:kern w:val="0"/>
                <w:lang w:val="en-US" w:eastAsia="zh-CN"/>
              </w:rPr>
              <w:t>m×0.</w:t>
            </w:r>
            <w:r>
              <w:rPr>
                <w:rFonts w:hint="eastAsia"/>
                <w:bCs/>
                <w:color w:val="auto"/>
                <w:kern w:val="0"/>
                <w:lang w:val="en-US" w:eastAsia="zh-CN"/>
              </w:rPr>
              <w:t>42</w:t>
            </w:r>
            <w:r>
              <w:rPr>
                <w:bCs/>
                <w:color w:val="auto"/>
                <w:kern w:val="0"/>
                <w:lang w:val="en-US" w:eastAsia="zh-CN"/>
              </w:rPr>
              <w:t>m×</w:t>
            </w:r>
            <w:r>
              <w:rPr>
                <w:rFonts w:hint="eastAsia"/>
                <w:bCs/>
                <w:color w:val="auto"/>
                <w:kern w:val="0"/>
                <w:lang w:val="en-US" w:eastAsia="zh-CN"/>
              </w:rPr>
              <w:t>1</w:t>
            </w:r>
            <w:r>
              <w:rPr>
                <w:bCs/>
                <w:color w:val="auto"/>
                <w:kern w:val="0"/>
                <w:lang w:val="en-US" w:eastAsia="zh-CN"/>
              </w:rPr>
              <w:t>m，</w:t>
            </w:r>
            <w:r>
              <w:rPr>
                <w:rFonts w:hint="default"/>
                <w:bCs/>
                <w:color w:val="auto"/>
                <w:kern w:val="0"/>
                <w:lang w:val="en-US" w:eastAsia="zh-CN"/>
              </w:rPr>
              <w:t>处理规模为</w:t>
            </w:r>
            <w:r>
              <w:rPr>
                <w:rFonts w:hint="eastAsia"/>
                <w:bCs/>
                <w:color w:val="auto"/>
                <w:kern w:val="0"/>
                <w:lang w:val="en-US" w:eastAsia="zh-CN"/>
              </w:rPr>
              <w:t>1</w:t>
            </w:r>
            <w:r>
              <w:rPr>
                <w:rFonts w:hint="default"/>
                <w:bCs/>
                <w:color w:val="auto"/>
                <w:kern w:val="0"/>
                <w:lang w:val="en-US" w:eastAsia="zh-CN"/>
              </w:rPr>
              <w:t>m</w:t>
            </w:r>
            <w:r>
              <w:rPr>
                <w:rFonts w:hint="eastAsia"/>
                <w:bCs/>
                <w:color w:val="auto"/>
                <w:kern w:val="0"/>
                <w:vertAlign w:val="superscript"/>
                <w:lang w:val="en-US" w:eastAsia="zh-CN"/>
              </w:rPr>
              <w:t>3</w:t>
            </w:r>
            <w:r>
              <w:rPr>
                <w:rFonts w:hint="default"/>
                <w:bCs/>
                <w:color w:val="auto"/>
                <w:kern w:val="0"/>
                <w:lang w:val="en-US" w:eastAsia="zh-CN"/>
              </w:rPr>
              <w:t>/</w:t>
            </w:r>
            <w:r>
              <w:rPr>
                <w:rFonts w:hint="eastAsia"/>
                <w:bCs/>
                <w:color w:val="auto"/>
                <w:kern w:val="0"/>
                <w:lang w:val="en-US" w:eastAsia="zh-CN"/>
              </w:rPr>
              <w:t>h</w:t>
            </w:r>
            <w:r>
              <w:rPr>
                <w:rFonts w:hint="default"/>
                <w:bCs/>
                <w:color w:val="auto"/>
                <w:kern w:val="0"/>
                <w:lang w:val="en-US" w:eastAsia="zh-CN"/>
              </w:rPr>
              <w:t>，处理工艺为</w:t>
            </w:r>
            <w:r>
              <w:rPr>
                <w:rFonts w:hint="eastAsia"/>
                <w:bCs/>
                <w:color w:val="auto"/>
                <w:kern w:val="0"/>
                <w:lang w:val="en-US" w:eastAsia="zh-CN"/>
              </w:rPr>
              <w:t>“</w:t>
            </w:r>
            <w:r>
              <w:rPr>
                <w:rFonts w:hint="default"/>
                <w:bCs/>
                <w:color w:val="auto"/>
                <w:kern w:val="0"/>
                <w:lang w:val="en-US" w:eastAsia="zh-CN"/>
              </w:rPr>
              <w:t>过滤+二氧化氯消毒</w:t>
            </w:r>
            <w:r>
              <w:rPr>
                <w:rFonts w:hint="eastAsia"/>
                <w:bCs/>
                <w:color w:val="auto"/>
                <w:kern w:val="0"/>
                <w:lang w:val="en-US" w:eastAsia="zh-CN"/>
              </w:rPr>
              <w:t>”</w:t>
            </w:r>
            <w:r>
              <w:rPr>
                <w:rFonts w:hint="default"/>
                <w:bCs/>
                <w:color w:val="auto"/>
                <w:kern w:val="0"/>
                <w:lang w:val="en-US" w:eastAsia="zh-CN"/>
              </w:rPr>
              <w:t>，废水在水泵作用下进入设备的污水容器内，容器内设有格栅，格栅过滤后进入过滤池，过滤池水位到达预定高度时，自动投药装置启动，投入二氧化氯</w:t>
            </w:r>
            <w:r>
              <w:rPr>
                <w:rFonts w:hint="eastAsia"/>
                <w:bCs/>
                <w:color w:val="auto"/>
                <w:kern w:val="0"/>
                <w:lang w:val="en-US" w:eastAsia="zh-CN"/>
              </w:rPr>
              <w:t>消毒片</w:t>
            </w:r>
            <w:r>
              <w:rPr>
                <w:rFonts w:hint="default"/>
                <w:bCs/>
                <w:color w:val="auto"/>
                <w:kern w:val="0"/>
                <w:lang w:val="en-US" w:eastAsia="zh-CN"/>
              </w:rPr>
              <w:t>，静置停留一定时间后，达到消毒目的，然后自动控制排放。一个处理过程完成后，设备自动停止。</w:t>
            </w:r>
            <w:r>
              <w:rPr>
                <w:rFonts w:hint="eastAsia"/>
                <w:bCs/>
                <w:color w:val="auto"/>
                <w:kern w:val="0"/>
                <w:lang w:val="en-US" w:eastAsia="zh-CN"/>
              </w:rPr>
              <w:t>本项目污水处理设备位于三楼公共设备间，废水经管道排放至设备内。本项目</w:t>
            </w:r>
            <w:r>
              <w:rPr>
                <w:rFonts w:hint="default"/>
                <w:bCs/>
                <w:color w:val="auto"/>
                <w:kern w:val="0"/>
                <w:lang w:val="en-US" w:eastAsia="zh-CN"/>
              </w:rPr>
              <w:t>废水排放量约为</w:t>
            </w:r>
            <w:r>
              <w:rPr>
                <w:rFonts w:hint="eastAsia"/>
                <w:bCs/>
                <w:color w:val="auto"/>
                <w:kern w:val="0"/>
                <w:lang w:val="en-US" w:eastAsia="zh-CN"/>
              </w:rPr>
              <w:t>0.76</w:t>
            </w:r>
            <w:r>
              <w:rPr>
                <w:rFonts w:hint="default"/>
                <w:bCs/>
                <w:color w:val="auto"/>
                <w:kern w:val="0"/>
                <w:lang w:val="en-US" w:eastAsia="zh-CN"/>
              </w:rPr>
              <w:t>m</w:t>
            </w:r>
            <w:r>
              <w:rPr>
                <w:rFonts w:hint="eastAsia"/>
                <w:bCs/>
                <w:color w:val="auto"/>
                <w:kern w:val="0"/>
                <w:vertAlign w:val="superscript"/>
                <w:lang w:val="en-US" w:eastAsia="zh-CN"/>
              </w:rPr>
              <w:t>3</w:t>
            </w:r>
            <w:r>
              <w:rPr>
                <w:rFonts w:hint="default"/>
                <w:bCs/>
                <w:color w:val="auto"/>
                <w:kern w:val="0"/>
                <w:lang w:val="en-US" w:eastAsia="zh-CN"/>
              </w:rPr>
              <w:t>/d，污水处理设备满足建设要求</w:t>
            </w:r>
            <w:r>
              <w:rPr>
                <w:rFonts w:hint="eastAsia"/>
                <w:bCs/>
                <w:color w:val="auto"/>
                <w:kern w:val="0"/>
                <w:lang w:val="en-US" w:eastAsia="zh-CN"/>
              </w:rPr>
              <w:t>。污水处理过程产生S11滤渣。</w:t>
            </w:r>
          </w:p>
          <w:p>
            <w:pPr>
              <w:pStyle w:val="9"/>
              <w:rPr>
                <w:rFonts w:hint="eastAsia"/>
                <w:color w:val="auto"/>
                <w:lang w:val="en-US" w:eastAsia="zh-CN"/>
              </w:rPr>
            </w:pPr>
            <w:r>
              <w:rPr>
                <w:color w:val="auto"/>
              </w:rPr>
              <w:drawing>
                <wp:inline distT="0" distB="0" distL="114300" distR="114300">
                  <wp:extent cx="5333365" cy="2260600"/>
                  <wp:effectExtent l="0" t="0" r="635" b="635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5333365" cy="2260600"/>
                          </a:xfrm>
                          <a:prstGeom prst="rect">
                            <a:avLst/>
                          </a:prstGeom>
                          <a:noFill/>
                          <a:ln>
                            <a:noFill/>
                          </a:ln>
                        </pic:spPr>
                      </pic:pic>
                    </a:graphicData>
                  </a:graphic>
                </wp:inline>
              </w:drawing>
            </w:r>
          </w:p>
          <w:p>
            <w:pPr>
              <w:pStyle w:val="83"/>
              <w:spacing w:before="120"/>
              <w:rPr>
                <w:rFonts w:hint="eastAsia"/>
                <w:color w:val="auto"/>
              </w:rPr>
            </w:pPr>
            <w:r>
              <w:rPr>
                <w:rFonts w:hint="eastAsia"/>
                <w:color w:val="auto"/>
                <w:lang w:val="en-US" w:eastAsia="zh-CN"/>
              </w:rPr>
              <w:t>图2-8</w:t>
            </w:r>
            <w:r>
              <w:rPr>
                <w:rFonts w:hint="eastAsia"/>
                <w:color w:val="auto"/>
              </w:rPr>
              <w:t xml:space="preserve">    本项目</w:t>
            </w:r>
            <w:r>
              <w:rPr>
                <w:rFonts w:hint="eastAsia"/>
                <w:color w:val="auto"/>
                <w:lang w:eastAsia="zh-CN"/>
              </w:rPr>
              <w:t>消毒设备示意图</w:t>
            </w:r>
          </w:p>
          <w:p>
            <w:pPr>
              <w:ind w:firstLine="480" w:firstLineChars="200"/>
              <w:rPr>
                <w:color w:val="auto"/>
              </w:rPr>
            </w:pPr>
            <w:r>
              <w:rPr>
                <w:rFonts w:hint="eastAsia"/>
                <w:color w:val="auto"/>
              </w:rPr>
              <w:t>本项目产污环节污染物汇总如下表：</w:t>
            </w:r>
          </w:p>
          <w:p>
            <w:pPr>
              <w:pStyle w:val="83"/>
              <w:spacing w:before="120"/>
              <w:rPr>
                <w:color w:val="auto"/>
              </w:rPr>
            </w:pPr>
            <w:r>
              <w:rPr>
                <w:rFonts w:hint="eastAsia"/>
                <w:color w:val="auto"/>
              </w:rPr>
              <w:t>表2-</w:t>
            </w:r>
            <w:r>
              <w:rPr>
                <w:rFonts w:hint="eastAsia"/>
                <w:color w:val="auto"/>
                <w:lang w:val="en-US" w:eastAsia="zh-CN"/>
              </w:rPr>
              <w:t>16</w:t>
            </w:r>
            <w:r>
              <w:rPr>
                <w:rFonts w:hint="eastAsia"/>
                <w:color w:val="auto"/>
              </w:rPr>
              <w:t xml:space="preserve">   本项目产污环节污染物汇总</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5"/>
              <w:gridCol w:w="945"/>
              <w:gridCol w:w="2331"/>
              <w:gridCol w:w="4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20" w:type="dxa"/>
                  <w:gridSpan w:val="2"/>
                  <w:tcBorders>
                    <w:tl2br w:val="nil"/>
                    <w:tr2bl w:val="nil"/>
                  </w:tcBorders>
                  <w:vAlign w:val="center"/>
                </w:tcPr>
                <w:p>
                  <w:pPr>
                    <w:spacing w:line="240" w:lineRule="auto"/>
                    <w:jc w:val="center"/>
                    <w:rPr>
                      <w:rFonts w:hint="eastAsia" w:eastAsia="宋体"/>
                      <w:b/>
                      <w:bCs/>
                      <w:color w:val="auto"/>
                      <w:sz w:val="21"/>
                      <w:szCs w:val="21"/>
                      <w:lang w:eastAsia="zh-CN"/>
                    </w:rPr>
                  </w:pPr>
                  <w:r>
                    <w:rPr>
                      <w:b/>
                      <w:bCs/>
                      <w:color w:val="auto"/>
                      <w:sz w:val="21"/>
                      <w:szCs w:val="21"/>
                    </w:rPr>
                    <w:t>污染</w:t>
                  </w:r>
                  <w:r>
                    <w:rPr>
                      <w:rFonts w:hint="eastAsia"/>
                      <w:b/>
                      <w:bCs/>
                      <w:color w:val="auto"/>
                      <w:sz w:val="21"/>
                      <w:szCs w:val="21"/>
                      <w:lang w:eastAsia="zh-CN"/>
                    </w:rPr>
                    <w:t>类别</w:t>
                  </w:r>
                </w:p>
              </w:tc>
              <w:tc>
                <w:tcPr>
                  <w:tcW w:w="2331" w:type="dxa"/>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排污节点</w:t>
                  </w:r>
                </w:p>
              </w:tc>
              <w:tc>
                <w:tcPr>
                  <w:tcW w:w="4327" w:type="dxa"/>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主要污染因子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废气</w:t>
                  </w:r>
                </w:p>
              </w:tc>
              <w:tc>
                <w:tcPr>
                  <w:tcW w:w="945" w:type="dxa"/>
                  <w:tcBorders>
                    <w:tl2br w:val="nil"/>
                    <w:tr2bl w:val="nil"/>
                  </w:tcBorders>
                  <w:vAlign w:val="center"/>
                </w:tcPr>
                <w:p>
                  <w:pPr>
                    <w:spacing w:line="240" w:lineRule="auto"/>
                    <w:jc w:val="center"/>
                    <w:rPr>
                      <w:rStyle w:val="37"/>
                      <w:rFonts w:hint="default" w:eastAsia="宋体"/>
                      <w:color w:val="auto"/>
                      <w:sz w:val="21"/>
                      <w:szCs w:val="21"/>
                      <w:lang w:val="en-US" w:eastAsia="zh-CN"/>
                    </w:rPr>
                  </w:pPr>
                  <w:r>
                    <w:rPr>
                      <w:rStyle w:val="37"/>
                      <w:rFonts w:hint="eastAsia"/>
                      <w:color w:val="auto"/>
                      <w:sz w:val="21"/>
                      <w:szCs w:val="21"/>
                      <w:lang w:val="en-US" w:eastAsia="zh-CN"/>
                    </w:rPr>
                    <w:t>G1</w:t>
                  </w:r>
                </w:p>
              </w:tc>
              <w:tc>
                <w:tcPr>
                  <w:tcW w:w="2331" w:type="dxa"/>
                  <w:tcBorders>
                    <w:tl2br w:val="nil"/>
                    <w:tr2bl w:val="nil"/>
                  </w:tcBorders>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实验废气</w:t>
                  </w:r>
                </w:p>
              </w:tc>
              <w:tc>
                <w:tcPr>
                  <w:tcW w:w="4327" w:type="dxa"/>
                  <w:tcBorders>
                    <w:tl2br w:val="nil"/>
                    <w:tr2bl w:val="nil"/>
                  </w:tcBorders>
                  <w:vAlign w:val="center"/>
                </w:tcPr>
                <w:p>
                  <w:pPr>
                    <w:spacing w:line="240" w:lineRule="auto"/>
                    <w:jc w:val="center"/>
                    <w:rPr>
                      <w:color w:val="auto"/>
                      <w:sz w:val="21"/>
                      <w:szCs w:val="21"/>
                    </w:rPr>
                  </w:pPr>
                  <w:r>
                    <w:rPr>
                      <w:rFonts w:hint="eastAsia"/>
                      <w:color w:val="auto"/>
                      <w:sz w:val="21"/>
                      <w:szCs w:val="21"/>
                      <w:lang w:eastAsia="zh-CN"/>
                    </w:rPr>
                    <w:t>非甲烷总烃、TRVOC、甲醇、二甲苯、氯化氢、</w:t>
                  </w:r>
                  <w:r>
                    <w:rPr>
                      <w:rFonts w:hint="eastAsia"/>
                      <w:color w:val="auto"/>
                      <w:sz w:val="21"/>
                      <w:szCs w:val="21"/>
                      <w:lang w:val="en-US" w:eastAsia="zh-CN"/>
                    </w:rPr>
                    <w:t>氨、臭气浓度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lang w:val="en-US" w:eastAsia="zh-CN"/>
                    </w:rPr>
                  </w:pPr>
                </w:p>
              </w:tc>
              <w:tc>
                <w:tcPr>
                  <w:tcW w:w="945" w:type="dxa"/>
                  <w:tcBorders>
                    <w:tl2br w:val="nil"/>
                    <w:tr2bl w:val="nil"/>
                  </w:tcBorders>
                  <w:vAlign w:val="center"/>
                </w:tcPr>
                <w:p>
                  <w:pPr>
                    <w:spacing w:line="240" w:lineRule="auto"/>
                    <w:jc w:val="center"/>
                    <w:rPr>
                      <w:rStyle w:val="37"/>
                      <w:rFonts w:hint="default" w:eastAsia="宋体"/>
                      <w:color w:val="auto"/>
                      <w:sz w:val="21"/>
                      <w:szCs w:val="21"/>
                      <w:lang w:val="en-US" w:eastAsia="zh-CN"/>
                    </w:rPr>
                  </w:pPr>
                  <w:r>
                    <w:rPr>
                      <w:rStyle w:val="37"/>
                      <w:rFonts w:hint="eastAsia"/>
                      <w:color w:val="auto"/>
                      <w:sz w:val="21"/>
                      <w:szCs w:val="21"/>
                      <w:lang w:val="en-US" w:eastAsia="zh-CN"/>
                    </w:rPr>
                    <w:t>G2</w:t>
                  </w:r>
                </w:p>
              </w:tc>
              <w:tc>
                <w:tcPr>
                  <w:tcW w:w="2331" w:type="dxa"/>
                  <w:tcBorders>
                    <w:tl2br w:val="nil"/>
                    <w:tr2bl w:val="nil"/>
                  </w:tcBorders>
                  <w:vAlign w:val="center"/>
                </w:tcPr>
                <w:p>
                  <w:pPr>
                    <w:spacing w:line="240" w:lineRule="auto"/>
                    <w:ind w:firstLine="0" w:firstLineChars="0"/>
                    <w:jc w:val="center"/>
                    <w:rPr>
                      <w:rFonts w:hint="eastAsia"/>
                      <w:color w:val="auto"/>
                      <w:sz w:val="21"/>
                      <w:szCs w:val="21"/>
                    </w:rPr>
                  </w:pPr>
                  <w:r>
                    <w:rPr>
                      <w:rFonts w:hint="eastAsia"/>
                      <w:color w:val="auto"/>
                      <w:sz w:val="21"/>
                      <w:szCs w:val="21"/>
                      <w:lang w:eastAsia="zh-CN"/>
                    </w:rPr>
                    <w:t>消毒废气</w:t>
                  </w:r>
                </w:p>
              </w:tc>
              <w:tc>
                <w:tcPr>
                  <w:tcW w:w="4327" w:type="dxa"/>
                  <w:tcBorders>
                    <w:tl2br w:val="nil"/>
                    <w:tr2bl w:val="nil"/>
                  </w:tcBorders>
                  <w:vAlign w:val="center"/>
                </w:tcPr>
                <w:p>
                  <w:pPr>
                    <w:spacing w:line="240" w:lineRule="auto"/>
                    <w:jc w:val="center"/>
                    <w:rPr>
                      <w:rFonts w:hint="eastAsia"/>
                      <w:color w:val="auto"/>
                      <w:sz w:val="21"/>
                      <w:szCs w:val="21"/>
                    </w:rPr>
                  </w:pPr>
                  <w:r>
                    <w:rPr>
                      <w:rFonts w:hint="eastAsia"/>
                      <w:color w:val="auto"/>
                      <w:sz w:val="21"/>
                      <w:szCs w:val="21"/>
                      <w:lang w:eastAsia="zh-CN"/>
                    </w:rPr>
                    <w:t>非甲烷总烃、TRVOC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lang w:val="en-US" w:eastAsia="zh-CN"/>
                    </w:rPr>
                  </w:pPr>
                </w:p>
              </w:tc>
              <w:tc>
                <w:tcPr>
                  <w:tcW w:w="945" w:type="dxa"/>
                  <w:tcBorders>
                    <w:tl2br w:val="nil"/>
                    <w:tr2bl w:val="nil"/>
                  </w:tcBorders>
                  <w:vAlign w:val="center"/>
                </w:tcPr>
                <w:p>
                  <w:pPr>
                    <w:spacing w:line="240" w:lineRule="auto"/>
                    <w:jc w:val="center"/>
                    <w:rPr>
                      <w:rStyle w:val="37"/>
                      <w:rFonts w:hint="default"/>
                      <w:color w:val="auto"/>
                      <w:sz w:val="21"/>
                      <w:szCs w:val="21"/>
                      <w:lang w:val="en-US" w:eastAsia="zh-CN"/>
                    </w:rPr>
                  </w:pPr>
                  <w:r>
                    <w:rPr>
                      <w:rStyle w:val="37"/>
                      <w:rFonts w:hint="eastAsia"/>
                      <w:color w:val="auto"/>
                      <w:sz w:val="21"/>
                      <w:szCs w:val="21"/>
                      <w:lang w:val="en-US" w:eastAsia="zh-CN"/>
                    </w:rPr>
                    <w:t>G3</w:t>
                  </w:r>
                </w:p>
              </w:tc>
              <w:tc>
                <w:tcPr>
                  <w:tcW w:w="2331" w:type="dxa"/>
                  <w:tcBorders>
                    <w:tl2br w:val="nil"/>
                    <w:tr2bl w:val="nil"/>
                  </w:tcBorders>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eastAsia="zh-CN"/>
                    </w:rPr>
                    <w:t>饲养废气</w:t>
                  </w:r>
                </w:p>
              </w:tc>
              <w:tc>
                <w:tcPr>
                  <w:tcW w:w="4327" w:type="dxa"/>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eastAsia="zh-CN"/>
                    </w:rPr>
                    <w:t>氨、硫化氢、臭气浓度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vAlign w:val="center"/>
                </w:tcPr>
                <w:p>
                  <w:pPr>
                    <w:spacing w:line="240" w:lineRule="auto"/>
                    <w:jc w:val="center"/>
                    <w:rPr>
                      <w:color w:val="auto"/>
                      <w:sz w:val="21"/>
                      <w:szCs w:val="21"/>
                    </w:rPr>
                  </w:pPr>
                  <w:r>
                    <w:rPr>
                      <w:rFonts w:hint="eastAsia"/>
                      <w:color w:val="auto"/>
                      <w:sz w:val="21"/>
                      <w:szCs w:val="21"/>
                    </w:rPr>
                    <w:t>废水</w:t>
                  </w:r>
                </w:p>
              </w:tc>
              <w:tc>
                <w:tcPr>
                  <w:tcW w:w="945" w:type="dxa"/>
                  <w:tcBorders>
                    <w:tl2br w:val="nil"/>
                    <w:tr2bl w:val="nil"/>
                  </w:tcBorders>
                  <w:vAlign w:val="center"/>
                </w:tcPr>
                <w:p>
                  <w:pPr>
                    <w:spacing w:line="240" w:lineRule="auto"/>
                    <w:jc w:val="center"/>
                    <w:rPr>
                      <w:rStyle w:val="37"/>
                      <w:rFonts w:hint="default" w:eastAsia="宋体"/>
                      <w:color w:val="auto"/>
                      <w:sz w:val="21"/>
                      <w:szCs w:val="21"/>
                      <w:lang w:val="en-US" w:eastAsia="zh-CN"/>
                    </w:rPr>
                  </w:pPr>
                  <w:r>
                    <w:rPr>
                      <w:rStyle w:val="37"/>
                      <w:rFonts w:hint="eastAsia"/>
                      <w:color w:val="auto"/>
                      <w:sz w:val="21"/>
                      <w:szCs w:val="21"/>
                      <w:lang w:val="en-US" w:eastAsia="zh-CN"/>
                    </w:rPr>
                    <w:t>W1</w:t>
                  </w:r>
                </w:p>
              </w:tc>
              <w:tc>
                <w:tcPr>
                  <w:tcW w:w="2331" w:type="dxa"/>
                  <w:tcBorders>
                    <w:tl2br w:val="nil"/>
                    <w:tr2bl w:val="nil"/>
                  </w:tcBorders>
                  <w:vAlign w:val="center"/>
                </w:tcPr>
                <w:p>
                  <w:pPr>
                    <w:spacing w:line="240" w:lineRule="auto"/>
                    <w:ind w:firstLine="0" w:firstLineChars="0"/>
                    <w:jc w:val="center"/>
                    <w:rPr>
                      <w:color w:val="auto"/>
                      <w:sz w:val="21"/>
                      <w:szCs w:val="21"/>
                    </w:rPr>
                  </w:pPr>
                  <w:r>
                    <w:rPr>
                      <w:rFonts w:hint="eastAsia"/>
                      <w:color w:val="auto"/>
                      <w:sz w:val="21"/>
                      <w:szCs w:val="21"/>
                      <w:lang w:eastAsia="zh-CN"/>
                    </w:rPr>
                    <w:t>净水机浓水</w:t>
                  </w:r>
                </w:p>
              </w:tc>
              <w:tc>
                <w:tcPr>
                  <w:tcW w:w="4327" w:type="dxa"/>
                  <w:tcBorders>
                    <w:tl2br w:val="nil"/>
                    <w:tr2bl w:val="nil"/>
                  </w:tcBorders>
                  <w:vAlign w:val="center"/>
                </w:tcPr>
                <w:p>
                  <w:pPr>
                    <w:spacing w:line="240" w:lineRule="auto"/>
                    <w:jc w:val="center"/>
                    <w:rPr>
                      <w:color w:val="auto"/>
                      <w:sz w:val="21"/>
                      <w:szCs w:val="21"/>
                    </w:rPr>
                  </w:pPr>
                  <w:r>
                    <w:rPr>
                      <w:rFonts w:hint="eastAsia"/>
                      <w:color w:val="auto"/>
                      <w:sz w:val="21"/>
                      <w:szCs w:val="21"/>
                      <w:lang w:val="en-US" w:eastAsia="zh-CN"/>
                    </w:rPr>
                    <w:t>SS、 COD</w:t>
                  </w:r>
                  <w:r>
                    <w:rPr>
                      <w:rFonts w:hint="eastAsia"/>
                      <w:color w:val="auto"/>
                      <w:sz w:val="21"/>
                      <w:szCs w:val="21"/>
                      <w:vertAlign w:val="subscript"/>
                      <w:lang w:val="en-US" w:eastAsia="zh-CN"/>
                    </w:rPr>
                    <w:t>cr</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rPr>
                  </w:pPr>
                </w:p>
              </w:tc>
              <w:tc>
                <w:tcPr>
                  <w:tcW w:w="945" w:type="dxa"/>
                  <w:tcBorders>
                    <w:tl2br w:val="nil"/>
                    <w:tr2bl w:val="nil"/>
                  </w:tcBorders>
                  <w:vAlign w:val="center"/>
                </w:tcPr>
                <w:p>
                  <w:pPr>
                    <w:spacing w:line="240" w:lineRule="auto"/>
                    <w:jc w:val="center"/>
                    <w:rPr>
                      <w:rStyle w:val="37"/>
                      <w:rFonts w:hint="default"/>
                      <w:color w:val="auto"/>
                      <w:sz w:val="21"/>
                      <w:szCs w:val="21"/>
                      <w:lang w:val="en-US" w:eastAsia="zh-CN"/>
                    </w:rPr>
                  </w:pPr>
                  <w:r>
                    <w:rPr>
                      <w:rStyle w:val="37"/>
                      <w:rFonts w:hint="eastAsia"/>
                      <w:color w:val="auto"/>
                      <w:sz w:val="21"/>
                      <w:szCs w:val="21"/>
                      <w:lang w:val="en-US" w:eastAsia="zh-CN"/>
                    </w:rPr>
                    <w:t>W2</w:t>
                  </w:r>
                </w:p>
              </w:tc>
              <w:tc>
                <w:tcPr>
                  <w:tcW w:w="2331" w:type="dxa"/>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eastAsia="zh-CN"/>
                    </w:rPr>
                    <w:t>第三次实验清洗废水</w:t>
                  </w:r>
                </w:p>
              </w:tc>
              <w:tc>
                <w:tcPr>
                  <w:tcW w:w="432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pH、SS、 COD</w:t>
                  </w:r>
                  <w:r>
                    <w:rPr>
                      <w:rFonts w:hint="eastAsia"/>
                      <w:color w:val="auto"/>
                      <w:sz w:val="21"/>
                      <w:szCs w:val="21"/>
                      <w:vertAlign w:val="subscript"/>
                      <w:lang w:val="en-US" w:eastAsia="zh-CN"/>
                    </w:rPr>
                    <w:t>cr</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、氨氮、总磷、总氮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rPr>
                  </w:pPr>
                </w:p>
              </w:tc>
              <w:tc>
                <w:tcPr>
                  <w:tcW w:w="945" w:type="dxa"/>
                  <w:tcBorders>
                    <w:tl2br w:val="nil"/>
                    <w:tr2bl w:val="nil"/>
                  </w:tcBorders>
                  <w:vAlign w:val="center"/>
                </w:tcPr>
                <w:p>
                  <w:pPr>
                    <w:spacing w:line="240" w:lineRule="auto"/>
                    <w:jc w:val="center"/>
                    <w:rPr>
                      <w:rStyle w:val="37"/>
                      <w:rFonts w:hint="default"/>
                      <w:color w:val="auto"/>
                      <w:sz w:val="21"/>
                      <w:szCs w:val="21"/>
                      <w:lang w:val="en-US" w:eastAsia="zh-CN"/>
                    </w:rPr>
                  </w:pPr>
                  <w:r>
                    <w:rPr>
                      <w:rStyle w:val="37"/>
                      <w:rFonts w:hint="eastAsia"/>
                      <w:color w:val="auto"/>
                      <w:sz w:val="21"/>
                      <w:szCs w:val="21"/>
                      <w:lang w:val="en-US" w:eastAsia="zh-CN"/>
                    </w:rPr>
                    <w:t>W3</w:t>
                  </w:r>
                </w:p>
              </w:tc>
              <w:tc>
                <w:tcPr>
                  <w:tcW w:w="2331" w:type="dxa"/>
                  <w:tcBorders>
                    <w:tl2br w:val="nil"/>
                    <w:tr2bl w:val="nil"/>
                  </w:tcBorders>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eastAsia="zh-CN"/>
                    </w:rPr>
                    <w:t>动物房清洗废水</w:t>
                  </w:r>
                </w:p>
              </w:tc>
              <w:tc>
                <w:tcPr>
                  <w:tcW w:w="4327" w:type="dxa"/>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pH、SS、 COD</w:t>
                  </w:r>
                  <w:r>
                    <w:rPr>
                      <w:rFonts w:hint="eastAsia"/>
                      <w:color w:val="auto"/>
                      <w:sz w:val="21"/>
                      <w:szCs w:val="21"/>
                      <w:vertAlign w:val="subscript"/>
                      <w:lang w:val="en-US" w:eastAsia="zh-CN"/>
                    </w:rPr>
                    <w:t>cr</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、氨氮、总磷、总氮、粪大肠菌群数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rPr>
                  </w:pPr>
                </w:p>
              </w:tc>
              <w:tc>
                <w:tcPr>
                  <w:tcW w:w="945" w:type="dxa"/>
                  <w:tcBorders>
                    <w:tl2br w:val="nil"/>
                    <w:tr2bl w:val="nil"/>
                  </w:tcBorders>
                  <w:vAlign w:val="center"/>
                </w:tcPr>
                <w:p>
                  <w:pPr>
                    <w:spacing w:line="240" w:lineRule="auto"/>
                    <w:jc w:val="center"/>
                    <w:rPr>
                      <w:rStyle w:val="37"/>
                      <w:rFonts w:hint="default"/>
                      <w:color w:val="auto"/>
                      <w:sz w:val="21"/>
                      <w:szCs w:val="21"/>
                      <w:lang w:val="en-US" w:eastAsia="zh-CN"/>
                    </w:rPr>
                  </w:pPr>
                  <w:r>
                    <w:rPr>
                      <w:rStyle w:val="37"/>
                      <w:rFonts w:hint="eastAsia"/>
                      <w:color w:val="auto"/>
                      <w:sz w:val="21"/>
                      <w:szCs w:val="21"/>
                      <w:lang w:val="en-US" w:eastAsia="zh-CN"/>
                    </w:rPr>
                    <w:t>W4</w:t>
                  </w:r>
                </w:p>
              </w:tc>
              <w:tc>
                <w:tcPr>
                  <w:tcW w:w="2331" w:type="dxa"/>
                  <w:tcBorders>
                    <w:tl2br w:val="nil"/>
                    <w:tr2bl w:val="nil"/>
                  </w:tcBorders>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eastAsia="zh-CN"/>
                    </w:rPr>
                    <w:t>手术器具清洗废水</w:t>
                  </w:r>
                </w:p>
              </w:tc>
              <w:tc>
                <w:tcPr>
                  <w:tcW w:w="4327" w:type="dxa"/>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pH、SS、 COD</w:t>
                  </w:r>
                  <w:r>
                    <w:rPr>
                      <w:rFonts w:hint="eastAsia"/>
                      <w:color w:val="auto"/>
                      <w:sz w:val="21"/>
                      <w:szCs w:val="21"/>
                      <w:vertAlign w:val="subscript"/>
                      <w:lang w:val="en-US" w:eastAsia="zh-CN"/>
                    </w:rPr>
                    <w:t>cr</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、氨氮、总磷、总氮、粪大肠菌群数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rPr>
                  </w:pPr>
                </w:p>
              </w:tc>
              <w:tc>
                <w:tcPr>
                  <w:tcW w:w="945" w:type="dxa"/>
                  <w:tcBorders>
                    <w:tl2br w:val="nil"/>
                    <w:tr2bl w:val="nil"/>
                  </w:tcBorders>
                  <w:vAlign w:val="center"/>
                </w:tcPr>
                <w:p>
                  <w:pPr>
                    <w:spacing w:line="240" w:lineRule="auto"/>
                    <w:jc w:val="center"/>
                    <w:rPr>
                      <w:rStyle w:val="37"/>
                      <w:rFonts w:hint="default" w:eastAsia="宋体"/>
                      <w:color w:val="auto"/>
                      <w:sz w:val="21"/>
                      <w:szCs w:val="21"/>
                      <w:lang w:val="en-US" w:eastAsia="zh-CN"/>
                    </w:rPr>
                  </w:pPr>
                  <w:r>
                    <w:rPr>
                      <w:rStyle w:val="37"/>
                      <w:rFonts w:hint="eastAsia"/>
                      <w:color w:val="auto"/>
                      <w:sz w:val="21"/>
                      <w:szCs w:val="21"/>
                      <w:lang w:val="en-US" w:eastAsia="zh-CN"/>
                    </w:rPr>
                    <w:t>W5</w:t>
                  </w:r>
                </w:p>
              </w:tc>
              <w:tc>
                <w:tcPr>
                  <w:tcW w:w="2331" w:type="dxa"/>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rPr>
                    <w:t>生活</w:t>
                  </w:r>
                  <w:r>
                    <w:rPr>
                      <w:rFonts w:hint="eastAsia"/>
                      <w:color w:val="auto"/>
                      <w:sz w:val="21"/>
                      <w:szCs w:val="21"/>
                      <w:lang w:val="en-US" w:eastAsia="zh-CN"/>
                    </w:rPr>
                    <w:t>污水</w:t>
                  </w:r>
                </w:p>
              </w:tc>
              <w:tc>
                <w:tcPr>
                  <w:tcW w:w="4327" w:type="dxa"/>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pH、SS、 COD</w:t>
                  </w:r>
                  <w:r>
                    <w:rPr>
                      <w:rFonts w:hint="eastAsia"/>
                      <w:color w:val="auto"/>
                      <w:sz w:val="21"/>
                      <w:szCs w:val="21"/>
                      <w:vertAlign w:val="subscript"/>
                      <w:lang w:val="en-US" w:eastAsia="zh-CN"/>
                    </w:rPr>
                    <w:t>cr</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、氨氮、总磷、总氮、粪大肠菌群数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rFonts w:hint="eastAsia"/>
                      <w:color w:val="auto"/>
                      <w:sz w:val="21"/>
                      <w:szCs w:val="21"/>
                    </w:rPr>
                  </w:pPr>
                </w:p>
              </w:tc>
              <w:tc>
                <w:tcPr>
                  <w:tcW w:w="945" w:type="dxa"/>
                  <w:tcBorders>
                    <w:tl2br w:val="nil"/>
                    <w:tr2bl w:val="nil"/>
                  </w:tcBorders>
                  <w:vAlign w:val="center"/>
                </w:tcPr>
                <w:p>
                  <w:pPr>
                    <w:spacing w:line="240" w:lineRule="auto"/>
                    <w:jc w:val="center"/>
                    <w:rPr>
                      <w:rStyle w:val="37"/>
                      <w:rFonts w:hint="default"/>
                      <w:color w:val="auto"/>
                      <w:sz w:val="21"/>
                      <w:szCs w:val="21"/>
                      <w:lang w:val="en-US" w:eastAsia="zh-CN"/>
                    </w:rPr>
                  </w:pPr>
                  <w:r>
                    <w:rPr>
                      <w:rStyle w:val="37"/>
                      <w:rFonts w:hint="eastAsia"/>
                      <w:color w:val="auto"/>
                      <w:sz w:val="21"/>
                      <w:szCs w:val="21"/>
                      <w:lang w:val="en-US" w:eastAsia="zh-CN"/>
                    </w:rPr>
                    <w:t>W6</w:t>
                  </w:r>
                </w:p>
              </w:tc>
              <w:tc>
                <w:tcPr>
                  <w:tcW w:w="2331" w:type="dxa"/>
                  <w:tcBorders>
                    <w:tl2br w:val="nil"/>
                    <w:tr2bl w:val="nil"/>
                  </w:tcBorders>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实验服清洗废水</w:t>
                  </w:r>
                </w:p>
              </w:tc>
              <w:tc>
                <w:tcPr>
                  <w:tcW w:w="4327" w:type="dxa"/>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pH、SS、 COD</w:t>
                  </w:r>
                  <w:r>
                    <w:rPr>
                      <w:rFonts w:hint="eastAsia"/>
                      <w:color w:val="auto"/>
                      <w:sz w:val="21"/>
                      <w:szCs w:val="21"/>
                      <w:vertAlign w:val="subscript"/>
                      <w:lang w:val="en-US" w:eastAsia="zh-CN"/>
                    </w:rPr>
                    <w:t>cr</w:t>
                  </w:r>
                  <w:r>
                    <w:rPr>
                      <w:rFonts w:hint="eastAsia"/>
                      <w:color w:val="auto"/>
                      <w:sz w:val="21"/>
                      <w:szCs w:val="21"/>
                      <w:lang w:val="en-US" w:eastAsia="zh-CN"/>
                    </w:rPr>
                    <w:t>、BOD</w:t>
                  </w:r>
                  <w:r>
                    <w:rPr>
                      <w:rFonts w:hint="eastAsia"/>
                      <w:color w:val="auto"/>
                      <w:sz w:val="21"/>
                      <w:szCs w:val="21"/>
                      <w:vertAlign w:val="subscript"/>
                      <w:lang w:val="en-US" w:eastAsia="zh-CN"/>
                    </w:rPr>
                    <w:t>5</w:t>
                  </w:r>
                  <w:r>
                    <w:rPr>
                      <w:rFonts w:hint="eastAsia"/>
                      <w:color w:val="auto"/>
                      <w:sz w:val="21"/>
                      <w:szCs w:val="21"/>
                      <w:lang w:val="en-US" w:eastAsia="zh-CN"/>
                    </w:rPr>
                    <w:t>、氨氮、总磷、总氮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tcBorders>
                    <w:tl2br w:val="nil"/>
                    <w:tr2bl w:val="nil"/>
                  </w:tcBorders>
                  <w:vAlign w:val="center"/>
                </w:tcPr>
                <w:p>
                  <w:pPr>
                    <w:spacing w:line="240" w:lineRule="auto"/>
                    <w:jc w:val="center"/>
                    <w:rPr>
                      <w:color w:val="auto"/>
                      <w:sz w:val="21"/>
                      <w:szCs w:val="21"/>
                    </w:rPr>
                  </w:pPr>
                  <w:r>
                    <w:rPr>
                      <w:color w:val="auto"/>
                      <w:sz w:val="21"/>
                      <w:szCs w:val="21"/>
                    </w:rPr>
                    <w:t>噪声</w:t>
                  </w: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N1</w:t>
                  </w:r>
                </w:p>
              </w:tc>
              <w:tc>
                <w:tcPr>
                  <w:tcW w:w="2331" w:type="dxa"/>
                  <w:tcBorders>
                    <w:tl2br w:val="nil"/>
                    <w:tr2bl w:val="nil"/>
                  </w:tcBorders>
                  <w:vAlign w:val="center"/>
                </w:tcPr>
                <w:p>
                  <w:pPr>
                    <w:spacing w:line="240" w:lineRule="auto"/>
                    <w:jc w:val="center"/>
                    <w:rPr>
                      <w:color w:val="auto"/>
                      <w:sz w:val="21"/>
                      <w:szCs w:val="21"/>
                    </w:rPr>
                  </w:pPr>
                  <w:r>
                    <w:rPr>
                      <w:rFonts w:hint="eastAsia"/>
                      <w:color w:val="auto"/>
                      <w:sz w:val="21"/>
                      <w:szCs w:val="21"/>
                      <w:lang w:eastAsia="zh-CN"/>
                    </w:rPr>
                    <w:t>洁净车间送</w:t>
                  </w:r>
                  <w:r>
                    <w:rPr>
                      <w:rFonts w:hint="eastAsia"/>
                      <w:color w:val="auto"/>
                      <w:sz w:val="21"/>
                      <w:szCs w:val="21"/>
                      <w:lang w:val="en-US" w:eastAsia="zh-CN"/>
                    </w:rPr>
                    <w:t>排</w:t>
                  </w:r>
                  <w:r>
                    <w:rPr>
                      <w:rFonts w:hint="eastAsia"/>
                      <w:color w:val="auto"/>
                      <w:sz w:val="21"/>
                      <w:szCs w:val="21"/>
                      <w:lang w:eastAsia="zh-CN"/>
                    </w:rPr>
                    <w:t>风风机、</w:t>
                  </w:r>
                  <w:r>
                    <w:rPr>
                      <w:rFonts w:hint="eastAsia"/>
                      <w:color w:val="auto"/>
                      <w:sz w:val="21"/>
                      <w:szCs w:val="21"/>
                      <w:lang w:val="en-US" w:eastAsia="zh-CN"/>
                    </w:rPr>
                    <w:t>病理实验室排风风机、环保设备风机</w:t>
                  </w:r>
                </w:p>
              </w:tc>
              <w:tc>
                <w:tcPr>
                  <w:tcW w:w="4327" w:type="dxa"/>
                  <w:tcBorders>
                    <w:tl2br w:val="nil"/>
                    <w:tr2bl w:val="nil"/>
                  </w:tcBorders>
                  <w:vAlign w:val="center"/>
                </w:tcPr>
                <w:p>
                  <w:pPr>
                    <w:spacing w:line="240" w:lineRule="auto"/>
                    <w:jc w:val="center"/>
                    <w:rPr>
                      <w:color w:val="auto"/>
                      <w:sz w:val="21"/>
                      <w:szCs w:val="21"/>
                    </w:rPr>
                  </w:pPr>
                  <w:r>
                    <w:rPr>
                      <w:rFonts w:hint="eastAsia"/>
                      <w:color w:val="auto"/>
                      <w:sz w:val="21"/>
                      <w:szCs w:val="21"/>
                      <w:lang w:val="en-US" w:eastAsia="zh-CN"/>
                    </w:rPr>
                    <w:t>70~80</w:t>
                  </w:r>
                  <w:r>
                    <w:rPr>
                      <w:rFonts w:hint="eastAsia"/>
                      <w:b w:val="0"/>
                      <w:bCs w:val="0"/>
                      <w:color w:val="auto"/>
                      <w:sz w:val="21"/>
                      <w:szCs w:val="21"/>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restart"/>
                  <w:tcBorders>
                    <w:tl2br w:val="nil"/>
                    <w:tr2bl w:val="nil"/>
                  </w:tcBorders>
                  <w:vAlign w:val="center"/>
                </w:tcPr>
                <w:p>
                  <w:pPr>
                    <w:spacing w:line="240" w:lineRule="auto"/>
                    <w:jc w:val="center"/>
                    <w:rPr>
                      <w:color w:val="auto"/>
                      <w:sz w:val="21"/>
                      <w:szCs w:val="21"/>
                    </w:rPr>
                  </w:pPr>
                  <w:r>
                    <w:rPr>
                      <w:color w:val="auto"/>
                      <w:sz w:val="21"/>
                      <w:szCs w:val="21"/>
                    </w:rPr>
                    <w:t>固废废物</w:t>
                  </w:r>
                </w:p>
              </w:tc>
              <w:tc>
                <w:tcPr>
                  <w:tcW w:w="9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S1</w:t>
                  </w:r>
                </w:p>
              </w:tc>
              <w:tc>
                <w:tcPr>
                  <w:tcW w:w="2331" w:type="dxa"/>
                  <w:tcBorders>
                    <w:tl2br w:val="nil"/>
                    <w:tr2bl w:val="nil"/>
                  </w:tcBorders>
                  <w:vAlign w:val="center"/>
                </w:tcPr>
                <w:p>
                  <w:pPr>
                    <w:pStyle w:val="84"/>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动物饲养</w:t>
                  </w:r>
                </w:p>
              </w:tc>
              <w:tc>
                <w:tcPr>
                  <w:tcW w:w="4327" w:type="dxa"/>
                  <w:tcBorders>
                    <w:tl2br w:val="nil"/>
                    <w:tr2bl w:val="nil"/>
                  </w:tcBorders>
                  <w:vAlign w:val="center"/>
                </w:tcPr>
                <w:p>
                  <w:pPr>
                    <w:pStyle w:val="91"/>
                    <w:bidi w:val="0"/>
                    <w:rPr>
                      <w:color w:val="auto"/>
                      <w:sz w:val="21"/>
                      <w:szCs w:val="21"/>
                    </w:rPr>
                  </w:pPr>
                  <w:r>
                    <w:rPr>
                      <w:rFonts w:hint="eastAsia"/>
                      <w:color w:val="auto"/>
                      <w:sz w:val="21"/>
                      <w:szCs w:val="21"/>
                      <w:lang w:val="en-US" w:eastAsia="zh-CN"/>
                    </w:rPr>
                    <w:t>动物粪便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S2</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olor w:val="auto"/>
                      <w:sz w:val="21"/>
                      <w:szCs w:val="21"/>
                      <w:lang w:val="en-US" w:eastAsia="zh-CN"/>
                    </w:rPr>
                    <w:t>净水机</w:t>
                  </w:r>
                </w:p>
              </w:tc>
              <w:tc>
                <w:tcPr>
                  <w:tcW w:w="4327" w:type="dxa"/>
                  <w:tcBorders>
                    <w:tl2br w:val="nil"/>
                    <w:tr2bl w:val="nil"/>
                  </w:tcBorders>
                  <w:vAlign w:val="center"/>
                </w:tcPr>
                <w:p>
                  <w:pPr>
                    <w:pStyle w:val="91"/>
                    <w:bidi w:val="0"/>
                    <w:rPr>
                      <w:color w:val="auto"/>
                      <w:sz w:val="21"/>
                      <w:szCs w:val="21"/>
                    </w:rPr>
                  </w:pPr>
                  <w:r>
                    <w:rPr>
                      <w:rFonts w:hint="eastAsia" w:cs="Times New Roman"/>
                      <w:color w:val="auto"/>
                      <w:sz w:val="21"/>
                      <w:szCs w:val="21"/>
                      <w:lang w:val="en-US" w:eastAsia="zh-CN"/>
                    </w:rPr>
                    <w:t>净水设备废弃物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S3</w:t>
                  </w:r>
                </w:p>
              </w:tc>
              <w:tc>
                <w:tcPr>
                  <w:tcW w:w="2331" w:type="dxa"/>
                  <w:tcBorders>
                    <w:tl2br w:val="nil"/>
                    <w:tr2bl w:val="nil"/>
                  </w:tcBorders>
                  <w:vAlign w:val="center"/>
                </w:tcPr>
                <w:p>
                  <w:pPr>
                    <w:pStyle w:val="84"/>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动物解剖</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动物尸体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S4</w:t>
                  </w:r>
                </w:p>
              </w:tc>
              <w:tc>
                <w:tcPr>
                  <w:tcW w:w="2331" w:type="dxa"/>
                  <w:tcBorders>
                    <w:tl2br w:val="nil"/>
                    <w:tr2bl w:val="nil"/>
                  </w:tcBorders>
                  <w:vAlign w:val="center"/>
                </w:tcPr>
                <w:p>
                  <w:pPr>
                    <w:pStyle w:val="84"/>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实验、清洗</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实验废液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S5</w:t>
                  </w:r>
                </w:p>
              </w:tc>
              <w:tc>
                <w:tcPr>
                  <w:tcW w:w="2331" w:type="dxa"/>
                  <w:tcBorders>
                    <w:tl2br w:val="nil"/>
                    <w:tr2bl w:val="nil"/>
                  </w:tcBorders>
                  <w:vAlign w:val="center"/>
                </w:tcPr>
                <w:p>
                  <w:pPr>
                    <w:pStyle w:val="84"/>
                    <w:spacing w:line="240" w:lineRule="auto"/>
                    <w:ind w:firstLine="0" w:firstLineChars="0"/>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细胞培养</w:t>
                  </w:r>
                </w:p>
              </w:tc>
              <w:tc>
                <w:tcPr>
                  <w:tcW w:w="4327" w:type="dxa"/>
                  <w:tcBorders>
                    <w:tl2br w:val="nil"/>
                    <w:tr2bl w:val="nil"/>
                  </w:tcBorders>
                  <w:vAlign w:val="center"/>
                </w:tcPr>
                <w:p>
                  <w:pPr>
                    <w:pStyle w:val="91"/>
                    <w:bidi w:val="0"/>
                    <w:rPr>
                      <w:color w:val="auto"/>
                      <w:sz w:val="21"/>
                      <w:szCs w:val="21"/>
                    </w:rPr>
                  </w:pPr>
                  <w:r>
                    <w:rPr>
                      <w:rFonts w:hint="eastAsia"/>
                      <w:color w:val="auto"/>
                      <w:sz w:val="21"/>
                      <w:szCs w:val="21"/>
                      <w:lang w:val="en-US" w:eastAsia="zh-CN"/>
                    </w:rPr>
                    <w:t>废培养基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S6</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olor w:val="auto"/>
                      <w:sz w:val="21"/>
                      <w:szCs w:val="21"/>
                      <w:lang w:val="en-US" w:eastAsia="zh-CN"/>
                    </w:rPr>
                    <w:t>拆包</w:t>
                  </w:r>
                </w:p>
              </w:tc>
              <w:tc>
                <w:tcPr>
                  <w:tcW w:w="4327" w:type="dxa"/>
                  <w:tcBorders>
                    <w:tl2br w:val="nil"/>
                    <w:tr2bl w:val="nil"/>
                  </w:tcBorders>
                  <w:vAlign w:val="center"/>
                </w:tcPr>
                <w:p>
                  <w:pPr>
                    <w:pStyle w:val="91"/>
                    <w:bidi w:val="0"/>
                    <w:rPr>
                      <w:color w:val="auto"/>
                      <w:sz w:val="21"/>
                      <w:szCs w:val="21"/>
                    </w:rPr>
                  </w:pPr>
                  <w:r>
                    <w:rPr>
                      <w:rFonts w:hint="eastAsia"/>
                      <w:color w:val="auto"/>
                      <w:sz w:val="21"/>
                      <w:szCs w:val="21"/>
                      <w:lang w:val="en-US" w:eastAsia="zh-CN"/>
                    </w:rPr>
                    <w:t>废包装物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S7</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s="Times New Roman"/>
                      <w:color w:val="auto"/>
                      <w:kern w:val="2"/>
                      <w:sz w:val="21"/>
                      <w:szCs w:val="21"/>
                      <w:lang w:val="en-US" w:eastAsia="zh-CN" w:bidi="ar-SA"/>
                    </w:rPr>
                    <w:t>实验耗材</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实验废物（实验玻片、枪头、废离心管、废试剂盒、废试剂瓶）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S8</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olor w:val="auto"/>
                      <w:sz w:val="21"/>
                      <w:szCs w:val="21"/>
                      <w:lang w:val="en-US" w:eastAsia="zh-CN"/>
                    </w:rPr>
                    <w:t>紫外消毒灯</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废UV灯管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S9</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olor w:val="auto"/>
                      <w:sz w:val="21"/>
                      <w:szCs w:val="21"/>
                      <w:lang w:val="en-US" w:eastAsia="zh-CN"/>
                    </w:rPr>
                    <w:t>活性炭吸附装置</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lang w:val="en-US" w:eastAsia="zh-CN"/>
                    </w:rPr>
                    <w:t>废活性炭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lang w:val="en-US" w:eastAsia="zh-CN"/>
                    </w:rPr>
                    <w:t>S10</w:t>
                  </w:r>
                </w:p>
              </w:tc>
              <w:tc>
                <w:tcPr>
                  <w:tcW w:w="2331" w:type="dxa"/>
                  <w:tcBorders>
                    <w:tl2br w:val="nil"/>
                    <w:tr2bl w:val="nil"/>
                  </w:tcBorders>
                  <w:vAlign w:val="center"/>
                </w:tcPr>
                <w:p>
                  <w:pPr>
                    <w:pStyle w:val="84"/>
                    <w:spacing w:line="240" w:lineRule="auto"/>
                    <w:ind w:firstLine="0" w:firstLineChars="0"/>
                    <w:rPr>
                      <w:color w:val="auto"/>
                      <w:sz w:val="21"/>
                      <w:szCs w:val="21"/>
                    </w:rPr>
                  </w:pPr>
                  <w:r>
                    <w:rPr>
                      <w:rFonts w:hint="eastAsia"/>
                      <w:color w:val="auto"/>
                      <w:sz w:val="21"/>
                      <w:szCs w:val="21"/>
                    </w:rPr>
                    <w:t>生活垃圾</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rPr>
                  </w:pPr>
                  <w:r>
                    <w:rPr>
                      <w:rFonts w:hint="eastAsia"/>
                      <w:color w:val="auto"/>
                      <w:sz w:val="21"/>
                      <w:szCs w:val="21"/>
                    </w:rPr>
                    <w:t>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75" w:type="dxa"/>
                  <w:vMerge w:val="continue"/>
                  <w:tcBorders>
                    <w:tl2br w:val="nil"/>
                    <w:tr2bl w:val="nil"/>
                  </w:tcBorders>
                  <w:vAlign w:val="center"/>
                </w:tcPr>
                <w:p>
                  <w:pPr>
                    <w:spacing w:line="240" w:lineRule="auto"/>
                    <w:jc w:val="center"/>
                    <w:rPr>
                      <w:color w:val="auto"/>
                      <w:sz w:val="21"/>
                      <w:szCs w:val="21"/>
                    </w:rPr>
                  </w:pPr>
                </w:p>
              </w:tc>
              <w:tc>
                <w:tcPr>
                  <w:tcW w:w="945" w:type="dxa"/>
                  <w:tcBorders>
                    <w:tl2br w:val="nil"/>
                    <w:tr2bl w:val="nil"/>
                  </w:tcBorders>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S11</w:t>
                  </w:r>
                </w:p>
              </w:tc>
              <w:tc>
                <w:tcPr>
                  <w:tcW w:w="2331" w:type="dxa"/>
                  <w:tcBorders>
                    <w:tl2br w:val="nil"/>
                    <w:tr2bl w:val="nil"/>
                  </w:tcBorders>
                  <w:vAlign w:val="center"/>
                </w:tcPr>
                <w:p>
                  <w:pPr>
                    <w:pStyle w:val="84"/>
                    <w:spacing w:line="240" w:lineRule="auto"/>
                    <w:ind w:firstLine="0" w:firstLineChars="0"/>
                    <w:rPr>
                      <w:rFonts w:hint="eastAsia" w:eastAsia="宋体"/>
                      <w:color w:val="auto"/>
                      <w:sz w:val="21"/>
                      <w:szCs w:val="21"/>
                      <w:lang w:eastAsia="zh-CN"/>
                    </w:rPr>
                  </w:pPr>
                  <w:r>
                    <w:rPr>
                      <w:rFonts w:hint="eastAsia"/>
                      <w:color w:val="auto"/>
                      <w:sz w:val="21"/>
                      <w:szCs w:val="21"/>
                      <w:lang w:eastAsia="zh-CN"/>
                    </w:rPr>
                    <w:t>滤渣</w:t>
                  </w:r>
                </w:p>
              </w:tc>
              <w:tc>
                <w:tcPr>
                  <w:tcW w:w="43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lang w:eastAsia="zh-CN"/>
                    </w:rPr>
                  </w:pPr>
                  <w:r>
                    <w:rPr>
                      <w:rFonts w:hint="eastAsia"/>
                      <w:color w:val="auto"/>
                      <w:sz w:val="21"/>
                      <w:szCs w:val="21"/>
                      <w:lang w:eastAsia="zh-CN"/>
                    </w:rPr>
                    <w:t>污水处理设备</w:t>
                  </w:r>
                </w:p>
              </w:tc>
            </w:tr>
          </w:tbl>
          <w:p>
            <w:pPr>
              <w:pStyle w:val="8"/>
              <w:rPr>
                <w:rFonts w:hint="default"/>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422" w:type="dxa"/>
            <w:noWrap w:val="0"/>
            <w:vAlign w:val="center"/>
          </w:tcPr>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ascii="Times New Roman" w:hAnsi="Times New Roman" w:eastAsia="宋体" w:cs="宋体"/>
                <w:color w:val="auto"/>
                <w:sz w:val="21"/>
                <w:szCs w:val="21"/>
              </w:rPr>
            </w:pPr>
            <w:r>
              <w:rPr>
                <w:rFonts w:hint="eastAsia" w:ascii="Times New Roman" w:hAnsi="Times New Roman" w:eastAsia="宋体" w:cs="宋体"/>
                <w:bCs/>
                <w:color w:val="auto"/>
                <w:kern w:val="2"/>
                <w:sz w:val="21"/>
                <w:szCs w:val="21"/>
              </w:rPr>
              <w:t>与项目有关的原有环境污染问题</w:t>
            </w:r>
          </w:p>
        </w:tc>
        <w:tc>
          <w:tcPr>
            <w:tcW w:w="8638" w:type="dxa"/>
            <w:noWrap w:val="0"/>
            <w:vAlign w:val="top"/>
          </w:tcPr>
          <w:p>
            <w:pPr>
              <w:pStyle w:val="8"/>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color w:val="auto"/>
              </w:rPr>
            </w:pPr>
            <w:r>
              <w:rPr>
                <w:rFonts w:hint="eastAsia"/>
                <w:color w:val="auto"/>
              </w:rPr>
              <w:t>本项目</w:t>
            </w:r>
            <w:r>
              <w:rPr>
                <w:rFonts w:hint="eastAsia"/>
                <w:color w:val="auto"/>
                <w:szCs w:val="21"/>
                <w:lang w:val="en-US" w:eastAsia="zh-CN"/>
              </w:rPr>
              <w:t>天津滨海高新区华苑产业区（环外）海泰华科八路6号5层E区512~514</w:t>
            </w:r>
            <w:r>
              <w:rPr>
                <w:rFonts w:hint="eastAsia"/>
                <w:color w:val="auto"/>
                <w:sz w:val="24"/>
              </w:rPr>
              <w:t>进行相关检测服务。</w:t>
            </w:r>
            <w:r>
              <w:rPr>
                <w:rFonts w:hint="eastAsia"/>
                <w:color w:val="auto"/>
                <w:sz w:val="24"/>
                <w:lang w:eastAsia="zh-CN"/>
              </w:rPr>
              <w:t>房屋</w:t>
            </w:r>
            <w:r>
              <w:rPr>
                <w:rFonts w:hint="eastAsia"/>
                <w:color w:val="auto"/>
                <w:lang w:eastAsia="zh-CN"/>
              </w:rPr>
              <w:t>一直处于闲置状态，</w:t>
            </w:r>
            <w:r>
              <w:rPr>
                <w:rFonts w:hint="eastAsia"/>
                <w:color w:val="auto"/>
                <w:lang w:val="en-US" w:eastAsia="zh-CN"/>
              </w:rPr>
              <w:t>现</w:t>
            </w:r>
            <w:r>
              <w:rPr>
                <w:rFonts w:hint="eastAsia"/>
                <w:color w:val="auto"/>
              </w:rPr>
              <w:t>未进行生产，无环境遗留问题，不存在与本项目有关的原有污染情况。租赁厂房现状见下图。</w:t>
            </w:r>
          </w:p>
          <w:p>
            <w:pPr>
              <w:pStyle w:val="9"/>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2421890" cy="1816735"/>
                  <wp:effectExtent l="0" t="0" r="16510" b="12065"/>
                  <wp:docPr id="9" name="图片 9" descr="712702ffc0385de9806847f4798a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12702ffc0385de9806847f4798a616"/>
                          <pic:cNvPicPr>
                            <a:picLocks noChangeAspect="1"/>
                          </pic:cNvPicPr>
                        </pic:nvPicPr>
                        <pic:blipFill>
                          <a:blip r:embed="rId20"/>
                          <a:stretch>
                            <a:fillRect/>
                          </a:stretch>
                        </pic:blipFill>
                        <pic:spPr>
                          <a:xfrm>
                            <a:off x="0" y="0"/>
                            <a:ext cx="2421890" cy="1816735"/>
                          </a:xfrm>
                          <a:prstGeom prst="rect">
                            <a:avLst/>
                          </a:prstGeom>
                        </pic:spPr>
                      </pic:pic>
                    </a:graphicData>
                  </a:graphic>
                </wp:inline>
              </w:drawing>
            </w:r>
          </w:p>
          <w:p>
            <w:pPr>
              <w:pStyle w:val="85"/>
              <w:keepNext w:val="0"/>
              <w:keepLines w:val="0"/>
              <w:pageBreakBefore w:val="0"/>
              <w:kinsoku/>
              <w:wordWrap/>
              <w:overflowPunct/>
              <w:topLinePunct w:val="0"/>
              <w:autoSpaceDE/>
              <w:autoSpaceDN/>
              <w:bidi w:val="0"/>
              <w:adjustRightInd/>
              <w:snapToGrid/>
              <w:spacing w:line="240" w:lineRule="auto"/>
              <w:textAlignment w:val="auto"/>
              <w:rPr>
                <w:rFonts w:hint="eastAsia"/>
                <w:color w:val="auto"/>
                <w:lang w:val="en-US" w:eastAsia="zh-CN"/>
              </w:rPr>
            </w:pPr>
            <w:r>
              <w:rPr>
                <w:rFonts w:hint="eastAsia"/>
                <w:color w:val="auto"/>
              </w:rPr>
              <w:t>图2-</w:t>
            </w:r>
            <w:r>
              <w:rPr>
                <w:rFonts w:hint="eastAsia"/>
                <w:color w:val="auto"/>
                <w:lang w:val="en-US" w:eastAsia="zh-CN"/>
              </w:rPr>
              <w:t>9</w:t>
            </w:r>
            <w:r>
              <w:rPr>
                <w:rFonts w:hint="eastAsia"/>
                <w:color w:val="auto"/>
              </w:rPr>
              <w:t xml:space="preserve">   租赁厂房现状图</w:t>
            </w:r>
          </w:p>
        </w:tc>
      </w:tr>
    </w:tbl>
    <w:p>
      <w:pPr>
        <w:pStyle w:val="26"/>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keepNext w:val="0"/>
        <w:keepLines w:val="0"/>
        <w:pageBreakBefore w:val="0"/>
        <w:widowControl/>
        <w:numPr>
          <w:ilvl w:val="0"/>
          <w:numId w:val="0"/>
        </w:numPr>
        <w:kinsoku/>
        <w:wordWrap/>
        <w:overflowPunct/>
        <w:topLinePunct w:val="0"/>
        <w:autoSpaceDE/>
        <w:autoSpaceDN/>
        <w:bidi w:val="0"/>
        <w:adjustRightInd/>
        <w:snapToGrid/>
        <w:spacing w:before="313" w:beforeLines="100" w:beforeAutospacing="0" w:after="313" w:afterLines="100" w:afterAutospacing="0" w:line="240" w:lineRule="auto"/>
        <w:ind w:leftChars="0" w:firstLine="600" w:firstLineChars="200"/>
        <w:jc w:val="left"/>
        <w:textAlignment w:val="auto"/>
        <w:outlineLvl w:val="0"/>
        <w:rPr>
          <w:rFonts w:hint="eastAsia" w:ascii="黑体" w:hAnsi="黑体" w:eastAsia="黑体"/>
          <w:snapToGrid w:val="0"/>
          <w:color w:val="auto"/>
          <w:sz w:val="30"/>
          <w:szCs w:val="30"/>
        </w:rPr>
      </w:pPr>
      <w:r>
        <w:rPr>
          <w:rFonts w:hint="eastAsia" w:ascii="黑体" w:hAnsi="黑体" w:eastAsia="黑体"/>
          <w:snapToGrid w:val="0"/>
          <w:color w:val="auto"/>
          <w:sz w:val="30"/>
          <w:szCs w:val="30"/>
          <w:lang w:val="en-US" w:eastAsia="zh-CN"/>
        </w:rPr>
        <w:t>三、</w:t>
      </w:r>
      <w:r>
        <w:rPr>
          <w:rFonts w:hint="eastAsia" w:ascii="黑体" w:hAnsi="黑体" w:eastAsia="黑体"/>
          <w:snapToGrid w:val="0"/>
          <w:color w:val="auto"/>
          <w:sz w:val="30"/>
          <w:szCs w:val="30"/>
        </w:rPr>
        <w:t>区域环境质量现状、环境保护目标及评价标准</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3"/>
        <w:gridCol w:w="8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noWrap w:val="0"/>
            <w:vAlign w:val="center"/>
          </w:tcPr>
          <w:p>
            <w:pPr>
              <w:adjustRightInd w:val="0"/>
              <w:snapToGrid w:val="0"/>
              <w:jc w:val="both"/>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区域</w:t>
            </w:r>
          </w:p>
          <w:p>
            <w:pPr>
              <w:adjustRightInd w:val="0"/>
              <w:snapToGrid w:val="0"/>
              <w:jc w:val="both"/>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环境</w:t>
            </w:r>
          </w:p>
          <w:p>
            <w:pPr>
              <w:adjustRightInd w:val="0"/>
              <w:snapToGrid w:val="0"/>
              <w:jc w:val="both"/>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质量</w:t>
            </w:r>
          </w:p>
          <w:p>
            <w:pPr>
              <w:adjustRightInd w:val="0"/>
              <w:snapToGrid w:val="0"/>
              <w:jc w:val="both"/>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现状</w:t>
            </w:r>
          </w:p>
        </w:tc>
        <w:tc>
          <w:tcPr>
            <w:tcW w:w="8698" w:type="dxa"/>
            <w:noWrap w:val="0"/>
            <w:vAlign w:val="top"/>
          </w:tcPr>
          <w:p>
            <w:pPr>
              <w:pStyle w:val="4"/>
              <w:bidi w:val="0"/>
              <w:rPr>
                <w:rFonts w:hint="eastAsia"/>
                <w:color w:val="auto"/>
              </w:rPr>
            </w:pPr>
            <w:r>
              <w:rPr>
                <w:rFonts w:hint="eastAsia"/>
                <w:color w:val="auto"/>
                <w:lang w:val="en-US" w:eastAsia="zh-CN"/>
              </w:rPr>
              <w:t>3.1</w:t>
            </w:r>
            <w:r>
              <w:rPr>
                <w:rFonts w:hint="eastAsia"/>
                <w:color w:val="auto"/>
              </w:rPr>
              <w:t>环境空气质量现状调查</w:t>
            </w:r>
          </w:p>
          <w:p>
            <w:pPr>
              <w:pStyle w:val="7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textAlignment w:val="auto"/>
              <w:rPr>
                <w:rFonts w:hint="default"/>
                <w:color w:val="auto"/>
              </w:rPr>
            </w:pPr>
            <w:r>
              <w:rPr>
                <w:rFonts w:hint="default"/>
                <w:color w:val="auto"/>
              </w:rPr>
              <w:t>本项目</w:t>
            </w:r>
            <w:r>
              <w:rPr>
                <w:rFonts w:hint="eastAsia"/>
                <w:color w:val="auto"/>
                <w:lang w:eastAsia="zh-CN"/>
              </w:rPr>
              <w:t>位于华苑产业区（环外），</w:t>
            </w:r>
            <w:r>
              <w:rPr>
                <w:rFonts w:hint="default"/>
                <w:color w:val="auto"/>
              </w:rPr>
              <w:t>环境空气质量现状引用</w:t>
            </w:r>
            <w:r>
              <w:rPr>
                <w:rFonts w:hint="eastAsia"/>
                <w:color w:val="auto"/>
                <w:lang w:val="en-US" w:eastAsia="zh-CN"/>
              </w:rPr>
              <w:t>天津生态环境监测中心2021年天津市环境空气质量公报</w:t>
            </w:r>
            <w:r>
              <w:rPr>
                <w:rFonts w:hint="default"/>
                <w:color w:val="auto"/>
              </w:rPr>
              <w:t>中</w:t>
            </w:r>
            <w:r>
              <w:rPr>
                <w:rFonts w:hint="eastAsia"/>
                <w:color w:val="auto"/>
                <w:lang w:eastAsia="zh-CN"/>
              </w:rPr>
              <w:t>距离本项目较近的宾水西道监测站点的</w:t>
            </w:r>
            <w:r>
              <w:rPr>
                <w:rFonts w:hint="default"/>
                <w:color w:val="auto"/>
              </w:rPr>
              <w:t>环境空气中常规因子PM</w:t>
            </w:r>
            <w:r>
              <w:rPr>
                <w:rFonts w:hint="eastAsia"/>
                <w:color w:val="auto"/>
                <w:vertAlign w:val="subscript"/>
                <w:lang w:val="en-US" w:eastAsia="zh-CN"/>
              </w:rPr>
              <w:t>10</w:t>
            </w:r>
            <w:r>
              <w:rPr>
                <w:rFonts w:hint="default"/>
                <w:color w:val="auto"/>
              </w:rPr>
              <w:t>、SO</w:t>
            </w:r>
            <w:r>
              <w:rPr>
                <w:rFonts w:hint="eastAsia"/>
                <w:color w:val="auto"/>
                <w:vertAlign w:val="subscript"/>
                <w:lang w:val="en-US" w:eastAsia="zh-CN"/>
              </w:rPr>
              <w:t>2</w:t>
            </w:r>
            <w:r>
              <w:rPr>
                <w:rFonts w:hint="default"/>
                <w:color w:val="auto"/>
              </w:rPr>
              <w:t>、NO</w:t>
            </w:r>
            <w:r>
              <w:rPr>
                <w:rFonts w:hint="eastAsia"/>
                <w:color w:val="auto"/>
                <w:vertAlign w:val="subscript"/>
                <w:lang w:val="en-US" w:eastAsia="zh-CN"/>
              </w:rPr>
              <w:t>2</w:t>
            </w:r>
            <w:r>
              <w:rPr>
                <w:rFonts w:hint="default"/>
                <w:color w:val="auto"/>
              </w:rPr>
              <w:t>、PM</w:t>
            </w:r>
            <w:r>
              <w:rPr>
                <w:rFonts w:hint="eastAsia"/>
                <w:color w:val="auto"/>
                <w:vertAlign w:val="subscript"/>
                <w:lang w:val="en-US" w:eastAsia="zh-CN"/>
              </w:rPr>
              <w:t>2.5</w:t>
            </w:r>
            <w:r>
              <w:rPr>
                <w:rFonts w:hint="default"/>
                <w:color w:val="auto"/>
              </w:rPr>
              <w:t>、CO、O</w:t>
            </w:r>
            <w:r>
              <w:rPr>
                <w:rFonts w:hint="eastAsia"/>
                <w:color w:val="auto"/>
                <w:vertAlign w:val="subscript"/>
                <w:lang w:val="en-US" w:eastAsia="zh-CN"/>
              </w:rPr>
              <w:t>3</w:t>
            </w:r>
            <w:r>
              <w:rPr>
                <w:rFonts w:hint="default"/>
                <w:color w:val="auto"/>
              </w:rPr>
              <w:t>的监测结果</w:t>
            </w:r>
            <w:r>
              <w:rPr>
                <w:rFonts w:hint="eastAsia"/>
                <w:color w:val="auto"/>
                <w:lang w:eastAsia="zh-CN"/>
              </w:rPr>
              <w:t>，</w:t>
            </w:r>
            <w:r>
              <w:rPr>
                <w:rFonts w:hint="default"/>
                <w:color w:val="auto"/>
              </w:rPr>
              <w:t>对建设地区环境空气质量现状进行分析，统计结果见下表。</w:t>
            </w:r>
          </w:p>
          <w:p>
            <w:pPr>
              <w:pStyle w:val="83"/>
              <w:bidi w:val="0"/>
              <w:rPr>
                <w:rFonts w:hint="default"/>
                <w:color w:val="auto"/>
                <w:lang w:val="de-DE" w:eastAsia="zh-CN"/>
              </w:rPr>
            </w:pPr>
            <w:r>
              <w:rPr>
                <w:color w:val="auto"/>
              </w:rPr>
              <w:t xml:space="preserve">表 </w:t>
            </w:r>
            <w:r>
              <w:rPr>
                <w:rFonts w:hint="eastAsia"/>
                <w:color w:val="auto"/>
                <w:lang w:val="en-US" w:eastAsia="zh-CN"/>
              </w:rPr>
              <w:t>3-1    区域环境空气质量达标情况表</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2262"/>
              <w:gridCol w:w="1224"/>
              <w:gridCol w:w="1344"/>
              <w:gridCol w:w="1187"/>
              <w:gridCol w:w="1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eastAsia="zh-CN"/>
                    </w:rPr>
                  </w:pPr>
                  <w:r>
                    <w:rPr>
                      <w:rFonts w:hint="default"/>
                      <w:b/>
                      <w:bCs/>
                      <w:color w:val="auto"/>
                      <w:lang w:eastAsia="zh-CN"/>
                    </w:rPr>
                    <w:t>污染物</w:t>
                  </w:r>
                </w:p>
              </w:tc>
              <w:tc>
                <w:tcPr>
                  <w:tcW w:w="1338"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eastAsia="zh-CN"/>
                    </w:rPr>
                  </w:pPr>
                  <w:r>
                    <w:rPr>
                      <w:rFonts w:hint="default"/>
                      <w:b/>
                      <w:bCs/>
                      <w:color w:val="auto"/>
                      <w:lang w:val="en-US" w:eastAsia="zh-CN"/>
                    </w:rPr>
                    <w:t>评价指标</w:t>
                  </w:r>
                </w:p>
              </w:tc>
              <w:tc>
                <w:tcPr>
                  <w:tcW w:w="724"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val="en-US" w:eastAsia="zh-CN"/>
                    </w:rPr>
                  </w:pPr>
                  <w:r>
                    <w:rPr>
                      <w:rFonts w:hint="default"/>
                      <w:b/>
                      <w:bCs/>
                      <w:color w:val="auto"/>
                      <w:lang w:val="en-US" w:eastAsia="zh-CN"/>
                    </w:rPr>
                    <w:t>现状浓度</w:t>
                  </w:r>
                </w:p>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val="en-US" w:eastAsia="zh-CN"/>
                    </w:rPr>
                  </w:pPr>
                  <w:r>
                    <w:rPr>
                      <w:rFonts w:hint="eastAsia"/>
                      <w:b/>
                      <w:bCs/>
                      <w:color w:val="auto"/>
                      <w:lang w:val="en-US" w:eastAsia="zh-CN"/>
                    </w:rPr>
                    <w:t>(</w:t>
                  </w:r>
                  <w:r>
                    <w:rPr>
                      <w:rFonts w:hint="default"/>
                      <w:b/>
                      <w:bCs/>
                      <w:color w:val="auto"/>
                      <w:lang w:val="de-DE" w:eastAsia="zh-CN"/>
                    </w:rPr>
                    <w:t>μg/m</w:t>
                  </w:r>
                  <w:r>
                    <w:rPr>
                      <w:rFonts w:hint="eastAsia"/>
                      <w:b/>
                      <w:bCs/>
                      <w:color w:val="auto"/>
                      <w:vertAlign w:val="superscript"/>
                      <w:lang w:val="en-US" w:eastAsia="zh-CN"/>
                    </w:rPr>
                    <w:t>3</w:t>
                  </w:r>
                  <w:r>
                    <w:rPr>
                      <w:rFonts w:hint="eastAsia"/>
                      <w:b/>
                      <w:bCs/>
                      <w:color w:val="auto"/>
                      <w:lang w:val="en-US" w:eastAsia="zh-CN"/>
                    </w:rPr>
                    <w:t>)</w:t>
                  </w:r>
                </w:p>
              </w:tc>
              <w:tc>
                <w:tcPr>
                  <w:tcW w:w="795"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rPr>
                  </w:pPr>
                  <w:r>
                    <w:rPr>
                      <w:rFonts w:hint="default"/>
                      <w:b/>
                      <w:bCs/>
                      <w:color w:val="auto"/>
                      <w:lang w:val="en-US" w:eastAsia="zh-CN"/>
                    </w:rPr>
                    <w:t>标准值</w:t>
                  </w:r>
                  <w:r>
                    <w:rPr>
                      <w:rFonts w:hint="eastAsia"/>
                      <w:b/>
                      <w:bCs/>
                      <w:color w:val="auto"/>
                      <w:lang w:val="en-US" w:eastAsia="zh-CN"/>
                    </w:rPr>
                    <w:t>(</w:t>
                  </w:r>
                  <w:r>
                    <w:rPr>
                      <w:rFonts w:hint="default"/>
                      <w:b/>
                      <w:bCs/>
                      <w:color w:val="auto"/>
                      <w:lang w:val="de-DE"/>
                    </w:rPr>
                    <w:t>μg/</w:t>
                  </w:r>
                  <w:r>
                    <w:rPr>
                      <w:rFonts w:hint="default"/>
                      <w:b/>
                      <w:bCs/>
                      <w:color w:val="auto"/>
                      <w:lang w:val="de-DE" w:eastAsia="zh-CN"/>
                    </w:rPr>
                    <w:t>m</w:t>
                  </w:r>
                  <w:r>
                    <w:rPr>
                      <w:rFonts w:hint="eastAsia"/>
                      <w:b/>
                      <w:bCs/>
                      <w:color w:val="auto"/>
                      <w:vertAlign w:val="superscript"/>
                      <w:lang w:val="en-US" w:eastAsia="zh-CN"/>
                    </w:rPr>
                    <w:t>3</w:t>
                  </w:r>
                  <w:r>
                    <w:rPr>
                      <w:rFonts w:hint="eastAsia"/>
                      <w:b/>
                      <w:bCs/>
                      <w:color w:val="auto"/>
                      <w:lang w:val="en-US" w:eastAsia="zh-CN"/>
                    </w:rPr>
                    <w:t>)</w:t>
                  </w:r>
                </w:p>
              </w:tc>
              <w:tc>
                <w:tcPr>
                  <w:tcW w:w="70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val="en-US" w:eastAsia="zh-CN"/>
                    </w:rPr>
                  </w:pPr>
                  <w:r>
                    <w:rPr>
                      <w:rFonts w:hint="eastAsia"/>
                      <w:b/>
                      <w:bCs/>
                      <w:color w:val="auto"/>
                      <w:lang w:val="en-US" w:eastAsia="zh-CN"/>
                    </w:rPr>
                    <w:t>占标率</w:t>
                  </w:r>
                </w:p>
              </w:tc>
              <w:tc>
                <w:tcPr>
                  <w:tcW w:w="702"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b/>
                      <w:bCs/>
                      <w:color w:val="auto"/>
                      <w:lang w:val="en-US" w:eastAsia="zh-CN"/>
                    </w:rPr>
                  </w:pPr>
                  <w:r>
                    <w:rPr>
                      <w:rFonts w:hint="default"/>
                      <w:b/>
                      <w:bCs/>
                      <w:color w:val="auto"/>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eastAsia="宋体"/>
                      <w:color w:val="auto"/>
                      <w:vertAlign w:val="subscript"/>
                      <w:lang w:val="en-US" w:eastAsia="zh-CN"/>
                    </w:rPr>
                  </w:pPr>
                  <w:r>
                    <w:rPr>
                      <w:rFonts w:hint="default"/>
                      <w:color w:val="auto"/>
                      <w:lang w:val="de-DE"/>
                    </w:rPr>
                    <w:t>PM</w:t>
                  </w:r>
                  <w:r>
                    <w:rPr>
                      <w:rFonts w:hint="eastAsia"/>
                      <w:color w:val="auto"/>
                      <w:vertAlign w:val="subscript"/>
                      <w:lang w:val="en-US" w:eastAsia="zh-CN"/>
                    </w:rPr>
                    <w:t>2.5</w:t>
                  </w:r>
                </w:p>
              </w:tc>
              <w:tc>
                <w:tcPr>
                  <w:tcW w:w="1338"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年平均质量浓度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36</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35</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103%</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eastAsia="宋体"/>
                      <w:color w:val="auto"/>
                      <w:vertAlign w:val="subscript"/>
                      <w:lang w:val="en-US" w:eastAsia="zh-CN"/>
                    </w:rPr>
                  </w:pPr>
                  <w:r>
                    <w:rPr>
                      <w:rFonts w:hint="default"/>
                      <w:color w:val="auto"/>
                      <w:lang w:val="de-DE"/>
                    </w:rPr>
                    <w:t>PM</w:t>
                  </w:r>
                  <w:r>
                    <w:rPr>
                      <w:rFonts w:hint="eastAsia"/>
                      <w:color w:val="auto"/>
                      <w:vertAlign w:val="subscript"/>
                      <w:lang w:val="en-US" w:eastAsia="zh-CN"/>
                    </w:rPr>
                    <w:t>10</w:t>
                  </w:r>
                </w:p>
              </w:tc>
              <w:tc>
                <w:tcPr>
                  <w:tcW w:w="1338"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eastAsia="zh-CN"/>
                    </w:rPr>
                  </w:pPr>
                  <w:r>
                    <w:rPr>
                      <w:rFonts w:hint="default"/>
                      <w:color w:val="auto"/>
                      <w:lang w:val="en-US" w:eastAsia="zh-CN"/>
                    </w:rPr>
                    <w:t>年平均质量浓度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64</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70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91%</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eastAsia="宋体"/>
                      <w:color w:val="auto"/>
                      <w:vertAlign w:val="subscript"/>
                      <w:lang w:val="en-US" w:eastAsia="zh-CN"/>
                    </w:rPr>
                  </w:pPr>
                  <w:r>
                    <w:rPr>
                      <w:rFonts w:hint="default"/>
                      <w:color w:val="auto"/>
                      <w:lang w:val="de-DE"/>
                    </w:rPr>
                    <w:t>SO</w:t>
                  </w:r>
                  <w:r>
                    <w:rPr>
                      <w:rFonts w:hint="eastAsia"/>
                      <w:color w:val="auto"/>
                      <w:vertAlign w:val="subscript"/>
                      <w:lang w:val="en-US" w:eastAsia="zh-CN"/>
                    </w:rPr>
                    <w:t>2</w:t>
                  </w:r>
                </w:p>
              </w:tc>
              <w:tc>
                <w:tcPr>
                  <w:tcW w:w="1338"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eastAsia="zh-CN"/>
                    </w:rPr>
                  </w:pPr>
                  <w:r>
                    <w:rPr>
                      <w:rFonts w:hint="default"/>
                      <w:color w:val="auto"/>
                      <w:lang w:val="en-US" w:eastAsia="zh-CN"/>
                    </w:rPr>
                    <w:t>年平均质量浓度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7</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60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12%</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eastAsia" w:eastAsia="宋体"/>
                      <w:color w:val="auto"/>
                      <w:vertAlign w:val="subscript"/>
                      <w:lang w:val="en-US" w:eastAsia="zh-CN"/>
                    </w:rPr>
                  </w:pPr>
                  <w:r>
                    <w:rPr>
                      <w:rFonts w:hint="default"/>
                      <w:color w:val="auto"/>
                    </w:rPr>
                    <w:t>NO</w:t>
                  </w:r>
                  <w:r>
                    <w:rPr>
                      <w:rFonts w:hint="eastAsia"/>
                      <w:color w:val="auto"/>
                      <w:vertAlign w:val="subscript"/>
                      <w:lang w:val="en-US" w:eastAsia="zh-CN"/>
                    </w:rPr>
                    <w:t>2</w:t>
                  </w:r>
                </w:p>
              </w:tc>
              <w:tc>
                <w:tcPr>
                  <w:tcW w:w="1338"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eastAsia="zh-CN"/>
                    </w:rPr>
                  </w:pPr>
                  <w:r>
                    <w:rPr>
                      <w:rFonts w:hint="default"/>
                      <w:color w:val="auto"/>
                      <w:lang w:val="en-US" w:eastAsia="zh-CN"/>
                    </w:rPr>
                    <w:t>年平均质量浓度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32</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40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80%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CO-95per</w:t>
                  </w:r>
                </w:p>
              </w:tc>
              <w:tc>
                <w:tcPr>
                  <w:tcW w:w="1338" w:type="pct"/>
                  <w:tcBorders>
                    <w:tl2br w:val="nil"/>
                    <w:tr2bl w:val="nil"/>
                  </w:tcBorders>
                  <w:noWrap w:val="0"/>
                  <w:vAlign w:val="center"/>
                </w:tcPr>
                <w:p>
                  <w:pPr>
                    <w:pStyle w:val="84"/>
                    <w:bidi w:val="0"/>
                    <w:rPr>
                      <w:rFonts w:hint="default"/>
                      <w:color w:val="auto"/>
                      <w:lang w:eastAsia="zh-CN"/>
                    </w:rPr>
                  </w:pPr>
                  <w:r>
                    <w:rPr>
                      <w:color w:val="auto"/>
                    </w:rPr>
                    <w:t>24h平均浓度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1300</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4000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33%</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6" w:type="pct"/>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O</w:t>
                  </w:r>
                  <w:r>
                    <w:rPr>
                      <w:rFonts w:hint="eastAsia"/>
                      <w:color w:val="auto"/>
                      <w:vertAlign w:val="subscript"/>
                      <w:lang w:val="en-US" w:eastAsia="zh-CN"/>
                    </w:rPr>
                    <w:t>3</w:t>
                  </w:r>
                  <w:r>
                    <w:rPr>
                      <w:rFonts w:hint="default"/>
                      <w:color w:val="auto"/>
                      <w:lang w:val="en-US" w:eastAsia="zh-CN"/>
                    </w:rPr>
                    <w:t>-9</w:t>
                  </w:r>
                  <w:r>
                    <w:rPr>
                      <w:rFonts w:hint="eastAsia"/>
                      <w:color w:val="auto"/>
                      <w:lang w:val="en-US" w:eastAsia="zh-CN"/>
                    </w:rPr>
                    <w:t>0</w:t>
                  </w:r>
                  <w:r>
                    <w:rPr>
                      <w:rFonts w:hint="default"/>
                      <w:color w:val="auto"/>
                      <w:lang w:val="en-US" w:eastAsia="zh-CN"/>
                    </w:rPr>
                    <w:t>per</w:t>
                  </w:r>
                </w:p>
              </w:tc>
              <w:tc>
                <w:tcPr>
                  <w:tcW w:w="1338" w:type="pct"/>
                  <w:tcBorders>
                    <w:tl2br w:val="nil"/>
                    <w:tr2bl w:val="nil"/>
                  </w:tcBorders>
                  <w:noWrap w:val="0"/>
                  <w:vAlign w:val="center"/>
                </w:tcPr>
                <w:p>
                  <w:pPr>
                    <w:pStyle w:val="84"/>
                    <w:bidi w:val="0"/>
                    <w:rPr>
                      <w:rFonts w:hint="default"/>
                      <w:color w:val="auto"/>
                      <w:lang w:eastAsia="zh-CN"/>
                    </w:rPr>
                  </w:pPr>
                  <w:r>
                    <w:rPr>
                      <w:color w:val="auto"/>
                    </w:rPr>
                    <w:t>8h平均浓度</w:t>
                  </w:r>
                </w:p>
              </w:tc>
              <w:tc>
                <w:tcPr>
                  <w:tcW w:w="1211"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163</w:t>
                  </w:r>
                </w:p>
              </w:tc>
              <w:tc>
                <w:tcPr>
                  <w:tcW w:w="1330"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default"/>
                      <w:color w:val="auto"/>
                      <w:lang w:val="en-US" w:eastAsia="zh-CN"/>
                    </w:rPr>
                    <w:t>160</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102%</w:t>
                  </w:r>
                </w:p>
              </w:tc>
              <w:tc>
                <w:tcPr>
                  <w:tcW w:w="1175" w:type="dxa"/>
                  <w:tcBorders>
                    <w:tl2br w:val="nil"/>
                    <w:tr2bl w:val="nil"/>
                  </w:tcBorders>
                  <w:noWrap w:val="0"/>
                  <w:vAlign w:val="center"/>
                </w:tcPr>
                <w:p>
                  <w:pPr>
                    <w:pStyle w:val="8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22" w:leftChars="9" w:right="22" w:rightChars="9" w:firstLine="0" w:firstLineChars="0"/>
                    <w:textAlignment w:val="auto"/>
                    <w:rPr>
                      <w:rFonts w:hint="default"/>
                      <w:color w:val="auto"/>
                      <w:lang w:val="en-US" w:eastAsia="zh-CN"/>
                    </w:rPr>
                  </w:pPr>
                  <w:r>
                    <w:rPr>
                      <w:rFonts w:hint="eastAsia"/>
                      <w:color w:val="auto"/>
                      <w:lang w:val="en-US" w:eastAsia="zh-CN"/>
                    </w:rPr>
                    <w:t>不达标</w:t>
                  </w:r>
                </w:p>
              </w:tc>
            </w:tr>
          </w:tbl>
          <w:p>
            <w:pPr>
              <w:keepNext w:val="0"/>
              <w:keepLines w:val="0"/>
              <w:pageBreakBefore w:val="0"/>
              <w:widowControl w:val="0"/>
              <w:kinsoku/>
              <w:wordWrap/>
              <w:overflowPunct/>
              <w:topLinePunct w:val="0"/>
              <w:autoSpaceDE/>
              <w:autoSpaceDN/>
              <w:bidi w:val="0"/>
              <w:adjustRightInd/>
              <w:snapToGrid/>
              <w:spacing w:line="360" w:lineRule="auto"/>
              <w:ind w:left="420" w:hanging="422" w:hangingChars="200"/>
              <w:textAlignment w:val="auto"/>
              <w:rPr>
                <w:rFonts w:hint="default"/>
                <w:b/>
                <w:bCs/>
                <w:color w:val="auto"/>
              </w:rPr>
            </w:pPr>
            <w:r>
              <w:rPr>
                <w:rFonts w:hint="default"/>
                <w:b/>
                <w:bCs/>
                <w:color w:val="auto"/>
                <w:sz w:val="21"/>
                <w:szCs w:val="21"/>
              </w:rPr>
              <w:t>注：PM</w:t>
            </w:r>
            <w:r>
              <w:rPr>
                <w:rFonts w:hint="eastAsia"/>
                <w:b/>
                <w:bCs/>
                <w:color w:val="auto"/>
                <w:sz w:val="21"/>
                <w:szCs w:val="21"/>
                <w:vertAlign w:val="subscript"/>
                <w:lang w:val="en-US" w:eastAsia="zh-CN"/>
              </w:rPr>
              <w:t>10</w:t>
            </w:r>
            <w:r>
              <w:rPr>
                <w:rFonts w:hint="default"/>
                <w:b/>
                <w:bCs/>
                <w:color w:val="auto"/>
                <w:sz w:val="21"/>
                <w:szCs w:val="21"/>
              </w:rPr>
              <w:t>、SO</w:t>
            </w:r>
            <w:r>
              <w:rPr>
                <w:rFonts w:hint="eastAsia"/>
                <w:b/>
                <w:bCs/>
                <w:color w:val="auto"/>
                <w:sz w:val="21"/>
                <w:szCs w:val="21"/>
                <w:vertAlign w:val="subscript"/>
                <w:lang w:val="en-US" w:eastAsia="zh-CN"/>
              </w:rPr>
              <w:t>2</w:t>
            </w:r>
            <w:r>
              <w:rPr>
                <w:rFonts w:hint="default"/>
                <w:b/>
                <w:bCs/>
                <w:color w:val="auto"/>
                <w:sz w:val="21"/>
                <w:szCs w:val="21"/>
              </w:rPr>
              <w:t>、NO</w:t>
            </w:r>
            <w:r>
              <w:rPr>
                <w:rFonts w:hint="eastAsia"/>
                <w:b/>
                <w:bCs/>
                <w:color w:val="auto"/>
                <w:sz w:val="21"/>
                <w:szCs w:val="21"/>
                <w:vertAlign w:val="subscript"/>
                <w:lang w:val="en-US" w:eastAsia="zh-CN"/>
              </w:rPr>
              <w:t>2</w:t>
            </w:r>
            <w:r>
              <w:rPr>
                <w:rFonts w:hint="default"/>
                <w:b/>
                <w:bCs/>
                <w:color w:val="auto"/>
                <w:sz w:val="21"/>
                <w:szCs w:val="21"/>
              </w:rPr>
              <w:t>、PM</w:t>
            </w:r>
            <w:r>
              <w:rPr>
                <w:rFonts w:hint="eastAsia"/>
                <w:b/>
                <w:bCs/>
                <w:color w:val="auto"/>
                <w:sz w:val="21"/>
                <w:szCs w:val="21"/>
                <w:vertAlign w:val="subscript"/>
                <w:lang w:val="en-US" w:eastAsia="zh-CN"/>
              </w:rPr>
              <w:t>2.5</w:t>
            </w:r>
            <w:r>
              <w:rPr>
                <w:rFonts w:hint="default"/>
                <w:b/>
                <w:bCs/>
                <w:color w:val="auto"/>
                <w:sz w:val="21"/>
                <w:szCs w:val="21"/>
              </w:rPr>
              <w:t>这四项为年平均浓度，CO为24小时平均浓度第95百分位数，O</w:t>
            </w:r>
            <w:r>
              <w:rPr>
                <w:rFonts w:hint="eastAsia"/>
                <w:b/>
                <w:bCs/>
                <w:color w:val="auto"/>
                <w:sz w:val="21"/>
                <w:szCs w:val="21"/>
                <w:vertAlign w:val="subscript"/>
                <w:lang w:val="en-US" w:eastAsia="zh-CN"/>
              </w:rPr>
              <w:t>3</w:t>
            </w:r>
            <w:r>
              <w:rPr>
                <w:rFonts w:hint="default"/>
                <w:b/>
                <w:bCs/>
                <w:color w:val="auto"/>
                <w:sz w:val="21"/>
                <w:szCs w:val="21"/>
              </w:rPr>
              <w:t>为日最大8小时平均浓度第90百分位数。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eastAsia="zh-CN"/>
              </w:rPr>
            </w:pPr>
            <w:r>
              <w:rPr>
                <w:rFonts w:hint="eastAsia"/>
                <w:color w:val="auto"/>
                <w:lang w:val="en-US" w:eastAsia="zh-CN"/>
              </w:rPr>
              <w:t>综上，</w:t>
            </w:r>
            <w:r>
              <w:rPr>
                <w:rFonts w:hint="eastAsia"/>
                <w:color w:val="auto"/>
              </w:rPr>
              <w:t>环境空气常规六项指标中，PM</w:t>
            </w:r>
            <w:r>
              <w:rPr>
                <w:rFonts w:hint="eastAsia"/>
                <w:color w:val="auto"/>
                <w:vertAlign w:val="subscript"/>
                <w:lang w:val="en-US" w:eastAsia="zh-CN"/>
              </w:rPr>
              <w:t>10</w:t>
            </w:r>
            <w:r>
              <w:rPr>
                <w:rFonts w:hint="eastAsia"/>
                <w:color w:val="auto"/>
                <w:lang w:val="en-US" w:eastAsia="zh-CN"/>
              </w:rPr>
              <w:t>年均值、</w:t>
            </w:r>
            <w:r>
              <w:rPr>
                <w:rFonts w:hint="eastAsia"/>
                <w:color w:val="auto"/>
              </w:rPr>
              <w:t>SO</w:t>
            </w:r>
            <w:r>
              <w:rPr>
                <w:rFonts w:hint="eastAsia"/>
                <w:color w:val="auto"/>
                <w:vertAlign w:val="subscript"/>
                <w:lang w:val="en-US" w:eastAsia="zh-CN"/>
              </w:rPr>
              <w:t>2</w:t>
            </w:r>
            <w:r>
              <w:rPr>
                <w:rFonts w:hint="eastAsia"/>
                <w:color w:val="auto"/>
              </w:rPr>
              <w:t>年均值、NO</w:t>
            </w:r>
            <w:r>
              <w:rPr>
                <w:rFonts w:hint="eastAsia"/>
                <w:color w:val="auto"/>
                <w:vertAlign w:val="subscript"/>
                <w:lang w:val="en-US" w:eastAsia="zh-CN"/>
              </w:rPr>
              <w:t>2</w:t>
            </w:r>
            <w:r>
              <w:rPr>
                <w:rFonts w:hint="eastAsia"/>
                <w:color w:val="auto"/>
              </w:rPr>
              <w:t>年均值</w:t>
            </w:r>
            <w:r>
              <w:rPr>
                <w:rFonts w:hint="eastAsia"/>
                <w:color w:val="auto"/>
                <w:lang w:eastAsia="zh-CN"/>
              </w:rPr>
              <w:t>、</w:t>
            </w:r>
            <w:r>
              <w:rPr>
                <w:rFonts w:hint="eastAsia"/>
                <w:color w:val="auto"/>
              </w:rPr>
              <w:t>CO24小时平均浓度第95百分位数达到《环境空气质量标准》</w:t>
            </w:r>
            <w:r>
              <w:rPr>
                <w:rFonts w:hint="eastAsia"/>
                <w:color w:val="auto"/>
                <w:lang w:eastAsia="zh-CN"/>
              </w:rPr>
              <w:t>(</w:t>
            </w:r>
            <w:r>
              <w:rPr>
                <w:rFonts w:hint="eastAsia"/>
                <w:color w:val="auto"/>
              </w:rPr>
              <w:t>GB3095-2012</w:t>
            </w:r>
            <w:r>
              <w:rPr>
                <w:rFonts w:hint="eastAsia"/>
                <w:color w:val="auto"/>
                <w:lang w:eastAsia="zh-CN"/>
              </w:rPr>
              <w:t>)</w:t>
            </w:r>
            <w:r>
              <w:rPr>
                <w:rFonts w:hint="eastAsia"/>
                <w:color w:val="auto"/>
              </w:rPr>
              <w:t>二级标准要求，PM</w:t>
            </w:r>
            <w:r>
              <w:rPr>
                <w:rFonts w:hint="eastAsia"/>
                <w:color w:val="auto"/>
                <w:vertAlign w:val="subscript"/>
                <w:lang w:val="en-US" w:eastAsia="zh-CN"/>
              </w:rPr>
              <w:t>2.5</w:t>
            </w:r>
            <w:r>
              <w:rPr>
                <w:rFonts w:hint="eastAsia"/>
                <w:color w:val="auto"/>
                <w:vertAlign w:val="baseline"/>
                <w:lang w:val="en-US" w:eastAsia="zh-CN"/>
              </w:rPr>
              <w:t>年</w:t>
            </w:r>
            <w:r>
              <w:rPr>
                <w:rFonts w:hint="eastAsia"/>
                <w:color w:val="auto"/>
                <w:lang w:val="en-US" w:eastAsia="zh-CN"/>
              </w:rPr>
              <w:t>均值</w:t>
            </w:r>
            <w:r>
              <w:rPr>
                <w:rFonts w:hint="eastAsia"/>
                <w:color w:val="auto"/>
              </w:rPr>
              <w:t>及O</w:t>
            </w:r>
            <w:r>
              <w:rPr>
                <w:rFonts w:hint="eastAsia"/>
                <w:color w:val="auto"/>
                <w:vertAlign w:val="subscript"/>
                <w:lang w:val="en-US" w:eastAsia="zh-CN"/>
              </w:rPr>
              <w:t>3</w:t>
            </w:r>
            <w:r>
              <w:rPr>
                <w:rFonts w:hint="eastAsia"/>
                <w:color w:val="auto"/>
              </w:rPr>
              <w:t>日最大8小时平均浓度第90百分位数超过《环境空气质量标准》</w:t>
            </w:r>
            <w:r>
              <w:rPr>
                <w:rFonts w:hint="eastAsia"/>
                <w:color w:val="auto"/>
                <w:lang w:eastAsia="zh-CN"/>
              </w:rPr>
              <w:t>（</w:t>
            </w:r>
            <w:r>
              <w:rPr>
                <w:rFonts w:hint="eastAsia"/>
                <w:color w:val="auto"/>
              </w:rPr>
              <w:t>GB3095-2012</w:t>
            </w:r>
            <w:r>
              <w:rPr>
                <w:rFonts w:hint="eastAsia"/>
                <w:color w:val="auto"/>
                <w:lang w:eastAsia="zh-CN"/>
              </w:rPr>
              <w:t>）</w:t>
            </w:r>
            <w:r>
              <w:rPr>
                <w:rFonts w:hint="eastAsia"/>
                <w:color w:val="auto"/>
              </w:rPr>
              <w:t>二级标准要求</w:t>
            </w:r>
            <w:r>
              <w:rPr>
                <w:rFonts w:hint="eastAsia"/>
                <w:color w:val="auto"/>
                <w:lang w:eastAsia="zh-CN"/>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vertAlign w:val="baseline"/>
                <w:lang w:val="en-US" w:eastAsia="zh-CN"/>
              </w:rPr>
            </w:pPr>
            <w:r>
              <w:rPr>
                <w:rFonts w:hint="eastAsia"/>
                <w:color w:val="auto"/>
                <w:lang w:val="en-US" w:eastAsia="zh-CN"/>
              </w:rPr>
              <w:t>根据</w:t>
            </w:r>
            <w:r>
              <w:rPr>
                <w:rFonts w:hint="default"/>
                <w:color w:val="auto"/>
              </w:rPr>
              <w:t>《环境影响评价技术导则大气环境》</w:t>
            </w:r>
            <w:r>
              <w:rPr>
                <w:rFonts w:hint="default"/>
                <w:color w:val="auto"/>
                <w:lang w:eastAsia="zh-CN"/>
              </w:rPr>
              <w:t>(</w:t>
            </w:r>
            <w:r>
              <w:rPr>
                <w:rFonts w:hint="default"/>
                <w:color w:val="auto"/>
              </w:rPr>
              <w:t>HJ2.2-2018</w:t>
            </w:r>
            <w:r>
              <w:rPr>
                <w:rFonts w:hint="default"/>
                <w:color w:val="auto"/>
                <w:lang w:eastAsia="zh-CN"/>
              </w:rPr>
              <w:t>)</w:t>
            </w:r>
            <w:r>
              <w:rPr>
                <w:rFonts w:hint="eastAsia"/>
                <w:color w:val="auto"/>
                <w:lang w:eastAsia="zh-CN"/>
              </w:rPr>
              <w:t>，</w:t>
            </w:r>
            <w:r>
              <w:rPr>
                <w:rFonts w:hint="eastAsia"/>
                <w:color w:val="auto"/>
                <w:lang w:val="en-US" w:eastAsia="zh-CN"/>
              </w:rPr>
              <w:t>城市环境空气质量达标情况评价指标为</w:t>
            </w:r>
            <w:r>
              <w:rPr>
                <w:rFonts w:hint="eastAsia"/>
                <w:color w:val="auto"/>
              </w:rPr>
              <w:t>SO</w:t>
            </w:r>
            <w:r>
              <w:rPr>
                <w:rFonts w:hint="eastAsia"/>
                <w:color w:val="auto"/>
                <w:vertAlign w:val="subscript"/>
                <w:lang w:val="en-US" w:eastAsia="zh-CN"/>
              </w:rPr>
              <w:t>2</w:t>
            </w:r>
            <w:r>
              <w:rPr>
                <w:rFonts w:hint="eastAsia"/>
                <w:color w:val="auto"/>
                <w:lang w:val="en-US" w:eastAsia="zh-CN"/>
              </w:rPr>
              <w:t>、</w:t>
            </w:r>
            <w:r>
              <w:rPr>
                <w:rFonts w:hint="eastAsia"/>
                <w:color w:val="auto"/>
              </w:rPr>
              <w:t>NO</w:t>
            </w:r>
            <w:r>
              <w:rPr>
                <w:rFonts w:hint="eastAsia"/>
                <w:color w:val="auto"/>
                <w:vertAlign w:val="subscript"/>
                <w:lang w:val="en-US" w:eastAsia="zh-CN"/>
              </w:rPr>
              <w:t>2</w:t>
            </w:r>
            <w:r>
              <w:rPr>
                <w:rFonts w:hint="eastAsia"/>
                <w:color w:val="auto"/>
                <w:lang w:val="en-US" w:eastAsia="zh-CN"/>
              </w:rPr>
              <w:t>、</w:t>
            </w:r>
            <w:r>
              <w:rPr>
                <w:rFonts w:hint="eastAsia"/>
                <w:color w:val="auto"/>
              </w:rPr>
              <w:t>PM</w:t>
            </w:r>
            <w:r>
              <w:rPr>
                <w:rFonts w:hint="eastAsia"/>
                <w:color w:val="auto"/>
                <w:vertAlign w:val="subscript"/>
                <w:lang w:val="en-US" w:eastAsia="zh-CN"/>
              </w:rPr>
              <w:t>2.5</w:t>
            </w:r>
            <w:r>
              <w:rPr>
                <w:rFonts w:hint="eastAsia"/>
                <w:color w:val="auto"/>
                <w:lang w:val="en-US" w:eastAsia="zh-CN"/>
              </w:rPr>
              <w:t>、</w:t>
            </w:r>
            <w:r>
              <w:rPr>
                <w:rFonts w:hint="eastAsia"/>
                <w:color w:val="auto"/>
              </w:rPr>
              <w:t>PM</w:t>
            </w:r>
            <w:r>
              <w:rPr>
                <w:rFonts w:hint="eastAsia"/>
                <w:color w:val="auto"/>
                <w:vertAlign w:val="subscript"/>
                <w:lang w:val="en-US" w:eastAsia="zh-CN"/>
              </w:rPr>
              <w:t>10</w:t>
            </w:r>
            <w:r>
              <w:rPr>
                <w:rFonts w:hint="eastAsia"/>
                <w:color w:val="auto"/>
                <w:lang w:val="en-US" w:eastAsia="zh-CN"/>
              </w:rPr>
              <w:t>、</w:t>
            </w:r>
            <w:r>
              <w:rPr>
                <w:rFonts w:hint="eastAsia"/>
                <w:color w:val="auto"/>
              </w:rPr>
              <w:t>CO</w:t>
            </w:r>
            <w:r>
              <w:rPr>
                <w:rFonts w:hint="eastAsia"/>
                <w:color w:val="auto"/>
                <w:lang w:eastAsia="zh-CN"/>
              </w:rPr>
              <w:t>、</w:t>
            </w:r>
            <w:r>
              <w:rPr>
                <w:rFonts w:hint="eastAsia"/>
                <w:color w:val="auto"/>
              </w:rPr>
              <w:t>O</w:t>
            </w:r>
            <w:r>
              <w:rPr>
                <w:rFonts w:hint="eastAsia"/>
                <w:color w:val="auto"/>
                <w:vertAlign w:val="subscript"/>
                <w:lang w:val="en-US" w:eastAsia="zh-CN"/>
              </w:rPr>
              <w:t>3</w:t>
            </w:r>
            <w:r>
              <w:rPr>
                <w:rFonts w:hint="eastAsia"/>
                <w:color w:val="auto"/>
                <w:vertAlign w:val="baseline"/>
                <w:lang w:val="en-US" w:eastAsia="zh-CN"/>
              </w:rPr>
              <w:t>，六项污染物年评价指标全部达标即为城市环境空气质量达标。项目所在区域六项基本污染物并没有全部达标，故本项目所在区域的环境空气质量属于不达标区。</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vertAlign w:val="baseline"/>
                <w:lang w:val="en-US" w:eastAsia="zh-CN"/>
              </w:rPr>
            </w:pPr>
            <w:r>
              <w:rPr>
                <w:rFonts w:hint="eastAsia" w:ascii="宋体" w:hAnsi="宋体" w:eastAsia="宋体" w:cs="宋体"/>
                <w:color w:val="auto"/>
                <w:kern w:val="0"/>
                <w:sz w:val="24"/>
                <w:szCs w:val="24"/>
                <w:lang w:val="en-US" w:eastAsia="zh-CN" w:bidi="ar"/>
              </w:rPr>
              <w:t>随着《关于印发天津市深入打好蓝天、碧水、净土三个保卫战行动计划的通知》（津污防攻坚指</w:t>
            </w:r>
            <w:r>
              <w:rPr>
                <w:rFonts w:hint="default" w:ascii="Times New Roman" w:hAnsi="Times New Roman" w:eastAsia="宋体" w:cs="Times New Roman"/>
                <w:color w:val="auto"/>
                <w:kern w:val="0"/>
                <w:sz w:val="24"/>
                <w:szCs w:val="24"/>
                <w:lang w:val="en-US" w:eastAsia="zh-CN" w:bidi="ar"/>
              </w:rPr>
              <w:t>[2022]2</w:t>
            </w:r>
            <w:r>
              <w:rPr>
                <w:rFonts w:hint="eastAsia" w:ascii="宋体" w:hAnsi="宋体" w:eastAsia="宋体" w:cs="宋体"/>
                <w:color w:val="auto"/>
                <w:kern w:val="0"/>
                <w:sz w:val="24"/>
                <w:szCs w:val="24"/>
                <w:lang w:val="en-US" w:eastAsia="zh-CN" w:bidi="ar"/>
              </w:rPr>
              <w:t>号）的实施和区域建设逐渐饱和，统筹“十四五”时期目标任务，面向</w:t>
            </w:r>
            <w:r>
              <w:rPr>
                <w:rFonts w:hint="default" w:ascii="Times New Roman" w:hAnsi="Times New Roman" w:eastAsia="宋体" w:cs="Times New Roman"/>
                <w:color w:val="auto"/>
                <w:kern w:val="0"/>
                <w:sz w:val="24"/>
                <w:szCs w:val="24"/>
                <w:lang w:val="en-US" w:eastAsia="zh-CN" w:bidi="ar"/>
              </w:rPr>
              <w:t>2035</w:t>
            </w:r>
            <w:r>
              <w:rPr>
                <w:rFonts w:hint="eastAsia" w:ascii="宋体" w:hAnsi="宋体" w:eastAsia="宋体" w:cs="宋体"/>
                <w:color w:val="auto"/>
                <w:kern w:val="0"/>
                <w:sz w:val="24"/>
                <w:szCs w:val="24"/>
                <w:lang w:val="en-US" w:eastAsia="zh-CN" w:bidi="ar"/>
              </w:rPr>
              <w:t>年美丽中国建设目标，坚持稳中求进工作总基调，认真落实减污降碳协同增效总要求，以全面改善空气质量为核心，以减少重污染天气和解决人民群众身边的突出大气环境问题为重点，聚焦细颗粒物（</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6"/>
                <w:szCs w:val="16"/>
                <w:lang w:val="en-US" w:eastAsia="zh-CN" w:bidi="ar"/>
              </w:rPr>
              <w:t>2.5</w:t>
            </w:r>
            <w:r>
              <w:rPr>
                <w:rFonts w:hint="eastAsia" w:ascii="宋体" w:hAnsi="宋体" w:eastAsia="宋体" w:cs="宋体"/>
                <w:color w:val="auto"/>
                <w:kern w:val="0"/>
                <w:sz w:val="24"/>
                <w:szCs w:val="24"/>
                <w:lang w:val="en-US" w:eastAsia="zh-CN" w:bidi="ar"/>
              </w:rPr>
              <w:t>）和臭氧污染协同控制，加快补齐挥发性有机物（</w:t>
            </w:r>
            <w:r>
              <w:rPr>
                <w:rFonts w:hint="default" w:ascii="Times New Roman" w:hAnsi="Times New Roman" w:eastAsia="宋体" w:cs="Times New Roman"/>
                <w:color w:val="auto"/>
                <w:kern w:val="0"/>
                <w:sz w:val="24"/>
                <w:szCs w:val="24"/>
                <w:lang w:val="en-US" w:eastAsia="zh-CN" w:bidi="ar"/>
              </w:rPr>
              <w:t>VOCs</w:t>
            </w:r>
            <w:r>
              <w:rPr>
                <w:rFonts w:hint="eastAsia" w:ascii="宋体" w:hAnsi="宋体" w:eastAsia="宋体" w:cs="宋体"/>
                <w:color w:val="auto"/>
                <w:kern w:val="0"/>
                <w:sz w:val="24"/>
                <w:szCs w:val="24"/>
                <w:lang w:val="en-US" w:eastAsia="zh-CN" w:bidi="ar"/>
              </w:rPr>
              <w:t>）和氮氧化物（</w:t>
            </w:r>
            <w:r>
              <w:rPr>
                <w:rFonts w:hint="default" w:ascii="Times New Roman" w:hAnsi="Times New Roman" w:eastAsia="宋体" w:cs="Times New Roman"/>
                <w:color w:val="auto"/>
                <w:kern w:val="0"/>
                <w:sz w:val="24"/>
                <w:szCs w:val="24"/>
                <w:lang w:val="en-US" w:eastAsia="zh-CN" w:bidi="ar"/>
              </w:rPr>
              <w:t>NO</w:t>
            </w:r>
            <w:r>
              <w:rPr>
                <w:rFonts w:hint="default" w:ascii="Times New Roman" w:hAnsi="Times New Roman" w:eastAsia="宋体" w:cs="Times New Roman"/>
                <w:color w:val="auto"/>
                <w:kern w:val="0"/>
                <w:sz w:val="16"/>
                <w:szCs w:val="16"/>
                <w:lang w:val="en-US" w:eastAsia="zh-CN" w:bidi="ar"/>
              </w:rPr>
              <w:t>X</w:t>
            </w:r>
            <w:r>
              <w:rPr>
                <w:rFonts w:hint="eastAsia" w:ascii="宋体" w:hAnsi="宋体" w:eastAsia="宋体" w:cs="宋体"/>
                <w:color w:val="auto"/>
                <w:kern w:val="0"/>
                <w:sz w:val="24"/>
                <w:szCs w:val="24"/>
                <w:lang w:val="en-US" w:eastAsia="zh-CN" w:bidi="ar"/>
              </w:rPr>
              <w:t>）减排短板；强化区域大气污染协同治理，系统谋划、整体推进；突出精准、科学、依法治污，完善大气环境管理制度，推进治理体系和治理能力现代化；统筹</w:t>
            </w:r>
            <w:r>
              <w:rPr>
                <w:rFonts w:hint="default" w:ascii="Times New Roman" w:hAnsi="Times New Roman" w:eastAsia="宋体" w:cs="Times New Roman"/>
                <w:color w:val="auto"/>
                <w:kern w:val="0"/>
                <w:sz w:val="24"/>
                <w:szCs w:val="24"/>
                <w:lang w:val="en-US" w:eastAsia="zh-CN" w:bidi="ar"/>
              </w:rPr>
              <w:t>54</w:t>
            </w:r>
            <w:r>
              <w:rPr>
                <w:rFonts w:hint="eastAsia" w:ascii="宋体" w:hAnsi="宋体" w:eastAsia="宋体" w:cs="宋体"/>
                <w:color w:val="auto"/>
                <w:kern w:val="0"/>
                <w:sz w:val="24"/>
                <w:szCs w:val="24"/>
                <w:lang w:val="en-US" w:eastAsia="zh-CN" w:bidi="ar"/>
              </w:rPr>
              <w:t>大气污染防治与温室气体减排，扎实推进产业、能源、交通绿色转型，实现环境、经济和社会效益多赢。经过</w:t>
            </w:r>
            <w:r>
              <w:rPr>
                <w:rFonts w:hint="default" w:ascii="Times New Roman" w:hAnsi="Times New Roman" w:eastAsia="宋体" w:cs="Times New Roman"/>
                <w:color w:val="auto"/>
                <w:kern w:val="0"/>
                <w:sz w:val="24"/>
                <w:szCs w:val="24"/>
                <w:lang w:val="en-US" w:eastAsia="zh-CN" w:bidi="ar"/>
              </w:rPr>
              <w:t>5</w:t>
            </w:r>
            <w:r>
              <w:rPr>
                <w:rFonts w:hint="eastAsia" w:ascii="宋体" w:hAnsi="宋体" w:eastAsia="宋体" w:cs="宋体"/>
                <w:color w:val="auto"/>
                <w:kern w:val="0"/>
                <w:sz w:val="24"/>
                <w:szCs w:val="24"/>
                <w:lang w:val="en-US" w:eastAsia="zh-CN" w:bidi="ar"/>
              </w:rPr>
              <w:t>年努力，全市空气质量全面改善，</w:t>
            </w:r>
            <w:r>
              <w:rPr>
                <w:rFonts w:hint="default" w:ascii="Times New Roman" w:hAnsi="Times New Roman" w:eastAsia="宋体" w:cs="Times New Roman"/>
                <w:color w:val="auto"/>
                <w:kern w:val="0"/>
                <w:sz w:val="24"/>
                <w:szCs w:val="24"/>
                <w:lang w:val="en-US" w:eastAsia="zh-CN" w:bidi="ar"/>
              </w:rPr>
              <w:t>PM</w:t>
            </w:r>
            <w:r>
              <w:rPr>
                <w:rFonts w:hint="default" w:ascii="Times New Roman" w:hAnsi="Times New Roman" w:eastAsia="宋体" w:cs="Times New Roman"/>
                <w:color w:val="auto"/>
                <w:kern w:val="0"/>
                <w:sz w:val="16"/>
                <w:szCs w:val="16"/>
                <w:lang w:val="en-US" w:eastAsia="zh-CN" w:bidi="ar"/>
              </w:rPr>
              <w:t xml:space="preserve">2.5 </w:t>
            </w:r>
            <w:r>
              <w:rPr>
                <w:rFonts w:hint="eastAsia" w:ascii="宋体" w:hAnsi="宋体" w:eastAsia="宋体" w:cs="宋体"/>
                <w:color w:val="auto"/>
                <w:kern w:val="0"/>
                <w:sz w:val="24"/>
                <w:szCs w:val="24"/>
                <w:lang w:val="en-US" w:eastAsia="zh-CN" w:bidi="ar"/>
              </w:rPr>
              <w:t>浓度持续下降，臭氧浓度稳中有降，基本消除重度及以上污染天气。</w:t>
            </w:r>
          </w:p>
          <w:p>
            <w:pPr>
              <w:pStyle w:val="4"/>
              <w:bidi w:val="0"/>
              <w:rPr>
                <w:color w:val="auto"/>
              </w:rPr>
            </w:pPr>
            <w:r>
              <w:rPr>
                <w:rFonts w:hint="eastAsia"/>
                <w:color w:val="auto"/>
                <w:lang w:val="en-US" w:eastAsia="zh-CN"/>
              </w:rPr>
              <w:t>3.2特征</w:t>
            </w:r>
            <w:r>
              <w:rPr>
                <w:rFonts w:hint="eastAsia"/>
                <w:color w:val="auto"/>
              </w:rPr>
              <w:t>污染物环境空气质量现状监测与评价</w:t>
            </w:r>
          </w:p>
          <w:p>
            <w:pPr>
              <w:ind w:firstLine="480" w:firstLineChars="200"/>
              <w:rPr>
                <w:color w:val="auto"/>
              </w:rPr>
            </w:pPr>
            <w:r>
              <w:rPr>
                <w:color w:val="auto"/>
              </w:rPr>
              <w:t>为了解评价区域</w:t>
            </w:r>
            <w:r>
              <w:rPr>
                <w:rFonts w:hint="eastAsia"/>
                <w:color w:val="auto"/>
                <w:lang w:val="en-US" w:eastAsia="zh-CN"/>
              </w:rPr>
              <w:t>特征</w:t>
            </w:r>
            <w:r>
              <w:rPr>
                <w:color w:val="auto"/>
              </w:rPr>
              <w:t>污染物环境质量现状，本</w:t>
            </w:r>
            <w:r>
              <w:rPr>
                <w:rFonts w:hint="eastAsia"/>
                <w:color w:val="auto"/>
              </w:rPr>
              <w:t>评价引用的天津齐邦新材料有限公司委托天津市宏源检测技术有限公司于天津行政学院（西院）附近的现状监测数据</w:t>
            </w:r>
            <w:r>
              <w:rPr>
                <w:rFonts w:hint="eastAsia"/>
                <w:color w:val="auto"/>
                <w:lang w:eastAsia="zh-CN"/>
              </w:rPr>
              <w:t>（BC03031000）</w:t>
            </w:r>
            <w:r>
              <w:rPr>
                <w:rFonts w:hint="eastAsia"/>
                <w:color w:val="auto"/>
              </w:rPr>
              <w:t>，引用数据检测点位</w:t>
            </w:r>
            <w:r>
              <w:rPr>
                <w:rFonts w:hint="eastAsia"/>
                <w:color w:val="auto"/>
                <w:lang w:val="en-US" w:eastAsia="zh-CN"/>
              </w:rPr>
              <w:t>位于本项目西南侧2000m处</w:t>
            </w:r>
            <w:r>
              <w:rPr>
                <w:rFonts w:hint="eastAsia"/>
                <w:color w:val="auto"/>
              </w:rPr>
              <w:t>，监测时间为20</w:t>
            </w:r>
            <w:r>
              <w:rPr>
                <w:rFonts w:hint="eastAsia"/>
                <w:color w:val="auto"/>
                <w:lang w:val="en-US" w:eastAsia="zh-CN"/>
              </w:rPr>
              <w:t>20</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23</w:t>
            </w:r>
            <w:r>
              <w:rPr>
                <w:rFonts w:hint="eastAsia"/>
                <w:color w:val="auto"/>
              </w:rPr>
              <w:t>日~20</w:t>
            </w:r>
            <w:r>
              <w:rPr>
                <w:rFonts w:hint="eastAsia"/>
                <w:color w:val="auto"/>
                <w:lang w:val="en-US" w:eastAsia="zh-CN"/>
              </w:rPr>
              <w:t>20</w:t>
            </w:r>
            <w:r>
              <w:rPr>
                <w:rFonts w:hint="eastAsia"/>
                <w:color w:val="auto"/>
              </w:rPr>
              <w:t>年</w:t>
            </w:r>
            <w:r>
              <w:rPr>
                <w:rFonts w:hint="eastAsia"/>
                <w:color w:val="auto"/>
                <w:lang w:val="en-US" w:eastAsia="zh-CN"/>
              </w:rPr>
              <w:t>11</w:t>
            </w:r>
            <w:r>
              <w:rPr>
                <w:rFonts w:hint="eastAsia"/>
                <w:color w:val="auto"/>
              </w:rPr>
              <w:t>月</w:t>
            </w:r>
            <w:r>
              <w:rPr>
                <w:rFonts w:hint="eastAsia"/>
                <w:color w:val="auto"/>
                <w:lang w:val="en-US" w:eastAsia="zh-CN"/>
              </w:rPr>
              <w:t>29</w:t>
            </w:r>
            <w:r>
              <w:rPr>
                <w:rFonts w:hint="eastAsia"/>
                <w:color w:val="auto"/>
              </w:rPr>
              <w:t>日</w:t>
            </w:r>
            <w:r>
              <w:rPr>
                <w:rFonts w:hint="eastAsia"/>
                <w:color w:val="auto"/>
                <w:lang w:eastAsia="zh-CN"/>
              </w:rPr>
              <w:t>。</w:t>
            </w:r>
            <w:r>
              <w:rPr>
                <w:rFonts w:hint="eastAsia"/>
                <w:color w:val="auto"/>
                <w:lang w:val="en-US" w:eastAsia="zh-CN"/>
              </w:rPr>
              <w:t>引用监测数据</w:t>
            </w:r>
            <w:r>
              <w:rPr>
                <w:rFonts w:hint="eastAsia"/>
                <w:color w:val="auto"/>
              </w:rPr>
              <w:t>满足《建设项目环境影响报告表编制技术指南（污染影响类）（试行）》中“引用建设项目周边5千米范围内近3年的现有监测数据”的要求，可作为本项目环境空气质量现状监测数据</w:t>
            </w:r>
            <w:r>
              <w:rPr>
                <w:rFonts w:hint="eastAsia"/>
                <w:color w:val="auto"/>
                <w:lang w:val="en-US" w:eastAsia="zh-CN"/>
              </w:rPr>
              <w:t>使用</w:t>
            </w:r>
            <w:r>
              <w:rPr>
                <w:rFonts w:hint="eastAsia"/>
                <w:color w:val="auto"/>
              </w:rPr>
              <w:t>。</w:t>
            </w:r>
          </w:p>
          <w:p>
            <w:pPr>
              <w:pStyle w:val="8"/>
              <w:bidi w:val="0"/>
              <w:ind w:left="0" w:leftChars="0" w:firstLine="0" w:firstLineChars="0"/>
              <w:jc w:val="center"/>
              <w:rPr>
                <w:rFonts w:hint="eastAsia" w:eastAsia="宋体"/>
                <w:color w:val="auto"/>
                <w:lang w:eastAsia="zh-CN"/>
              </w:rPr>
            </w:pPr>
            <w:r>
              <w:rPr>
                <w:color w:val="auto"/>
              </w:rPr>
              <w:drawing>
                <wp:inline distT="0" distB="0" distL="114300" distR="114300">
                  <wp:extent cx="5242560" cy="3222625"/>
                  <wp:effectExtent l="0" t="0" r="15240"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a:stretch>
                            <a:fillRect/>
                          </a:stretch>
                        </pic:blipFill>
                        <pic:spPr>
                          <a:xfrm>
                            <a:off x="0" y="0"/>
                            <a:ext cx="5242560" cy="3222625"/>
                          </a:xfrm>
                          <a:prstGeom prst="rect">
                            <a:avLst/>
                          </a:prstGeom>
                          <a:noFill/>
                          <a:ln>
                            <a:noFill/>
                          </a:ln>
                        </pic:spPr>
                      </pic:pic>
                    </a:graphicData>
                  </a:graphic>
                </wp:inline>
              </w:drawing>
            </w:r>
          </w:p>
          <w:p>
            <w:pPr>
              <w:pStyle w:val="8"/>
              <w:bidi w:val="0"/>
              <w:jc w:val="center"/>
              <w:rPr>
                <w:rFonts w:hint="eastAsia" w:ascii="Times New Roman" w:hAnsi="Times New Roman" w:eastAsia="宋体" w:cs="Times New Roman"/>
                <w:b/>
                <w:color w:val="auto"/>
                <w:kern w:val="0"/>
                <w:sz w:val="21"/>
                <w:szCs w:val="21"/>
                <w:lang w:val="en-US" w:eastAsia="zh-CN" w:bidi="ar-SA"/>
              </w:rPr>
            </w:pPr>
            <w:r>
              <w:rPr>
                <w:rFonts w:hint="eastAsia" w:ascii="Times New Roman" w:hAnsi="Times New Roman" w:eastAsia="宋体" w:cs="Times New Roman"/>
                <w:b/>
                <w:color w:val="auto"/>
                <w:kern w:val="0"/>
                <w:sz w:val="21"/>
                <w:szCs w:val="21"/>
                <w:lang w:val="en-US" w:eastAsia="zh-CN" w:bidi="ar-SA"/>
              </w:rPr>
              <w:t>图</w:t>
            </w:r>
            <w:r>
              <w:rPr>
                <w:rFonts w:hint="eastAsia" w:cs="Times New Roman"/>
                <w:b/>
                <w:color w:val="auto"/>
                <w:kern w:val="0"/>
                <w:sz w:val="21"/>
                <w:szCs w:val="21"/>
                <w:lang w:val="en-US" w:eastAsia="zh-CN" w:bidi="ar-SA"/>
              </w:rPr>
              <w:t>3-1</w:t>
            </w:r>
            <w:r>
              <w:rPr>
                <w:rFonts w:hint="eastAsia" w:ascii="Times New Roman" w:hAnsi="Times New Roman" w:eastAsia="宋体" w:cs="Times New Roman"/>
                <w:b/>
                <w:color w:val="auto"/>
                <w:kern w:val="0"/>
                <w:sz w:val="21"/>
                <w:szCs w:val="21"/>
                <w:lang w:val="en-US" w:eastAsia="zh-CN" w:bidi="ar-SA"/>
              </w:rPr>
              <w:t xml:space="preserve">   引用监测点位与本项目位置关系图</w:t>
            </w:r>
          </w:p>
          <w:p>
            <w:pPr>
              <w:pStyle w:val="9"/>
              <w:rPr>
                <w:rFonts w:hint="eastAsia" w:ascii="Times New Roman" w:hAnsi="Times New Roman" w:eastAsia="宋体" w:cs="Times New Roman"/>
                <w:b/>
                <w:color w:val="auto"/>
                <w:kern w:val="0"/>
                <w:sz w:val="21"/>
                <w:szCs w:val="21"/>
                <w:lang w:val="en-US" w:eastAsia="zh-CN" w:bidi="ar-SA"/>
              </w:rPr>
            </w:pPr>
          </w:p>
          <w:p>
            <w:pPr>
              <w:pStyle w:val="83"/>
              <w:spacing w:before="120"/>
              <w:rPr>
                <w:color w:val="auto"/>
              </w:rPr>
            </w:pPr>
            <w:r>
              <w:rPr>
                <w:color w:val="auto"/>
              </w:rPr>
              <w:t>表</w:t>
            </w:r>
            <w:r>
              <w:rPr>
                <w:rFonts w:hint="eastAsia"/>
                <w:color w:val="auto"/>
              </w:rPr>
              <w:t>3-</w:t>
            </w:r>
            <w:r>
              <w:rPr>
                <w:rFonts w:hint="eastAsia"/>
                <w:color w:val="auto"/>
                <w:lang w:val="en-US" w:eastAsia="zh-CN"/>
              </w:rPr>
              <w:t>2</w:t>
            </w:r>
            <w:r>
              <w:rPr>
                <w:color w:val="auto"/>
              </w:rPr>
              <w:t xml:space="preserve">  </w:t>
            </w:r>
            <w:r>
              <w:rPr>
                <w:rFonts w:hint="eastAsia"/>
                <w:color w:val="auto"/>
              </w:rPr>
              <w:t>环境空气质量现状监测信息</w:t>
            </w:r>
            <w:r>
              <w:rPr>
                <w:color w:val="auto"/>
              </w:rPr>
              <w:t>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138"/>
              <w:gridCol w:w="1286"/>
              <w:gridCol w:w="761"/>
              <w:gridCol w:w="1151"/>
              <w:gridCol w:w="1493"/>
              <w:gridCol w:w="908"/>
              <w:gridCol w:w="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16" w:type="pct"/>
                  <w:vMerge w:val="restar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污染物</w:t>
                  </w:r>
                </w:p>
              </w:tc>
              <w:tc>
                <w:tcPr>
                  <w:tcW w:w="1434" w:type="pct"/>
                  <w:gridSpan w:val="2"/>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监测点坐标</w:t>
                  </w:r>
                </w:p>
              </w:tc>
              <w:tc>
                <w:tcPr>
                  <w:tcW w:w="450" w:type="pct"/>
                  <w:vMerge w:val="restar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平均时间</w:t>
                  </w:r>
                </w:p>
              </w:tc>
              <w:tc>
                <w:tcPr>
                  <w:tcW w:w="681" w:type="pct"/>
                  <w:vMerge w:val="restart"/>
                  <w:tcBorders>
                    <w:tl2br w:val="nil"/>
                    <w:tr2bl w:val="nil"/>
                  </w:tcBorders>
                  <w:vAlign w:val="center"/>
                </w:tcPr>
                <w:p>
                  <w:pPr>
                    <w:spacing w:line="240" w:lineRule="auto"/>
                    <w:jc w:val="center"/>
                    <w:rPr>
                      <w:color w:val="auto"/>
                    </w:rPr>
                  </w:pPr>
                  <w:r>
                    <w:rPr>
                      <w:rFonts w:hint="eastAsia"/>
                      <w:b/>
                      <w:bCs/>
                      <w:color w:val="auto"/>
                      <w:sz w:val="21"/>
                      <w:szCs w:val="21"/>
                    </w:rPr>
                    <w:t>评价标准</w:t>
                  </w:r>
                  <w:r>
                    <w:rPr>
                      <w:b/>
                      <w:bCs/>
                      <w:color w:val="auto"/>
                      <w:sz w:val="21"/>
                      <w:szCs w:val="21"/>
                    </w:rPr>
                    <w:t>（mg/m</w:t>
                  </w:r>
                  <w:r>
                    <w:rPr>
                      <w:rFonts w:hint="eastAsia"/>
                      <w:b/>
                      <w:bCs/>
                      <w:color w:val="auto"/>
                      <w:sz w:val="21"/>
                      <w:szCs w:val="21"/>
                      <w:vertAlign w:val="superscript"/>
                    </w:rPr>
                    <w:t>3</w:t>
                  </w:r>
                  <w:r>
                    <w:rPr>
                      <w:b/>
                      <w:bCs/>
                      <w:color w:val="auto"/>
                      <w:sz w:val="21"/>
                      <w:szCs w:val="21"/>
                    </w:rPr>
                    <w:t>）</w:t>
                  </w:r>
                </w:p>
              </w:tc>
              <w:tc>
                <w:tcPr>
                  <w:tcW w:w="883" w:type="pct"/>
                  <w:vMerge w:val="restar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监测浓度范围</w:t>
                  </w:r>
                </w:p>
                <w:p>
                  <w:pPr>
                    <w:spacing w:line="240" w:lineRule="auto"/>
                    <w:jc w:val="center"/>
                    <w:rPr>
                      <w:b/>
                      <w:bCs/>
                      <w:color w:val="auto"/>
                      <w:sz w:val="21"/>
                      <w:szCs w:val="21"/>
                    </w:rPr>
                  </w:pPr>
                  <w:r>
                    <w:rPr>
                      <w:b/>
                      <w:bCs/>
                      <w:color w:val="auto"/>
                      <w:sz w:val="21"/>
                      <w:szCs w:val="21"/>
                    </w:rPr>
                    <w:t>（mg/m</w:t>
                  </w:r>
                  <w:r>
                    <w:rPr>
                      <w:rFonts w:hint="eastAsia"/>
                      <w:b/>
                      <w:bCs/>
                      <w:color w:val="auto"/>
                      <w:sz w:val="21"/>
                      <w:szCs w:val="21"/>
                      <w:vertAlign w:val="superscript"/>
                    </w:rPr>
                    <w:t>3</w:t>
                  </w:r>
                  <w:r>
                    <w:rPr>
                      <w:b/>
                      <w:bCs/>
                      <w:color w:val="auto"/>
                      <w:sz w:val="21"/>
                      <w:szCs w:val="21"/>
                    </w:rPr>
                    <w:t>）</w:t>
                  </w:r>
                </w:p>
              </w:tc>
              <w:tc>
                <w:tcPr>
                  <w:tcW w:w="537" w:type="pct"/>
                  <w:vMerge w:val="restar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最大占标率</w:t>
                  </w:r>
                </w:p>
              </w:tc>
              <w:tc>
                <w:tcPr>
                  <w:tcW w:w="397" w:type="pct"/>
                  <w:vMerge w:val="restar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616" w:type="pct"/>
                  <w:vMerge w:val="continue"/>
                  <w:tcBorders>
                    <w:tl2br w:val="nil"/>
                    <w:tr2bl w:val="nil"/>
                  </w:tcBorders>
                  <w:vAlign w:val="center"/>
                </w:tcPr>
                <w:p>
                  <w:pPr>
                    <w:spacing w:line="240" w:lineRule="auto"/>
                    <w:jc w:val="center"/>
                    <w:rPr>
                      <w:color w:val="auto"/>
                    </w:rPr>
                  </w:pPr>
                </w:p>
              </w:tc>
              <w:tc>
                <w:tcPr>
                  <w:tcW w:w="673" w:type="pct"/>
                  <w:tcBorders>
                    <w:tl2br w:val="nil"/>
                    <w:tr2bl w:val="nil"/>
                  </w:tcBorders>
                  <w:vAlign w:val="center"/>
                </w:tcPr>
                <w:p>
                  <w:pPr>
                    <w:spacing w:line="240" w:lineRule="auto"/>
                    <w:jc w:val="center"/>
                    <w:rPr>
                      <w:rFonts w:hint="default" w:eastAsia="宋体"/>
                      <w:b/>
                      <w:bCs/>
                      <w:color w:val="auto"/>
                      <w:sz w:val="21"/>
                      <w:szCs w:val="21"/>
                      <w:lang w:val="en-US" w:eastAsia="zh-CN"/>
                    </w:rPr>
                  </w:pPr>
                  <w:r>
                    <w:rPr>
                      <w:rFonts w:hint="eastAsia"/>
                      <w:b/>
                      <w:bCs/>
                      <w:color w:val="auto"/>
                      <w:sz w:val="21"/>
                      <w:szCs w:val="21"/>
                      <w:lang w:val="en-US" w:eastAsia="zh-CN"/>
                    </w:rPr>
                    <w:t>N</w:t>
                  </w:r>
                </w:p>
              </w:tc>
              <w:tc>
                <w:tcPr>
                  <w:tcW w:w="761" w:type="pct"/>
                  <w:tcBorders>
                    <w:tl2br w:val="nil"/>
                    <w:tr2bl w:val="nil"/>
                  </w:tcBorders>
                  <w:vAlign w:val="center"/>
                </w:tcPr>
                <w:p>
                  <w:pPr>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E</w:t>
                  </w:r>
                </w:p>
              </w:tc>
              <w:tc>
                <w:tcPr>
                  <w:tcW w:w="450" w:type="pct"/>
                  <w:vMerge w:val="continue"/>
                  <w:tcBorders>
                    <w:tl2br w:val="nil"/>
                    <w:tr2bl w:val="nil"/>
                  </w:tcBorders>
                  <w:vAlign w:val="center"/>
                </w:tcPr>
                <w:p>
                  <w:pPr>
                    <w:spacing w:line="240" w:lineRule="auto"/>
                    <w:jc w:val="center"/>
                    <w:rPr>
                      <w:rFonts w:hint="eastAsia"/>
                      <w:b/>
                      <w:bCs/>
                      <w:color w:val="auto"/>
                      <w:sz w:val="21"/>
                      <w:szCs w:val="21"/>
                    </w:rPr>
                  </w:pPr>
                </w:p>
              </w:tc>
              <w:tc>
                <w:tcPr>
                  <w:tcW w:w="681" w:type="pct"/>
                  <w:vMerge w:val="continue"/>
                  <w:tcBorders>
                    <w:tl2br w:val="nil"/>
                    <w:tr2bl w:val="nil"/>
                  </w:tcBorders>
                  <w:vAlign w:val="center"/>
                </w:tcPr>
                <w:p>
                  <w:pPr>
                    <w:spacing w:line="240" w:lineRule="auto"/>
                    <w:jc w:val="center"/>
                    <w:rPr>
                      <w:rFonts w:hint="eastAsia"/>
                      <w:b/>
                      <w:bCs/>
                      <w:color w:val="auto"/>
                      <w:sz w:val="21"/>
                      <w:szCs w:val="21"/>
                    </w:rPr>
                  </w:pPr>
                </w:p>
              </w:tc>
              <w:tc>
                <w:tcPr>
                  <w:tcW w:w="883" w:type="pct"/>
                  <w:vMerge w:val="continue"/>
                  <w:tcBorders>
                    <w:tl2br w:val="nil"/>
                    <w:tr2bl w:val="nil"/>
                  </w:tcBorders>
                  <w:vAlign w:val="center"/>
                </w:tcPr>
                <w:p>
                  <w:pPr>
                    <w:spacing w:line="240" w:lineRule="auto"/>
                    <w:jc w:val="center"/>
                    <w:rPr>
                      <w:rFonts w:hint="eastAsia"/>
                      <w:b/>
                      <w:bCs/>
                      <w:color w:val="auto"/>
                      <w:sz w:val="21"/>
                      <w:szCs w:val="21"/>
                    </w:rPr>
                  </w:pPr>
                </w:p>
              </w:tc>
              <w:tc>
                <w:tcPr>
                  <w:tcW w:w="537" w:type="pct"/>
                  <w:vMerge w:val="continue"/>
                  <w:tcBorders>
                    <w:tl2br w:val="nil"/>
                    <w:tr2bl w:val="nil"/>
                  </w:tcBorders>
                  <w:vAlign w:val="center"/>
                </w:tcPr>
                <w:p>
                  <w:pPr>
                    <w:spacing w:line="240" w:lineRule="auto"/>
                    <w:jc w:val="center"/>
                    <w:rPr>
                      <w:rFonts w:hint="eastAsia"/>
                      <w:b/>
                      <w:bCs/>
                      <w:color w:val="auto"/>
                      <w:sz w:val="21"/>
                      <w:szCs w:val="21"/>
                    </w:rPr>
                  </w:pPr>
                </w:p>
              </w:tc>
              <w:tc>
                <w:tcPr>
                  <w:tcW w:w="397" w:type="pct"/>
                  <w:vMerge w:val="continue"/>
                  <w:tcBorders>
                    <w:tl2br w:val="nil"/>
                    <w:tr2bl w:val="nil"/>
                  </w:tcBorders>
                  <w:vAlign w:val="center"/>
                </w:tcPr>
                <w:p>
                  <w:pPr>
                    <w:spacing w:line="240" w:lineRule="auto"/>
                    <w:jc w:val="center"/>
                    <w:rPr>
                      <w:rFonts w:hint="eastAsia"/>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6" w:type="pct"/>
                  <w:tcBorders>
                    <w:tl2br w:val="nil"/>
                    <w:tr2bl w:val="nil"/>
                  </w:tcBorders>
                  <w:vAlign w:val="center"/>
                </w:tcPr>
                <w:p>
                  <w:pPr>
                    <w:spacing w:line="240" w:lineRule="auto"/>
                    <w:jc w:val="center"/>
                    <w:rPr>
                      <w:color w:val="auto"/>
                      <w:sz w:val="21"/>
                      <w:szCs w:val="21"/>
                    </w:rPr>
                  </w:pPr>
                  <w:r>
                    <w:rPr>
                      <w:rFonts w:hint="eastAsia"/>
                      <w:color w:val="auto"/>
                      <w:sz w:val="21"/>
                      <w:szCs w:val="21"/>
                    </w:rPr>
                    <w:t>非甲烷总烃</w:t>
                  </w:r>
                </w:p>
              </w:tc>
              <w:tc>
                <w:tcPr>
                  <w:tcW w:w="673" w:type="pct"/>
                  <w:tcBorders>
                    <w:tl2br w:val="nil"/>
                    <w:tr2bl w:val="nil"/>
                  </w:tcBorders>
                  <w:vAlign w:val="center"/>
                </w:tcPr>
                <w:p>
                  <w:pPr>
                    <w:spacing w:line="240" w:lineRule="auto"/>
                    <w:jc w:val="center"/>
                    <w:rPr>
                      <w:rFonts w:hint="eastAsia"/>
                      <w:color w:val="auto"/>
                      <w:sz w:val="21"/>
                      <w:szCs w:val="21"/>
                    </w:rPr>
                  </w:pPr>
                  <w:r>
                    <w:rPr>
                      <w:rFonts w:hint="eastAsia"/>
                      <w:color w:val="auto"/>
                      <w:sz w:val="21"/>
                      <w:szCs w:val="21"/>
                    </w:rPr>
                    <w:t>39.089661</w:t>
                  </w:r>
                </w:p>
              </w:tc>
              <w:tc>
                <w:tcPr>
                  <w:tcW w:w="761" w:type="pct"/>
                  <w:tcBorders>
                    <w:tl2br w:val="nil"/>
                    <w:tr2bl w:val="nil"/>
                  </w:tcBorders>
                  <w:vAlign w:val="center"/>
                </w:tcPr>
                <w:p>
                  <w:pPr>
                    <w:spacing w:line="240" w:lineRule="auto"/>
                    <w:jc w:val="center"/>
                    <w:rPr>
                      <w:rFonts w:hint="eastAsia"/>
                      <w:color w:val="auto"/>
                      <w:sz w:val="21"/>
                      <w:szCs w:val="21"/>
                    </w:rPr>
                  </w:pPr>
                  <w:r>
                    <w:rPr>
                      <w:rFonts w:hint="eastAsia"/>
                      <w:color w:val="auto"/>
                      <w:sz w:val="21"/>
                      <w:szCs w:val="21"/>
                    </w:rPr>
                    <w:t>117.066175</w:t>
                  </w:r>
                </w:p>
              </w:tc>
              <w:tc>
                <w:tcPr>
                  <w:tcW w:w="450" w:type="pct"/>
                  <w:tcBorders>
                    <w:tl2br w:val="nil"/>
                    <w:tr2bl w:val="nil"/>
                  </w:tcBorders>
                  <w:vAlign w:val="center"/>
                </w:tcPr>
                <w:p>
                  <w:pPr>
                    <w:spacing w:line="240" w:lineRule="auto"/>
                    <w:jc w:val="center"/>
                    <w:rPr>
                      <w:color w:val="auto"/>
                      <w:sz w:val="21"/>
                      <w:szCs w:val="21"/>
                    </w:rPr>
                  </w:pPr>
                  <w:r>
                    <w:rPr>
                      <w:rFonts w:hint="eastAsia"/>
                      <w:color w:val="auto"/>
                      <w:sz w:val="21"/>
                      <w:szCs w:val="21"/>
                    </w:rPr>
                    <w:t>1h浓度值</w:t>
                  </w:r>
                </w:p>
              </w:tc>
              <w:tc>
                <w:tcPr>
                  <w:tcW w:w="681" w:type="pct"/>
                  <w:tcBorders>
                    <w:tl2br w:val="nil"/>
                    <w:tr2bl w:val="nil"/>
                  </w:tcBorders>
                  <w:vAlign w:val="center"/>
                </w:tcPr>
                <w:p>
                  <w:pPr>
                    <w:spacing w:line="240" w:lineRule="auto"/>
                    <w:jc w:val="center"/>
                    <w:rPr>
                      <w:color w:val="auto"/>
                      <w:sz w:val="21"/>
                      <w:szCs w:val="21"/>
                    </w:rPr>
                  </w:pPr>
                  <w:r>
                    <w:rPr>
                      <w:rFonts w:hint="eastAsia"/>
                      <w:color w:val="auto"/>
                      <w:sz w:val="21"/>
                      <w:szCs w:val="21"/>
                    </w:rPr>
                    <w:t>2.0</w:t>
                  </w:r>
                </w:p>
              </w:tc>
              <w:tc>
                <w:tcPr>
                  <w:tcW w:w="883" w:type="pct"/>
                  <w:tcBorders>
                    <w:tl2br w:val="nil"/>
                    <w:tr2bl w:val="nil"/>
                  </w:tcBorders>
                  <w:vAlign w:val="center"/>
                </w:tcPr>
                <w:p>
                  <w:pPr>
                    <w:spacing w:line="240" w:lineRule="auto"/>
                    <w:jc w:val="center"/>
                    <w:rPr>
                      <w:rFonts w:hint="default" w:eastAsia="宋体"/>
                      <w:color w:val="auto"/>
                      <w:sz w:val="21"/>
                      <w:szCs w:val="21"/>
                      <w:lang w:val="en-US" w:eastAsia="zh-CN"/>
                    </w:rPr>
                  </w:pPr>
                  <w:r>
                    <w:rPr>
                      <w:rFonts w:hint="eastAsia"/>
                      <w:color w:val="auto"/>
                      <w:sz w:val="21"/>
                      <w:szCs w:val="21"/>
                    </w:rPr>
                    <w:t>0.</w:t>
                  </w:r>
                  <w:r>
                    <w:rPr>
                      <w:rFonts w:hint="eastAsia"/>
                      <w:color w:val="auto"/>
                      <w:sz w:val="21"/>
                      <w:szCs w:val="21"/>
                      <w:lang w:val="en-US" w:eastAsia="zh-CN"/>
                    </w:rPr>
                    <w:t>28</w:t>
                  </w:r>
                  <w:r>
                    <w:rPr>
                      <w:rFonts w:hint="eastAsia"/>
                      <w:color w:val="auto"/>
                      <w:sz w:val="21"/>
                      <w:szCs w:val="21"/>
                    </w:rPr>
                    <w:t>~</w:t>
                  </w:r>
                  <w:r>
                    <w:rPr>
                      <w:rFonts w:hint="eastAsia"/>
                      <w:color w:val="auto"/>
                      <w:sz w:val="21"/>
                      <w:szCs w:val="21"/>
                      <w:lang w:val="en-US" w:eastAsia="zh-CN"/>
                    </w:rPr>
                    <w:t>0.34</w:t>
                  </w:r>
                </w:p>
              </w:tc>
              <w:tc>
                <w:tcPr>
                  <w:tcW w:w="537" w:type="pct"/>
                  <w:tcBorders>
                    <w:tl2br w:val="nil"/>
                    <w:tr2bl w:val="nil"/>
                  </w:tcBorders>
                  <w:vAlign w:val="center"/>
                </w:tcPr>
                <w:p>
                  <w:pPr>
                    <w:spacing w:line="240" w:lineRule="auto"/>
                    <w:jc w:val="center"/>
                    <w:rPr>
                      <w:color w:val="auto"/>
                      <w:sz w:val="21"/>
                      <w:szCs w:val="21"/>
                    </w:rPr>
                  </w:pPr>
                  <w:r>
                    <w:rPr>
                      <w:rFonts w:hint="eastAsia"/>
                      <w:color w:val="auto"/>
                      <w:sz w:val="21"/>
                      <w:szCs w:val="21"/>
                      <w:lang w:val="en-US" w:eastAsia="zh-CN"/>
                    </w:rPr>
                    <w:t>17</w:t>
                  </w:r>
                  <w:r>
                    <w:rPr>
                      <w:rFonts w:hint="eastAsia"/>
                      <w:color w:val="auto"/>
                      <w:sz w:val="21"/>
                      <w:szCs w:val="21"/>
                    </w:rPr>
                    <w:t>%</w:t>
                  </w:r>
                </w:p>
              </w:tc>
              <w:tc>
                <w:tcPr>
                  <w:tcW w:w="397" w:type="pct"/>
                  <w:tcBorders>
                    <w:tl2br w:val="nil"/>
                    <w:tr2bl w:val="nil"/>
                  </w:tcBorders>
                  <w:vAlign w:val="center"/>
                </w:tcPr>
                <w:p>
                  <w:pPr>
                    <w:spacing w:line="240" w:lineRule="auto"/>
                    <w:jc w:val="center"/>
                    <w:rPr>
                      <w:color w:val="auto"/>
                      <w:sz w:val="21"/>
                      <w:szCs w:val="21"/>
                    </w:rPr>
                  </w:pPr>
                  <w:r>
                    <w:rPr>
                      <w:rFonts w:hint="eastAsia"/>
                      <w:color w:val="auto"/>
                      <w:sz w:val="21"/>
                      <w:szCs w:val="21"/>
                    </w:rPr>
                    <w:t>达标</w:t>
                  </w:r>
                </w:p>
              </w:tc>
            </w:tr>
          </w:tbl>
          <w:p>
            <w:pPr>
              <w:pStyle w:val="8"/>
              <w:bidi w:val="0"/>
              <w:rPr>
                <w:rFonts w:hint="default"/>
                <w:color w:val="auto"/>
                <w:lang w:val="en-US" w:eastAsia="zh-CN"/>
              </w:rPr>
            </w:pPr>
            <w:r>
              <w:rPr>
                <w:rFonts w:hint="eastAsia"/>
                <w:color w:val="auto"/>
              </w:rPr>
              <w:t>由监测结果可知，本项目选址周边非甲烷总烃环境空气质量满足《大气污染物综合排放标准详解》中规定的非甲烷总烃一次浓度限值（2.0mg/m</w:t>
            </w:r>
            <w:r>
              <w:rPr>
                <w:rFonts w:hint="eastAsia"/>
                <w:color w:val="auto"/>
                <w:vertAlign w:val="superscript"/>
                <w:lang w:val="en-US" w:eastAsia="zh-CN"/>
              </w:rPr>
              <w:t>3</w:t>
            </w:r>
            <w:r>
              <w:rPr>
                <w:rFonts w:hint="eastAsia"/>
                <w:color w:val="auto"/>
              </w:rPr>
              <w:t>）。</w:t>
            </w:r>
          </w:p>
          <w:p>
            <w:pPr>
              <w:pStyle w:val="4"/>
              <w:bidi w:val="0"/>
              <w:rPr>
                <w:rFonts w:hint="eastAsia"/>
                <w:color w:val="auto"/>
                <w:lang w:val="en-US" w:eastAsia="zh-CN"/>
              </w:rPr>
            </w:pPr>
            <w:r>
              <w:rPr>
                <w:rFonts w:hint="eastAsia"/>
                <w:color w:val="auto"/>
                <w:lang w:val="en-US" w:eastAsia="zh-CN"/>
              </w:rPr>
              <w:t>3.3声环境质量现状</w:t>
            </w:r>
          </w:p>
          <w:p>
            <w:pPr>
              <w:pStyle w:val="8"/>
              <w:bidi w:val="0"/>
              <w:rPr>
                <w:rFonts w:hint="default"/>
                <w:color w:val="auto"/>
                <w:lang w:val="en-US" w:eastAsia="zh-CN"/>
              </w:rPr>
            </w:pPr>
            <w:r>
              <w:rPr>
                <w:rFonts w:hint="eastAsia"/>
                <w:color w:val="auto"/>
                <w:lang w:val="en-US" w:eastAsia="zh-CN"/>
              </w:rPr>
              <w:t>根据《建设项目环境影响报告表编制技术指南》（污染影响类）要求，厂界外周边</w:t>
            </w:r>
            <w:r>
              <w:rPr>
                <w:rFonts w:hint="default"/>
                <w:color w:val="auto"/>
                <w:lang w:val="en-US" w:eastAsia="zh-CN"/>
              </w:rPr>
              <w:t>50m</w:t>
            </w:r>
            <w:r>
              <w:rPr>
                <w:rFonts w:hint="eastAsia"/>
                <w:color w:val="auto"/>
                <w:lang w:val="en-US" w:eastAsia="zh-CN"/>
              </w:rPr>
              <w:t>范围内存在声环境保护目标的建设项目，应监测保护目标声环境质量现状并评价达标情况，根据调查结果，项目厂界外</w:t>
            </w:r>
            <w:r>
              <w:rPr>
                <w:rFonts w:hint="default"/>
                <w:color w:val="auto"/>
                <w:lang w:val="en-US" w:eastAsia="zh-CN"/>
              </w:rPr>
              <w:t>50m</w:t>
            </w:r>
            <w:r>
              <w:rPr>
                <w:rFonts w:hint="eastAsia"/>
                <w:color w:val="auto"/>
                <w:lang w:val="en-US" w:eastAsia="zh-CN"/>
              </w:rPr>
              <w:t>范围内无声环境保护目标，不需要开展声环境质量现状调查。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环境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保护</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目标</w:t>
            </w:r>
          </w:p>
        </w:tc>
        <w:tc>
          <w:tcPr>
            <w:tcW w:w="8698" w:type="dxa"/>
            <w:noWrap w:val="0"/>
            <w:vAlign w:val="top"/>
          </w:tcPr>
          <w:p>
            <w:pPr>
              <w:pStyle w:val="4"/>
              <w:bidi w:val="0"/>
              <w:rPr>
                <w:rFonts w:hint="eastAsia"/>
                <w:color w:val="auto"/>
                <w:lang w:val="en-US" w:eastAsia="zh-CN"/>
              </w:rPr>
            </w:pPr>
            <w:r>
              <w:rPr>
                <w:rFonts w:hint="eastAsia"/>
                <w:color w:val="auto"/>
                <w:lang w:val="en-US" w:eastAsia="zh-CN"/>
              </w:rPr>
              <w:t>3.4环境保护目标</w:t>
            </w:r>
          </w:p>
          <w:p>
            <w:pPr>
              <w:pStyle w:val="4"/>
              <w:bidi w:val="0"/>
              <w:rPr>
                <w:rFonts w:hint="eastAsia"/>
                <w:color w:val="auto"/>
                <w:lang w:val="en-US" w:eastAsia="zh-CN"/>
              </w:rPr>
            </w:pPr>
            <w:r>
              <w:rPr>
                <w:rFonts w:hint="eastAsia"/>
                <w:color w:val="auto"/>
                <w:lang w:val="en-US" w:eastAsia="zh-CN"/>
              </w:rPr>
              <w:t>3.4.1大气环境保护目标</w:t>
            </w:r>
          </w:p>
          <w:p>
            <w:pPr>
              <w:pStyle w:val="8"/>
              <w:bidi w:val="0"/>
              <w:rPr>
                <w:rFonts w:hint="default"/>
                <w:color w:val="auto"/>
                <w:lang w:val="en-US" w:eastAsia="zh-CN"/>
              </w:rPr>
            </w:pPr>
            <w:r>
              <w:rPr>
                <w:rFonts w:hint="eastAsia"/>
                <w:color w:val="auto"/>
                <w:lang w:val="en-US" w:eastAsia="zh-CN"/>
              </w:rPr>
              <w:t>根据《建设项目环境影响报告表编制技术指南》（污染影响类）要求，明确厂界</w:t>
            </w:r>
            <w:r>
              <w:rPr>
                <w:rFonts w:hint="default"/>
                <w:color w:val="auto"/>
                <w:lang w:val="en-US" w:eastAsia="zh-CN"/>
              </w:rPr>
              <w:t>外500米</w:t>
            </w:r>
            <w:r>
              <w:rPr>
                <w:rFonts w:hint="eastAsia"/>
                <w:color w:val="auto"/>
                <w:lang w:val="en-US" w:eastAsia="zh-CN"/>
              </w:rPr>
              <w:t>范围内的自然保护区、风景名胜区、居住区、文化区和农村地区中人群较集中的区域等保护目标名称及与建设项目厂界位置关系。</w:t>
            </w:r>
            <w:r>
              <w:rPr>
                <w:rFonts w:hint="default"/>
                <w:color w:val="auto"/>
                <w:lang w:val="en-US" w:eastAsia="zh-CN"/>
              </w:rPr>
              <w:t>本项目厂界外500米范围内的</w:t>
            </w:r>
            <w:r>
              <w:rPr>
                <w:rFonts w:hint="eastAsia"/>
                <w:color w:val="auto"/>
                <w:lang w:val="en-US" w:eastAsia="zh-CN"/>
              </w:rPr>
              <w:t>大气</w:t>
            </w:r>
            <w:r>
              <w:rPr>
                <w:rFonts w:hint="default"/>
                <w:color w:val="auto"/>
                <w:lang w:val="en-US" w:eastAsia="zh-CN"/>
              </w:rPr>
              <w:t>环境保护目标的名称及与建设项目厂界位置关系详见下表。</w:t>
            </w:r>
          </w:p>
          <w:p>
            <w:pPr>
              <w:pStyle w:val="83"/>
              <w:bidi w:val="0"/>
              <w:rPr>
                <w:color w:val="auto"/>
              </w:rPr>
            </w:pPr>
            <w:r>
              <w:rPr>
                <w:color w:val="auto"/>
              </w:rPr>
              <w:t>表</w:t>
            </w:r>
            <w:r>
              <w:rPr>
                <w:rFonts w:hint="eastAsia"/>
                <w:color w:val="auto"/>
                <w:lang w:val="en-US" w:eastAsia="zh-CN"/>
              </w:rPr>
              <w:t xml:space="preserve">3-3   </w:t>
            </w:r>
            <w:r>
              <w:rPr>
                <w:color w:val="auto"/>
              </w:rPr>
              <w:t>本项目</w:t>
            </w:r>
            <w:r>
              <w:rPr>
                <w:rFonts w:hint="eastAsia"/>
                <w:color w:val="auto"/>
                <w:lang w:val="en-US" w:eastAsia="zh-CN"/>
              </w:rPr>
              <w:t>大气</w:t>
            </w:r>
            <w:r>
              <w:rPr>
                <w:color w:val="auto"/>
              </w:rPr>
              <w:t>环境调查范围内环保目标一览表</w:t>
            </w:r>
          </w:p>
          <w:tbl>
            <w:tblPr>
              <w:tblStyle w:val="29"/>
              <w:tblW w:w="84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83"/>
              <w:gridCol w:w="572"/>
              <w:gridCol w:w="1073"/>
              <w:gridCol w:w="881"/>
              <w:gridCol w:w="1262"/>
              <w:gridCol w:w="1277"/>
              <w:gridCol w:w="803"/>
              <w:gridCol w:w="1249"/>
              <w:gridCol w:w="6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1" w:hRule="exact"/>
                <w:jc w:val="center"/>
              </w:trPr>
              <w:tc>
                <w:tcPr>
                  <w:tcW w:w="683"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rFonts w:hint="eastAsia"/>
                      <w:b/>
                      <w:bCs/>
                      <w:color w:val="auto"/>
                      <w:sz w:val="21"/>
                      <w:szCs w:val="21"/>
                    </w:rPr>
                  </w:pPr>
                  <w:r>
                    <w:rPr>
                      <w:rFonts w:hint="eastAsia"/>
                      <w:b/>
                      <w:bCs/>
                      <w:color w:val="auto"/>
                      <w:sz w:val="21"/>
                      <w:szCs w:val="21"/>
                    </w:rPr>
                    <w:t>环境</w:t>
                  </w:r>
                </w:p>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要素</w:t>
                  </w:r>
                </w:p>
              </w:tc>
              <w:tc>
                <w:tcPr>
                  <w:tcW w:w="572"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序号</w:t>
                  </w:r>
                </w:p>
              </w:tc>
              <w:tc>
                <w:tcPr>
                  <w:tcW w:w="1073"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名称</w:t>
                  </w:r>
                </w:p>
              </w:tc>
              <w:tc>
                <w:tcPr>
                  <w:tcW w:w="881"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相对厂界距离/m</w:t>
                  </w:r>
                </w:p>
              </w:tc>
              <w:tc>
                <w:tcPr>
                  <w:tcW w:w="2539" w:type="dxa"/>
                  <w:gridSpan w:val="2"/>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经纬度（°）</w:t>
                  </w:r>
                </w:p>
              </w:tc>
              <w:tc>
                <w:tcPr>
                  <w:tcW w:w="803"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保护</w:t>
                  </w:r>
                </w:p>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b/>
                      <w:bCs/>
                      <w:color w:val="auto"/>
                      <w:sz w:val="21"/>
                      <w:szCs w:val="21"/>
                    </w:rPr>
                    <w:t>对象</w:t>
                  </w:r>
                </w:p>
              </w:tc>
              <w:tc>
                <w:tcPr>
                  <w:tcW w:w="1249"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环境</w:t>
                  </w:r>
                </w:p>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b/>
                      <w:bCs/>
                      <w:color w:val="auto"/>
                      <w:sz w:val="21"/>
                      <w:szCs w:val="21"/>
                    </w:rPr>
                    <w:t>功能区</w:t>
                  </w:r>
                </w:p>
              </w:tc>
              <w:tc>
                <w:tcPr>
                  <w:tcW w:w="696" w:type="dxa"/>
                  <w:vMerge w:val="restart"/>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相对</w:t>
                  </w:r>
                  <w:r>
                    <w:rPr>
                      <w:b/>
                      <w:bCs/>
                      <w:color w:val="auto"/>
                      <w:sz w:val="21"/>
                      <w:szCs w:val="21"/>
                    </w:rPr>
                    <w:t>厂址方位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1" w:hRule="exact"/>
                <w:jc w:val="center"/>
              </w:trPr>
              <w:tc>
                <w:tcPr>
                  <w:tcW w:w="683"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572"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1073"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881"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1262"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经纬</w:t>
                  </w:r>
                </w:p>
              </w:tc>
              <w:tc>
                <w:tcPr>
                  <w:tcW w:w="1277"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b/>
                      <w:bCs/>
                      <w:color w:val="auto"/>
                      <w:sz w:val="21"/>
                      <w:szCs w:val="21"/>
                    </w:rPr>
                  </w:pPr>
                  <w:r>
                    <w:rPr>
                      <w:rFonts w:hint="eastAsia"/>
                      <w:b/>
                      <w:bCs/>
                      <w:color w:val="auto"/>
                      <w:sz w:val="21"/>
                      <w:szCs w:val="21"/>
                    </w:rPr>
                    <w:t>纬度</w:t>
                  </w:r>
                </w:p>
              </w:tc>
              <w:tc>
                <w:tcPr>
                  <w:tcW w:w="803"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1249"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c>
                <w:tcPr>
                  <w:tcW w:w="696" w:type="dxa"/>
                  <w:vMerge w:val="continue"/>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683"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大气环境</w:t>
                  </w:r>
                </w:p>
              </w:tc>
              <w:tc>
                <w:tcPr>
                  <w:tcW w:w="572"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rFonts w:hint="eastAsia"/>
                      <w:color w:val="auto"/>
                      <w:sz w:val="21"/>
                      <w:szCs w:val="21"/>
                      <w:lang w:val="en-US" w:eastAsia="zh-CN"/>
                    </w:rPr>
                  </w:pPr>
                  <w:r>
                    <w:rPr>
                      <w:rFonts w:hint="eastAsia"/>
                      <w:color w:val="auto"/>
                      <w:sz w:val="21"/>
                      <w:szCs w:val="21"/>
                      <w:lang w:val="en-US" w:eastAsia="zh-CN"/>
                    </w:rPr>
                    <w:t>1</w:t>
                  </w:r>
                </w:p>
              </w:tc>
              <w:tc>
                <w:tcPr>
                  <w:tcW w:w="1073" w:type="dxa"/>
                  <w:tcBorders>
                    <w:tl2br w:val="nil"/>
                    <w:tr2bl w:val="nil"/>
                  </w:tcBorders>
                  <w:noWrap w:val="0"/>
                  <w:tcMar>
                    <w:top w:w="0" w:type="dxa"/>
                    <w:left w:w="0" w:type="dxa"/>
                    <w:bottom w:w="0" w:type="dxa"/>
                    <w:right w:w="0" w:type="dxa"/>
                  </w:tcMar>
                  <w:vAlign w:val="center"/>
                </w:tcPr>
                <w:p>
                  <w:pPr>
                    <w:pStyle w:val="96"/>
                    <w:keepNext w:val="0"/>
                    <w:keepLines w:val="0"/>
                    <w:pageBreakBefore w:val="0"/>
                    <w:kinsoku/>
                    <w:wordWrap/>
                    <w:overflowPunct/>
                    <w:topLinePunct w:val="0"/>
                    <w:autoSpaceDE/>
                    <w:autoSpaceDN/>
                    <w:bidi w:val="0"/>
                    <w:spacing w:line="240" w:lineRule="auto"/>
                    <w:ind w:firstLine="0" w:firstLineChars="0"/>
                    <w:textAlignment w:val="auto"/>
                    <w:rPr>
                      <w:rFonts w:hint="default"/>
                      <w:color w:val="auto"/>
                      <w:sz w:val="21"/>
                      <w:szCs w:val="21"/>
                      <w:lang w:val="en-US" w:eastAsia="zh-CN"/>
                    </w:rPr>
                  </w:pPr>
                  <w:r>
                    <w:rPr>
                      <w:rFonts w:hint="eastAsia"/>
                      <w:color w:val="auto"/>
                      <w:sz w:val="21"/>
                      <w:szCs w:val="21"/>
                      <w:lang w:val="en-US" w:eastAsia="zh-CN"/>
                    </w:rPr>
                    <w:t>保利拾光年（建设中）</w:t>
                  </w:r>
                </w:p>
              </w:tc>
              <w:tc>
                <w:tcPr>
                  <w:tcW w:w="881"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default"/>
                      <w:color w:val="auto"/>
                      <w:sz w:val="21"/>
                      <w:szCs w:val="21"/>
                      <w:lang w:val="en-US" w:eastAsia="zh-CN"/>
                    </w:rPr>
                  </w:pPr>
                  <w:r>
                    <w:rPr>
                      <w:rFonts w:hint="eastAsia"/>
                      <w:color w:val="auto"/>
                      <w:sz w:val="21"/>
                      <w:szCs w:val="21"/>
                      <w:lang w:val="en-US" w:eastAsia="zh-CN"/>
                    </w:rPr>
                    <w:t>360</w:t>
                  </w:r>
                </w:p>
              </w:tc>
              <w:tc>
                <w:tcPr>
                  <w:tcW w:w="1262"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117.0723960</w:t>
                  </w:r>
                </w:p>
              </w:tc>
              <w:tc>
                <w:tcPr>
                  <w:tcW w:w="1277"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39.1004045</w:t>
                  </w:r>
                </w:p>
              </w:tc>
              <w:tc>
                <w:tcPr>
                  <w:tcW w:w="803"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eastAsia="宋体"/>
                      <w:color w:val="auto"/>
                      <w:sz w:val="21"/>
                      <w:szCs w:val="21"/>
                      <w:lang w:val="en-US" w:eastAsia="zh-CN"/>
                    </w:rPr>
                  </w:pPr>
                  <w:r>
                    <w:rPr>
                      <w:rFonts w:hint="eastAsia"/>
                      <w:color w:val="auto"/>
                      <w:sz w:val="21"/>
                      <w:szCs w:val="21"/>
                      <w:lang w:val="en-US" w:eastAsia="zh-CN"/>
                    </w:rPr>
                    <w:t>居民</w:t>
                  </w:r>
                </w:p>
              </w:tc>
              <w:tc>
                <w:tcPr>
                  <w:tcW w:w="1249"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二类环境空气功能区</w:t>
                  </w:r>
                </w:p>
              </w:tc>
              <w:tc>
                <w:tcPr>
                  <w:tcW w:w="696" w:type="dxa"/>
                  <w:tcBorders>
                    <w:tl2br w:val="nil"/>
                    <w:tr2bl w:val="nil"/>
                  </w:tcBorders>
                  <w:noWrap w:val="0"/>
                  <w:tcMar>
                    <w:top w:w="0" w:type="dxa"/>
                    <w:left w:w="0" w:type="dxa"/>
                    <w:bottom w:w="0" w:type="dxa"/>
                    <w:right w:w="0" w:type="dxa"/>
                  </w:tcMar>
                  <w:vAlign w:val="center"/>
                </w:tcPr>
                <w:p>
                  <w:pPr>
                    <w:keepNext w:val="0"/>
                    <w:keepLines w:val="0"/>
                    <w:pageBreakBefore w:val="0"/>
                    <w:widowControl/>
                    <w:kinsoku/>
                    <w:wordWrap/>
                    <w:overflowPunct/>
                    <w:topLinePunct w:val="0"/>
                    <w:autoSpaceDE/>
                    <w:autoSpaceDN/>
                    <w:bidi w:val="0"/>
                    <w:adjustRightInd/>
                    <w:snapToGrid/>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东侧</w:t>
                  </w:r>
                </w:p>
              </w:tc>
            </w:tr>
          </w:tbl>
          <w:p>
            <w:pPr>
              <w:pStyle w:val="4"/>
              <w:bidi w:val="0"/>
              <w:rPr>
                <w:rFonts w:hint="default"/>
                <w:color w:val="auto"/>
                <w:lang w:val="en-US" w:eastAsia="zh-CN"/>
              </w:rPr>
            </w:pPr>
            <w:r>
              <w:rPr>
                <w:rFonts w:hint="eastAsia"/>
                <w:color w:val="auto"/>
                <w:lang w:val="en-US" w:eastAsia="zh-CN"/>
              </w:rPr>
              <w:t>3.4.2声环境保护目标</w:t>
            </w:r>
          </w:p>
          <w:p>
            <w:pPr>
              <w:pStyle w:val="8"/>
              <w:bidi w:val="0"/>
              <w:rPr>
                <w:color w:val="auto"/>
              </w:rPr>
            </w:pPr>
            <w:r>
              <w:rPr>
                <w:rFonts w:hint="eastAsia"/>
                <w:color w:val="auto"/>
                <w:lang w:val="en-US" w:eastAsia="zh-CN"/>
              </w:rPr>
              <w:t>根据《建设项目环境影响报告表编制技术指南》（污染影响类）及现场踏勘调查，项目厂界外</w:t>
            </w:r>
            <w:r>
              <w:rPr>
                <w:rFonts w:hint="default"/>
                <w:color w:val="auto"/>
                <w:lang w:val="en-US" w:eastAsia="zh-CN"/>
              </w:rPr>
              <w:t>50m</w:t>
            </w:r>
            <w:r>
              <w:rPr>
                <w:rFonts w:hint="eastAsia"/>
                <w:color w:val="auto"/>
                <w:lang w:val="en-US" w:eastAsia="zh-CN"/>
              </w:rPr>
              <w:t>范围内无声环境保护目标。</w:t>
            </w:r>
          </w:p>
          <w:p>
            <w:pPr>
              <w:pStyle w:val="4"/>
              <w:bidi w:val="0"/>
              <w:rPr>
                <w:rFonts w:hint="default"/>
                <w:color w:val="auto"/>
                <w:lang w:val="en-US" w:eastAsia="zh-CN"/>
              </w:rPr>
            </w:pPr>
            <w:r>
              <w:rPr>
                <w:rFonts w:hint="eastAsia"/>
                <w:color w:val="auto"/>
                <w:lang w:val="en-US" w:eastAsia="zh-CN"/>
              </w:rPr>
              <w:t>3.4.3地下水环境保护目标</w:t>
            </w:r>
          </w:p>
          <w:p>
            <w:pPr>
              <w:pStyle w:val="8"/>
              <w:bidi w:val="0"/>
              <w:rPr>
                <w:rFonts w:hint="default"/>
                <w:color w:val="auto"/>
                <w:lang w:val="en-US" w:eastAsia="zh-CN"/>
              </w:rPr>
            </w:pPr>
            <w:r>
              <w:rPr>
                <w:rFonts w:hint="eastAsia"/>
                <w:color w:val="auto"/>
                <w:lang w:val="en-US" w:eastAsia="zh-CN"/>
              </w:rPr>
              <w:t>根据《建设项目环境影响报告表编制技术指南》（污染影响类）要求及现场踏勘调查，本项目厂界外</w:t>
            </w:r>
            <w:r>
              <w:rPr>
                <w:rFonts w:hint="default"/>
                <w:color w:val="auto"/>
                <w:lang w:val="en-US" w:eastAsia="zh-CN"/>
              </w:rPr>
              <w:t>500m</w:t>
            </w:r>
            <w:r>
              <w:rPr>
                <w:rFonts w:hint="eastAsia"/>
                <w:color w:val="auto"/>
                <w:lang w:val="en-US" w:eastAsia="zh-CN"/>
              </w:rPr>
              <w:t>范围内无地下水集中式饮用水水源和热水、矿泉水、温泉等特殊地下水资源。</w:t>
            </w:r>
          </w:p>
          <w:p>
            <w:pPr>
              <w:pStyle w:val="4"/>
              <w:bidi w:val="0"/>
              <w:rPr>
                <w:rFonts w:hint="eastAsia"/>
                <w:color w:val="auto"/>
                <w:lang w:val="en-US" w:eastAsia="zh-CN"/>
              </w:rPr>
            </w:pPr>
            <w:r>
              <w:rPr>
                <w:rFonts w:hint="eastAsia"/>
                <w:color w:val="auto"/>
                <w:lang w:val="en-US" w:eastAsia="zh-CN"/>
              </w:rPr>
              <w:t>3.4.4生态环境保护目标</w:t>
            </w:r>
          </w:p>
          <w:p>
            <w:pPr>
              <w:pStyle w:val="8"/>
              <w:bidi w:val="0"/>
              <w:rPr>
                <w:rFonts w:hint="default"/>
                <w:color w:val="auto"/>
                <w:lang w:val="en-US"/>
              </w:rPr>
            </w:pPr>
            <w:r>
              <w:rPr>
                <w:rFonts w:hint="eastAsia"/>
                <w:color w:val="auto"/>
                <w:lang w:val="en-US" w:eastAsia="zh-CN"/>
              </w:rPr>
              <w:t>根据《</w:t>
            </w:r>
            <w:r>
              <w:rPr>
                <w:rFonts w:hint="eastAsia"/>
                <w:color w:val="auto"/>
              </w:rPr>
              <w:t>建设项目环境影响报告表编制技术指南 （污染影响类）</w:t>
            </w:r>
            <w:r>
              <w:rPr>
                <w:rFonts w:hint="eastAsia"/>
                <w:color w:val="auto"/>
                <w:lang w:val="en-US" w:eastAsia="zh-CN"/>
              </w:rPr>
              <w:t>》</w:t>
            </w:r>
            <w:r>
              <w:rPr>
                <w:rFonts w:hint="eastAsia"/>
                <w:color w:val="auto"/>
              </w:rPr>
              <w:t>（试行）</w:t>
            </w:r>
            <w:r>
              <w:rPr>
                <w:rFonts w:hint="eastAsia"/>
                <w:color w:val="auto"/>
                <w:lang w:val="en-US" w:eastAsia="zh-CN"/>
              </w:rPr>
              <w:t>及现场踏勘可知，本项目位于</w:t>
            </w:r>
            <w:r>
              <w:rPr>
                <w:rFonts w:hint="eastAsia"/>
                <w:color w:val="auto"/>
                <w:szCs w:val="21"/>
                <w:lang w:val="en-US" w:eastAsia="zh-CN"/>
              </w:rPr>
              <w:t>天津滨海高新区华苑产业区（环外）海泰华科八路6号5层E区512~514</w:t>
            </w:r>
            <w:r>
              <w:rPr>
                <w:rFonts w:hint="eastAsia"/>
                <w:color w:val="auto"/>
                <w:lang w:val="en-US" w:eastAsia="zh-CN"/>
              </w:rPr>
              <w:t>，属于</w:t>
            </w:r>
            <w:r>
              <w:rPr>
                <w:rFonts w:hint="eastAsia" w:ascii="Times New Roman" w:hAnsi="Times New Roman" w:eastAsia="宋体"/>
                <w:color w:val="auto"/>
                <w:kern w:val="2"/>
                <w:szCs w:val="21"/>
                <w:lang w:val="en-US" w:eastAsia="zh-CN" w:bidi="ar-SA"/>
              </w:rPr>
              <w:t>天津华苑产业</w:t>
            </w:r>
            <w:r>
              <w:rPr>
                <w:rFonts w:hint="eastAsia"/>
                <w:color w:val="auto"/>
                <w:kern w:val="2"/>
                <w:szCs w:val="21"/>
                <w:lang w:val="en-US" w:eastAsia="zh-CN" w:bidi="ar-SA"/>
              </w:rPr>
              <w:t>区</w:t>
            </w:r>
            <w:r>
              <w:rPr>
                <w:rFonts w:hint="eastAsia" w:ascii="Times New Roman" w:hAnsi="Times New Roman" w:eastAsia="宋体"/>
                <w:color w:val="auto"/>
                <w:kern w:val="2"/>
                <w:szCs w:val="21"/>
                <w:lang w:val="en-US" w:eastAsia="zh-CN" w:bidi="ar-SA"/>
              </w:rPr>
              <w:t>（环外）</w:t>
            </w:r>
            <w:r>
              <w:rPr>
                <w:rFonts w:hint="eastAsia"/>
                <w:color w:val="auto"/>
                <w:kern w:val="2"/>
                <w:sz w:val="24"/>
                <w:szCs w:val="24"/>
                <w:lang w:val="en-US" w:eastAsia="zh-CN"/>
              </w:rPr>
              <w:t>，本项目不涉及新增用地且建设项目厂界范围内</w:t>
            </w:r>
            <w:r>
              <w:rPr>
                <w:rFonts w:hint="eastAsia"/>
                <w:color w:val="auto"/>
                <w:lang w:val="en-US" w:eastAsia="zh-CN"/>
              </w:rPr>
              <w:t>无</w:t>
            </w:r>
            <w:r>
              <w:rPr>
                <w:rFonts w:hint="eastAsia"/>
                <w:color w:val="auto"/>
                <w:kern w:val="2"/>
                <w:sz w:val="24"/>
                <w:szCs w:val="24"/>
                <w:lang w:val="en-US" w:eastAsia="zh-CN"/>
              </w:rPr>
              <w:t>生态环境保护目标</w:t>
            </w:r>
            <w:r>
              <w:rPr>
                <w:rFonts w:hint="eastAsia"/>
                <w:color w:val="auto"/>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3" w:type="dxa"/>
            <w:noWrap w:val="0"/>
            <w:vAlign w:val="center"/>
          </w:tcPr>
          <w:p>
            <w:pPr>
              <w:adjustRightInd w:val="0"/>
              <w:snapToGrid w:val="0"/>
              <w:jc w:val="center"/>
              <w:rPr>
                <w:rFonts w:hint="eastAsia" w:ascii="Times New Roman" w:hAnsi="Times New Roman" w:eastAsia="宋体" w:cs="宋体"/>
                <w:color w:val="auto"/>
                <w:kern w:val="0"/>
                <w:szCs w:val="21"/>
              </w:rPr>
            </w:pP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污染</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物排</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放控</w:t>
            </w:r>
          </w:p>
          <w:p>
            <w:pPr>
              <w:adjustRightInd w:val="0"/>
              <w:snapToGrid w:val="0"/>
              <w:jc w:val="center"/>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制标</w:t>
            </w:r>
          </w:p>
          <w:p>
            <w:pPr>
              <w:adjustRightInd w:val="0"/>
              <w:snapToGrid w:val="0"/>
              <w:jc w:val="both"/>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准</w:t>
            </w:r>
          </w:p>
        </w:tc>
        <w:tc>
          <w:tcPr>
            <w:tcW w:w="8698" w:type="dxa"/>
            <w:noWrap w:val="0"/>
            <w:vAlign w:val="top"/>
          </w:tcPr>
          <w:p>
            <w:pPr>
              <w:pStyle w:val="4"/>
              <w:bidi w:val="0"/>
              <w:rPr>
                <w:rFonts w:hint="default"/>
                <w:color w:val="auto"/>
                <w:lang w:val="en-US" w:eastAsia="zh-CN"/>
              </w:rPr>
            </w:pPr>
            <w:r>
              <w:rPr>
                <w:rFonts w:hint="eastAsia"/>
                <w:color w:val="auto"/>
                <w:lang w:val="en-US" w:eastAsia="zh-CN"/>
              </w:rPr>
              <w:t>3.5污染物排放标准</w:t>
            </w:r>
          </w:p>
          <w:p>
            <w:pPr>
              <w:pStyle w:val="4"/>
              <w:bidi w:val="0"/>
              <w:rPr>
                <w:rFonts w:hint="default"/>
                <w:color w:val="auto"/>
                <w:lang w:val="en-US" w:eastAsia="zh-CN"/>
              </w:rPr>
            </w:pPr>
            <w:r>
              <w:rPr>
                <w:rFonts w:hint="eastAsia"/>
                <w:color w:val="auto"/>
                <w:lang w:val="en-US" w:eastAsia="zh-CN"/>
              </w:rPr>
              <w:t>3.5.1大气污染物</w:t>
            </w:r>
            <w:r>
              <w:rPr>
                <w:color w:val="auto"/>
              </w:rPr>
              <w:t>排放标准</w:t>
            </w:r>
          </w:p>
          <w:p>
            <w:pPr>
              <w:pStyle w:val="8"/>
              <w:bidi w:val="0"/>
              <w:rPr>
                <w:rFonts w:hint="eastAsia"/>
                <w:color w:val="auto"/>
                <w:lang w:eastAsia="zh-CN"/>
              </w:rPr>
            </w:pPr>
            <w:r>
              <w:rPr>
                <w:rFonts w:hint="eastAsia"/>
                <w:color w:val="auto"/>
              </w:rPr>
              <w:t>本项目</w:t>
            </w:r>
            <w:r>
              <w:rPr>
                <w:rFonts w:hint="eastAsia"/>
                <w:color w:val="auto"/>
                <w:lang w:eastAsia="zh-CN"/>
              </w:rPr>
              <w:t>实验、溶液配制过程</w:t>
            </w:r>
            <w:r>
              <w:rPr>
                <w:rFonts w:hint="eastAsia"/>
                <w:color w:val="auto"/>
              </w:rPr>
              <w:t>产生的非甲烷总烃、TRVOC</w:t>
            </w:r>
            <w:r>
              <w:rPr>
                <w:rFonts w:hint="eastAsia"/>
                <w:color w:val="auto"/>
                <w:lang w:eastAsia="zh-CN"/>
              </w:rPr>
              <w:t>、二甲苯</w:t>
            </w:r>
            <w:r>
              <w:rPr>
                <w:rFonts w:hint="eastAsia"/>
                <w:color w:val="auto"/>
                <w:lang w:val="en-US" w:eastAsia="zh-CN"/>
              </w:rPr>
              <w:t>排放浓度及排放速率</w:t>
            </w:r>
            <w:r>
              <w:rPr>
                <w:rFonts w:hint="eastAsia"/>
                <w:color w:val="auto"/>
              </w:rPr>
              <w:t>执行《工业企业挥发性有机物排放控制标准》（DB12/524-2020）</w:t>
            </w:r>
            <w:r>
              <w:rPr>
                <w:rFonts w:hint="eastAsia"/>
                <w:color w:val="auto"/>
                <w:lang w:eastAsia="zh-CN"/>
              </w:rPr>
              <w:t>的</w:t>
            </w:r>
            <w:r>
              <w:rPr>
                <w:rFonts w:hint="eastAsia"/>
                <w:color w:val="auto"/>
              </w:rPr>
              <w:t>标准限值。</w:t>
            </w:r>
            <w:r>
              <w:rPr>
                <w:rFonts w:hint="eastAsia"/>
                <w:color w:val="auto"/>
                <w:lang w:eastAsia="zh-CN"/>
              </w:rPr>
              <w:t>甲醇、氯化氢</w:t>
            </w:r>
            <w:r>
              <w:rPr>
                <w:rFonts w:hint="eastAsia"/>
                <w:color w:val="auto"/>
                <w:lang w:val="en-US" w:eastAsia="zh-CN"/>
              </w:rPr>
              <w:t>排放浓度及排放速率执行</w:t>
            </w:r>
            <w:r>
              <w:rPr>
                <w:rFonts w:hint="eastAsia"/>
                <w:color w:val="auto"/>
              </w:rPr>
              <w:t>《</w:t>
            </w:r>
            <w:r>
              <w:rPr>
                <w:rFonts w:hint="eastAsia"/>
                <w:color w:val="auto"/>
                <w:lang w:eastAsia="zh-CN"/>
              </w:rPr>
              <w:t>大气污染物综合</w:t>
            </w:r>
            <w:r>
              <w:rPr>
                <w:rFonts w:hint="eastAsia"/>
                <w:color w:val="auto"/>
              </w:rPr>
              <w:t>排放标准》（</w:t>
            </w:r>
            <w:r>
              <w:rPr>
                <w:rFonts w:hint="eastAsia"/>
                <w:color w:val="auto"/>
                <w:lang w:val="en-US" w:eastAsia="zh-CN"/>
              </w:rPr>
              <w:t>GB16297-1996</w:t>
            </w:r>
            <w:r>
              <w:rPr>
                <w:rFonts w:hint="eastAsia"/>
                <w:color w:val="auto"/>
              </w:rPr>
              <w:t>）</w:t>
            </w:r>
            <w:r>
              <w:rPr>
                <w:rFonts w:hint="eastAsia"/>
                <w:color w:val="auto"/>
                <w:lang w:eastAsia="zh-CN"/>
              </w:rPr>
              <w:t>的</w:t>
            </w:r>
            <w:r>
              <w:rPr>
                <w:rFonts w:hint="eastAsia"/>
                <w:color w:val="auto"/>
              </w:rPr>
              <w:t>标准限值。</w:t>
            </w:r>
            <w:r>
              <w:rPr>
                <w:rFonts w:hint="eastAsia"/>
                <w:color w:val="auto"/>
                <w:lang w:eastAsia="zh-CN"/>
              </w:rPr>
              <w:t>实验过程异味（</w:t>
            </w:r>
            <w:r>
              <w:rPr>
                <w:rFonts w:hint="eastAsia"/>
                <w:color w:val="auto"/>
                <w:lang w:val="en-US" w:eastAsia="zh-CN"/>
              </w:rPr>
              <w:t>臭气浓度</w:t>
            </w:r>
            <w:r>
              <w:rPr>
                <w:rFonts w:hint="eastAsia"/>
                <w:color w:val="auto"/>
                <w:lang w:eastAsia="zh-CN"/>
              </w:rPr>
              <w:t>）、氨</w:t>
            </w:r>
            <w:r>
              <w:rPr>
                <w:rFonts w:hint="eastAsia"/>
                <w:color w:val="auto"/>
                <w:lang w:val="en-US" w:eastAsia="zh-CN"/>
              </w:rPr>
              <w:t>排放速率执行《恶臭污染物排放标准》（DB12/059-2018）</w:t>
            </w:r>
            <w:r>
              <w:rPr>
                <w:rFonts w:hint="eastAsia"/>
                <w:color w:val="auto"/>
              </w:rPr>
              <w:t>标准限值</w:t>
            </w:r>
            <w:r>
              <w:rPr>
                <w:rFonts w:hint="eastAsia"/>
                <w:color w:val="auto"/>
                <w:lang w:eastAsia="zh-CN"/>
              </w:rPr>
              <w:t>。</w:t>
            </w:r>
          </w:p>
          <w:p>
            <w:pPr>
              <w:pStyle w:val="8"/>
              <w:bidi w:val="0"/>
              <w:rPr>
                <w:rFonts w:hint="eastAsia"/>
                <w:color w:val="auto"/>
                <w:lang w:val="en-US" w:eastAsia="zh-CN"/>
              </w:rPr>
            </w:pPr>
            <w:r>
              <w:rPr>
                <w:rFonts w:hint="eastAsia"/>
                <w:color w:val="auto"/>
                <w:lang w:val="en-US" w:eastAsia="zh-CN"/>
              </w:rPr>
              <w:t>周界无组织废气氨、硫化氢排放浓度，臭气浓度执行《恶臭污染物排放标准》（DB12/059-2018）中周界环境标准限值。</w:t>
            </w:r>
          </w:p>
          <w:p>
            <w:pPr>
              <w:pStyle w:val="85"/>
              <w:bidi w:val="0"/>
              <w:rPr>
                <w:rFonts w:hint="default"/>
                <w:color w:val="auto"/>
              </w:rPr>
            </w:pPr>
            <w:r>
              <w:rPr>
                <w:color w:val="auto"/>
              </w:rPr>
              <w:t xml:space="preserve">表 </w:t>
            </w:r>
            <w:r>
              <w:rPr>
                <w:rFonts w:hint="eastAsia"/>
                <w:color w:val="auto"/>
                <w:lang w:val="en-US" w:eastAsia="zh-CN"/>
              </w:rPr>
              <w:t xml:space="preserve">3-4 </w:t>
            </w:r>
            <w:r>
              <w:rPr>
                <w:rFonts w:hint="default"/>
                <w:color w:val="auto"/>
                <w:lang w:val="en-US" w:eastAsia="zh-CN"/>
              </w:rPr>
              <w:t xml:space="preserve">   </w:t>
            </w:r>
            <w:r>
              <w:rPr>
                <w:rFonts w:hint="eastAsia"/>
                <w:color w:val="auto"/>
                <w:lang w:val="en-US" w:eastAsia="zh-CN"/>
              </w:rPr>
              <w:t>大气有组合</w:t>
            </w:r>
            <w:r>
              <w:rPr>
                <w:rFonts w:hint="default"/>
                <w:color w:val="auto"/>
                <w:lang w:val="en-US" w:eastAsia="zh-CN"/>
              </w:rPr>
              <w:t>污染物排放标准</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297"/>
              <w:gridCol w:w="1178"/>
              <w:gridCol w:w="1233"/>
              <w:gridCol w:w="1392"/>
              <w:gridCol w:w="25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tcBorders>
                    <w:tl2br w:val="nil"/>
                    <w:tr2bl w:val="nil"/>
                  </w:tcBorders>
                  <w:noWrap w:val="0"/>
                  <w:vAlign w:val="center"/>
                </w:tcPr>
                <w:p>
                  <w:pPr>
                    <w:pStyle w:val="84"/>
                    <w:bidi w:val="0"/>
                    <w:rPr>
                      <w:rFonts w:hint="default"/>
                      <w:b/>
                      <w:bCs/>
                      <w:color w:val="auto"/>
                      <w:lang w:val="en-US" w:eastAsia="zh-CN"/>
                    </w:rPr>
                  </w:pPr>
                  <w:r>
                    <w:rPr>
                      <w:rFonts w:hint="eastAsia"/>
                      <w:b/>
                      <w:bCs/>
                      <w:color w:val="auto"/>
                      <w:lang w:val="en-US" w:eastAsia="zh-CN"/>
                    </w:rPr>
                    <w:t>排气筒及其高度</w:t>
                  </w:r>
                </w:p>
              </w:tc>
              <w:tc>
                <w:tcPr>
                  <w:tcW w:w="767" w:type="pct"/>
                  <w:tcBorders>
                    <w:tl2br w:val="nil"/>
                    <w:tr2bl w:val="nil"/>
                  </w:tcBorders>
                  <w:noWrap w:val="0"/>
                  <w:vAlign w:val="center"/>
                </w:tcPr>
                <w:p>
                  <w:pPr>
                    <w:pStyle w:val="84"/>
                    <w:bidi w:val="0"/>
                    <w:rPr>
                      <w:b/>
                      <w:bCs/>
                      <w:color w:val="auto"/>
                    </w:rPr>
                  </w:pPr>
                  <w:r>
                    <w:rPr>
                      <w:b/>
                      <w:bCs/>
                      <w:color w:val="auto"/>
                    </w:rPr>
                    <w:t>污染物</w:t>
                  </w:r>
                </w:p>
              </w:tc>
              <w:tc>
                <w:tcPr>
                  <w:tcW w:w="697" w:type="pct"/>
                  <w:tcBorders>
                    <w:tl2br w:val="nil"/>
                    <w:tr2bl w:val="nil"/>
                  </w:tcBorders>
                  <w:noWrap w:val="0"/>
                  <w:vAlign w:val="center"/>
                </w:tcPr>
                <w:p>
                  <w:pPr>
                    <w:pStyle w:val="84"/>
                    <w:bidi w:val="0"/>
                    <w:rPr>
                      <w:b/>
                      <w:bCs/>
                      <w:color w:val="auto"/>
                    </w:rPr>
                  </w:pPr>
                  <w:r>
                    <w:rPr>
                      <w:b/>
                      <w:bCs/>
                      <w:color w:val="auto"/>
                    </w:rPr>
                    <w:t>最高允许排放浓度(mg/m</w:t>
                  </w:r>
                  <w:r>
                    <w:rPr>
                      <w:rFonts w:hint="eastAsia"/>
                      <w:b/>
                      <w:bCs/>
                      <w:color w:val="auto"/>
                      <w:vertAlign w:val="superscript"/>
                      <w:lang w:val="en-US" w:eastAsia="zh-CN"/>
                    </w:rPr>
                    <w:t>3</w:t>
                  </w:r>
                  <w:r>
                    <w:rPr>
                      <w:b/>
                      <w:bCs/>
                      <w:color w:val="auto"/>
                    </w:rPr>
                    <w:t>)</w:t>
                  </w:r>
                </w:p>
              </w:tc>
              <w:tc>
                <w:tcPr>
                  <w:tcW w:w="729" w:type="pct"/>
                  <w:tcBorders>
                    <w:tl2br w:val="nil"/>
                    <w:tr2bl w:val="nil"/>
                  </w:tcBorders>
                  <w:noWrap w:val="0"/>
                  <w:vAlign w:val="center"/>
                </w:tcPr>
                <w:p>
                  <w:pPr>
                    <w:pStyle w:val="84"/>
                    <w:bidi w:val="0"/>
                    <w:rPr>
                      <w:b/>
                      <w:bCs/>
                      <w:color w:val="auto"/>
                    </w:rPr>
                  </w:pPr>
                  <w:r>
                    <w:rPr>
                      <w:b/>
                      <w:bCs/>
                      <w:color w:val="auto"/>
                    </w:rPr>
                    <w:t>最高允许</w:t>
                  </w:r>
                </w:p>
                <w:p>
                  <w:pPr>
                    <w:pStyle w:val="84"/>
                    <w:bidi w:val="0"/>
                    <w:rPr>
                      <w:b/>
                      <w:bCs/>
                      <w:color w:val="auto"/>
                    </w:rPr>
                  </w:pPr>
                  <w:r>
                    <w:rPr>
                      <w:b/>
                      <w:bCs/>
                      <w:color w:val="auto"/>
                    </w:rPr>
                    <w:t>排放速率</w:t>
                  </w:r>
                </w:p>
                <w:p>
                  <w:pPr>
                    <w:pStyle w:val="84"/>
                    <w:bidi w:val="0"/>
                    <w:rPr>
                      <w:b/>
                      <w:bCs/>
                      <w:color w:val="auto"/>
                    </w:rPr>
                  </w:pPr>
                  <w:r>
                    <w:rPr>
                      <w:b/>
                      <w:bCs/>
                      <w:color w:val="auto"/>
                    </w:rPr>
                    <w:t>(kg/h)</w:t>
                  </w:r>
                </w:p>
              </w:tc>
              <w:tc>
                <w:tcPr>
                  <w:tcW w:w="823" w:type="pct"/>
                  <w:tcBorders>
                    <w:tl2br w:val="nil"/>
                    <w:tr2bl w:val="nil"/>
                  </w:tcBorders>
                  <w:noWrap w:val="0"/>
                  <w:vAlign w:val="center"/>
                </w:tcPr>
                <w:p>
                  <w:pPr>
                    <w:pStyle w:val="84"/>
                    <w:bidi w:val="0"/>
                    <w:rPr>
                      <w:rFonts w:hint="eastAsia"/>
                      <w:b/>
                      <w:bCs/>
                      <w:color w:val="auto"/>
                      <w:lang w:val="en-US" w:eastAsia="zh-CN"/>
                    </w:rPr>
                  </w:pPr>
                  <w:r>
                    <w:rPr>
                      <w:rFonts w:hint="eastAsia"/>
                      <w:b/>
                      <w:bCs/>
                      <w:color w:val="auto"/>
                      <w:lang w:val="en-US" w:eastAsia="zh-CN"/>
                    </w:rPr>
                    <w:t>周界环境空气浓度限值</w:t>
                  </w:r>
                  <w:r>
                    <w:rPr>
                      <w:b/>
                      <w:bCs/>
                      <w:color w:val="auto"/>
                    </w:rPr>
                    <w:t>(mg/m</w:t>
                  </w:r>
                  <w:r>
                    <w:rPr>
                      <w:rFonts w:hint="eastAsia"/>
                      <w:b/>
                      <w:bCs/>
                      <w:color w:val="auto"/>
                      <w:vertAlign w:val="superscript"/>
                      <w:lang w:val="en-US" w:eastAsia="zh-CN"/>
                    </w:rPr>
                    <w:t>3</w:t>
                  </w:r>
                  <w:r>
                    <w:rPr>
                      <w:b/>
                      <w:bCs/>
                      <w:color w:val="auto"/>
                    </w:rPr>
                    <w:t>)</w:t>
                  </w:r>
                </w:p>
              </w:tc>
              <w:tc>
                <w:tcPr>
                  <w:tcW w:w="1496" w:type="pct"/>
                  <w:tcBorders>
                    <w:tl2br w:val="nil"/>
                    <w:tr2bl w:val="nil"/>
                  </w:tcBorders>
                  <w:noWrap w:val="0"/>
                  <w:vAlign w:val="center"/>
                </w:tcPr>
                <w:p>
                  <w:pPr>
                    <w:pStyle w:val="84"/>
                    <w:bidi w:val="0"/>
                    <w:ind w:firstLine="0" w:firstLineChars="0"/>
                    <w:rPr>
                      <w:rFonts w:hint="eastAsia"/>
                      <w:b/>
                      <w:bCs/>
                      <w:color w:val="auto"/>
                      <w:lang w:val="en-US" w:eastAsia="zh-CN"/>
                    </w:rPr>
                  </w:pPr>
                  <w:r>
                    <w:rPr>
                      <w:rFonts w:hint="eastAsia"/>
                      <w:b/>
                      <w:bCs/>
                      <w:color w:val="auto"/>
                      <w:lang w:val="en-US" w:eastAsia="zh-CN"/>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restart"/>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P1排气筒</w:t>
                  </w:r>
                </w:p>
                <w:p>
                  <w:pPr>
                    <w:pStyle w:val="84"/>
                    <w:bidi w:val="0"/>
                    <w:rPr>
                      <w:rFonts w:hint="default"/>
                      <w:color w:val="auto"/>
                      <w:lang w:val="en-US" w:eastAsia="zh-CN"/>
                    </w:rPr>
                  </w:pPr>
                  <w:r>
                    <w:rPr>
                      <w:rFonts w:hint="eastAsia"/>
                      <w:color w:val="auto"/>
                      <w:lang w:val="en-US" w:eastAsia="zh-CN"/>
                    </w:rPr>
                    <w:t>20m</w:t>
                  </w:r>
                </w:p>
              </w:tc>
              <w:tc>
                <w:tcPr>
                  <w:tcW w:w="767" w:type="pct"/>
                  <w:tcBorders>
                    <w:tl2br w:val="nil"/>
                    <w:tr2bl w:val="nil"/>
                  </w:tcBorders>
                  <w:noWrap w:val="0"/>
                  <w:vAlign w:val="center"/>
                </w:tcPr>
                <w:p>
                  <w:pPr>
                    <w:pStyle w:val="84"/>
                    <w:bidi w:val="0"/>
                    <w:rPr>
                      <w:rFonts w:hint="default"/>
                      <w:color w:val="auto"/>
                      <w:lang w:val="en-US" w:eastAsia="zh-CN"/>
                    </w:rPr>
                  </w:pPr>
                  <w:r>
                    <w:rPr>
                      <w:rFonts w:hint="eastAsia"/>
                      <w:color w:val="auto"/>
                    </w:rPr>
                    <w:t>TRVOC</w:t>
                  </w:r>
                </w:p>
              </w:tc>
              <w:tc>
                <w:tcPr>
                  <w:tcW w:w="697" w:type="pct"/>
                  <w:tcBorders>
                    <w:tl2br w:val="nil"/>
                    <w:tr2bl w:val="nil"/>
                  </w:tcBorders>
                  <w:noWrap w:val="0"/>
                  <w:vAlign w:val="center"/>
                </w:tcPr>
                <w:p>
                  <w:pPr>
                    <w:pStyle w:val="8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60</w:t>
                  </w:r>
                </w:p>
              </w:tc>
              <w:tc>
                <w:tcPr>
                  <w:tcW w:w="729" w:type="pct"/>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4.1</w:t>
                  </w:r>
                </w:p>
              </w:tc>
              <w:tc>
                <w:tcPr>
                  <w:tcW w:w="823"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w:t>
                  </w:r>
                </w:p>
              </w:tc>
              <w:tc>
                <w:tcPr>
                  <w:tcW w:w="1496" w:type="pct"/>
                  <w:vMerge w:val="restart"/>
                  <w:tcBorders>
                    <w:tl2br w:val="nil"/>
                    <w:tr2bl w:val="nil"/>
                  </w:tcBorders>
                  <w:noWrap w:val="0"/>
                  <w:vAlign w:val="center"/>
                </w:tcPr>
                <w:p>
                  <w:pPr>
                    <w:pStyle w:val="84"/>
                    <w:bidi w:val="0"/>
                    <w:ind w:firstLine="0" w:firstLineChars="0"/>
                    <w:rPr>
                      <w:rFonts w:hint="eastAsia"/>
                      <w:color w:val="auto"/>
                    </w:rPr>
                  </w:pPr>
                  <w:r>
                    <w:rPr>
                      <w:rFonts w:hint="eastAsia"/>
                      <w:color w:val="auto"/>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rFonts w:hint="default"/>
                      <w:color w:val="auto"/>
                      <w:lang w:val="en-US" w:eastAsia="zh-CN"/>
                    </w:rPr>
                  </w:pPr>
                </w:p>
              </w:tc>
              <w:tc>
                <w:tcPr>
                  <w:tcW w:w="767" w:type="pct"/>
                  <w:tcBorders>
                    <w:tl2br w:val="nil"/>
                    <w:tr2bl w:val="nil"/>
                  </w:tcBorders>
                  <w:noWrap w:val="0"/>
                  <w:vAlign w:val="center"/>
                </w:tcPr>
                <w:p>
                  <w:pPr>
                    <w:pStyle w:val="84"/>
                    <w:bidi w:val="0"/>
                    <w:rPr>
                      <w:rFonts w:hint="default"/>
                      <w:color w:val="auto"/>
                      <w:lang w:val="en-US" w:eastAsia="zh-CN"/>
                    </w:rPr>
                  </w:pPr>
                  <w:r>
                    <w:rPr>
                      <w:rFonts w:hint="eastAsia"/>
                      <w:color w:val="auto"/>
                    </w:rPr>
                    <w:t>非甲烷总烃</w:t>
                  </w:r>
                </w:p>
              </w:tc>
              <w:tc>
                <w:tcPr>
                  <w:tcW w:w="697" w:type="pct"/>
                  <w:tcBorders>
                    <w:tl2br w:val="nil"/>
                    <w:tr2bl w:val="nil"/>
                  </w:tcBorders>
                  <w:noWrap w:val="0"/>
                  <w:vAlign w:val="center"/>
                </w:tcPr>
                <w:p>
                  <w:pPr>
                    <w:pStyle w:val="84"/>
                    <w:bidi w:val="0"/>
                    <w:ind w:firstLine="0" w:firstLineChars="0"/>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50</w:t>
                  </w:r>
                </w:p>
              </w:tc>
              <w:tc>
                <w:tcPr>
                  <w:tcW w:w="729" w:type="pct"/>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3.4</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w:t>
                  </w:r>
                </w:p>
              </w:tc>
              <w:tc>
                <w:tcPr>
                  <w:tcW w:w="1496" w:type="pct"/>
                  <w:vMerge w:val="continue"/>
                  <w:tcBorders>
                    <w:tl2br w:val="nil"/>
                    <w:tr2bl w:val="nil"/>
                  </w:tcBorders>
                  <w:noWrap w:val="0"/>
                  <w:vAlign w:val="center"/>
                </w:tcPr>
                <w:p>
                  <w:pPr>
                    <w:pStyle w:val="84"/>
                    <w:bidi w:val="0"/>
                    <w:rPr>
                      <w:rFonts w:hint="default"/>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ind w:firstLine="0" w:firstLineChars="0"/>
                    <w:rPr>
                      <w:rFonts w:hint="eastAsia"/>
                      <w:color w:val="auto"/>
                      <w:lang w:val="en-US" w:eastAsia="zh-CN"/>
                    </w:rPr>
                  </w:pPr>
                  <w:r>
                    <w:rPr>
                      <w:rFonts w:hint="eastAsia"/>
                      <w:color w:val="auto"/>
                      <w:lang w:val="en-US" w:eastAsia="zh-CN"/>
                    </w:rPr>
                    <w:t>甲苯与二甲苯合计</w:t>
                  </w:r>
                </w:p>
              </w:tc>
              <w:tc>
                <w:tcPr>
                  <w:tcW w:w="69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40</w:t>
                  </w:r>
                </w:p>
              </w:tc>
              <w:tc>
                <w:tcPr>
                  <w:tcW w:w="729"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2.1</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w:t>
                  </w:r>
                </w:p>
              </w:tc>
              <w:tc>
                <w:tcPr>
                  <w:tcW w:w="1496" w:type="pct"/>
                  <w:vMerge w:val="continue"/>
                  <w:tcBorders>
                    <w:tl2br w:val="nil"/>
                    <w:tr2bl w:val="nil"/>
                  </w:tcBorders>
                  <w:noWrap w:val="0"/>
                  <w:vAlign w:val="center"/>
                </w:tcPr>
                <w:p>
                  <w:pPr>
                    <w:pStyle w:val="84"/>
                    <w:bidi w:val="0"/>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甲醇*</w:t>
                  </w:r>
                </w:p>
              </w:tc>
              <w:tc>
                <w:tcPr>
                  <w:tcW w:w="69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25</w:t>
                  </w:r>
                </w:p>
              </w:tc>
              <w:tc>
                <w:tcPr>
                  <w:tcW w:w="729"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0.215</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w:t>
                  </w:r>
                </w:p>
              </w:tc>
              <w:tc>
                <w:tcPr>
                  <w:tcW w:w="1496" w:type="pct"/>
                  <w:vMerge w:val="restart"/>
                  <w:tcBorders>
                    <w:tl2br w:val="nil"/>
                    <w:tr2bl w:val="nil"/>
                  </w:tcBorders>
                  <w:noWrap w:val="0"/>
                  <w:vAlign w:val="center"/>
                </w:tcPr>
                <w:p>
                  <w:pPr>
                    <w:pStyle w:val="84"/>
                    <w:bidi w:val="0"/>
                    <w:rPr>
                      <w:rFonts w:hint="eastAsia"/>
                      <w:color w:val="auto"/>
                    </w:rPr>
                  </w:pPr>
                  <w:r>
                    <w:rPr>
                      <w:rFonts w:hint="eastAsia"/>
                      <w:color w:val="auto"/>
                    </w:rPr>
                    <w:t>《</w:t>
                  </w:r>
                  <w:r>
                    <w:rPr>
                      <w:rFonts w:hint="eastAsia"/>
                      <w:color w:val="auto"/>
                      <w:lang w:eastAsia="zh-CN"/>
                    </w:rPr>
                    <w:t>大气污染物综合</w:t>
                  </w:r>
                  <w:r>
                    <w:rPr>
                      <w:rFonts w:hint="eastAsia"/>
                      <w:color w:val="auto"/>
                    </w:rPr>
                    <w:t>排放标准》（</w:t>
                  </w:r>
                  <w:r>
                    <w:rPr>
                      <w:rFonts w:hint="eastAsia"/>
                      <w:color w:val="auto"/>
                      <w:lang w:val="en-US" w:eastAsia="zh-CN"/>
                    </w:rPr>
                    <w:t>GB16297-1996</w:t>
                  </w:r>
                  <w:r>
                    <w:rPr>
                      <w:rFonts w:hint="eastAsia"/>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氯化氢*</w:t>
                  </w:r>
                </w:p>
              </w:tc>
              <w:tc>
                <w:tcPr>
                  <w:tcW w:w="69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100</w:t>
                  </w:r>
                </w:p>
              </w:tc>
              <w:tc>
                <w:tcPr>
                  <w:tcW w:w="729"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0.215</w:t>
                  </w:r>
                </w:p>
              </w:tc>
              <w:tc>
                <w:tcPr>
                  <w:tcW w:w="8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w:t>
                  </w:r>
                </w:p>
              </w:tc>
              <w:tc>
                <w:tcPr>
                  <w:tcW w:w="1496" w:type="pct"/>
                  <w:vMerge w:val="continue"/>
                  <w:tcBorders>
                    <w:tl2br w:val="nil"/>
                    <w:tr2bl w:val="nil"/>
                  </w:tcBorders>
                  <w:noWrap w:val="0"/>
                  <w:vAlign w:val="center"/>
                </w:tcPr>
                <w:p>
                  <w:pPr>
                    <w:pStyle w:val="84"/>
                    <w:bidi w:val="0"/>
                    <w:rPr>
                      <w:rFonts w:hint="eastAsia"/>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氨</w:t>
                  </w:r>
                </w:p>
              </w:tc>
              <w:tc>
                <w:tcPr>
                  <w:tcW w:w="69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w:t>
                  </w:r>
                </w:p>
              </w:tc>
              <w:tc>
                <w:tcPr>
                  <w:tcW w:w="729"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1.0</w:t>
                  </w:r>
                </w:p>
              </w:tc>
              <w:tc>
                <w:tcPr>
                  <w:tcW w:w="823" w:type="pct"/>
                  <w:tcBorders>
                    <w:tl2br w:val="nil"/>
                    <w:tr2bl w:val="nil"/>
                  </w:tcBorders>
                  <w:noWrap w:val="0"/>
                  <w:vAlign w:val="center"/>
                </w:tcPr>
                <w:p>
                  <w:pPr>
                    <w:pStyle w:val="84"/>
                    <w:ind w:firstLine="0" w:firstLineChars="0"/>
                    <w:rPr>
                      <w:rFonts w:hint="default"/>
                      <w:color w:val="auto"/>
                      <w:lang w:val="en-US" w:eastAsia="zh-CN"/>
                    </w:rPr>
                  </w:pPr>
                  <w:r>
                    <w:rPr>
                      <w:rFonts w:hint="eastAsia"/>
                      <w:color w:val="auto"/>
                    </w:rPr>
                    <w:t>0.20</w:t>
                  </w:r>
                </w:p>
              </w:tc>
              <w:tc>
                <w:tcPr>
                  <w:tcW w:w="1496" w:type="pct"/>
                  <w:vMerge w:val="restart"/>
                  <w:tcBorders>
                    <w:tl2br w:val="nil"/>
                    <w:tr2bl w:val="nil"/>
                  </w:tcBorders>
                  <w:noWrap w:val="0"/>
                  <w:vAlign w:val="center"/>
                </w:tcPr>
                <w:p>
                  <w:pPr>
                    <w:pStyle w:val="84"/>
                    <w:bidi w:val="0"/>
                    <w:rPr>
                      <w:rFonts w:hint="eastAsia"/>
                      <w:color w:val="auto"/>
                      <w:lang w:val="en-US" w:eastAsia="zh-CN"/>
                    </w:rPr>
                  </w:pPr>
                  <w:r>
                    <w:rPr>
                      <w:rFonts w:hint="eastAsia"/>
                      <w:color w:val="auto"/>
                      <w:lang w:val="en-US" w:eastAsia="zh-CN"/>
                    </w:rPr>
                    <w:t>《恶臭污染物排放标准》（DB12/059-2018）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ind w:firstLine="0" w:firstLineChars="0"/>
                    <w:rPr>
                      <w:rFonts w:hint="eastAsia"/>
                      <w:color w:val="auto"/>
                      <w:lang w:val="en-US" w:eastAsia="zh-CN"/>
                    </w:rPr>
                  </w:pPr>
                  <w:r>
                    <w:rPr>
                      <w:rFonts w:hint="eastAsia"/>
                      <w:color w:val="auto"/>
                      <w:lang w:val="en-US" w:eastAsia="zh-CN"/>
                    </w:rPr>
                    <w:t>硫化氢</w:t>
                  </w:r>
                </w:p>
              </w:tc>
              <w:tc>
                <w:tcPr>
                  <w:tcW w:w="697" w:type="pct"/>
                  <w:tcBorders>
                    <w:tl2br w:val="nil"/>
                    <w:tr2bl w:val="nil"/>
                  </w:tcBorders>
                  <w:noWrap w:val="0"/>
                  <w:vAlign w:val="center"/>
                </w:tcPr>
                <w:p>
                  <w:pPr>
                    <w:pStyle w:val="84"/>
                    <w:bidi w:val="0"/>
                    <w:ind w:firstLine="0" w:firstLineChars="0"/>
                    <w:rPr>
                      <w:rFonts w:hint="default"/>
                      <w:color w:val="auto"/>
                      <w:lang w:val="en-US" w:eastAsia="zh-CN"/>
                    </w:rPr>
                  </w:pPr>
                  <w:r>
                    <w:rPr>
                      <w:rFonts w:hint="eastAsia"/>
                      <w:color w:val="auto"/>
                      <w:lang w:val="en-US" w:eastAsia="zh-CN"/>
                    </w:rPr>
                    <w:t>/</w:t>
                  </w:r>
                </w:p>
              </w:tc>
              <w:tc>
                <w:tcPr>
                  <w:tcW w:w="729" w:type="pct"/>
                  <w:tcBorders>
                    <w:tl2br w:val="nil"/>
                    <w:tr2bl w:val="nil"/>
                  </w:tcBorders>
                  <w:noWrap w:val="0"/>
                  <w:vAlign w:val="center"/>
                </w:tcPr>
                <w:p>
                  <w:pPr>
                    <w:pStyle w:val="84"/>
                    <w:bidi w:val="0"/>
                    <w:ind w:firstLine="0" w:firstLineChars="0"/>
                    <w:rPr>
                      <w:rFonts w:hint="eastAsia"/>
                      <w:color w:val="auto"/>
                      <w:lang w:val="en-US" w:eastAsia="zh-CN"/>
                    </w:rPr>
                  </w:pPr>
                  <w:r>
                    <w:rPr>
                      <w:rFonts w:hint="eastAsia"/>
                      <w:color w:val="auto"/>
                      <w:lang w:val="en-US" w:eastAsia="zh-CN"/>
                    </w:rPr>
                    <w:t>0.10</w:t>
                  </w:r>
                </w:p>
              </w:tc>
              <w:tc>
                <w:tcPr>
                  <w:tcW w:w="823" w:type="pct"/>
                  <w:tcBorders>
                    <w:tl2br w:val="nil"/>
                    <w:tr2bl w:val="nil"/>
                  </w:tcBorders>
                  <w:noWrap w:val="0"/>
                  <w:vAlign w:val="center"/>
                </w:tcPr>
                <w:p>
                  <w:pPr>
                    <w:pStyle w:val="84"/>
                    <w:ind w:firstLine="0" w:firstLineChars="0"/>
                    <w:rPr>
                      <w:rFonts w:hint="eastAsia"/>
                      <w:color w:val="auto"/>
                      <w:lang w:val="en-US" w:eastAsia="zh-CN"/>
                    </w:rPr>
                  </w:pPr>
                  <w:r>
                    <w:rPr>
                      <w:rFonts w:hint="eastAsia"/>
                      <w:color w:val="auto"/>
                    </w:rPr>
                    <w:t>0.02</w:t>
                  </w:r>
                </w:p>
              </w:tc>
              <w:tc>
                <w:tcPr>
                  <w:tcW w:w="1496" w:type="pct"/>
                  <w:vMerge w:val="continue"/>
                  <w:tcBorders>
                    <w:tl2br w:val="nil"/>
                    <w:tr2bl w:val="nil"/>
                  </w:tcBorders>
                  <w:noWrap w:val="0"/>
                  <w:vAlign w:val="center"/>
                </w:tcPr>
                <w:p>
                  <w:pPr>
                    <w:pStyle w:val="84"/>
                    <w:bidi w:val="0"/>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85" w:type="pct"/>
                  <w:vMerge w:val="continue"/>
                  <w:tcBorders>
                    <w:tl2br w:val="nil"/>
                    <w:tr2bl w:val="nil"/>
                  </w:tcBorders>
                  <w:noWrap w:val="0"/>
                  <w:vAlign w:val="center"/>
                </w:tcPr>
                <w:p>
                  <w:pPr>
                    <w:pStyle w:val="84"/>
                    <w:bidi w:val="0"/>
                    <w:rPr>
                      <w:color w:val="auto"/>
                    </w:rPr>
                  </w:pPr>
                </w:p>
              </w:tc>
              <w:tc>
                <w:tcPr>
                  <w:tcW w:w="767" w:type="pct"/>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臭气浓度</w:t>
                  </w:r>
                </w:p>
              </w:tc>
              <w:tc>
                <w:tcPr>
                  <w:tcW w:w="1426" w:type="pct"/>
                  <w:gridSpan w:val="2"/>
                  <w:tcBorders>
                    <w:tl2br w:val="nil"/>
                    <w:tr2bl w:val="nil"/>
                  </w:tcBorders>
                  <w:noWrap w:val="0"/>
                  <w:vAlign w:val="center"/>
                </w:tcPr>
                <w:p>
                  <w:pPr>
                    <w:pStyle w:val="84"/>
                    <w:bidi w:val="0"/>
                    <w:rPr>
                      <w:rFonts w:hint="eastAsia"/>
                      <w:color w:val="auto"/>
                      <w:lang w:val="en-US" w:eastAsia="zh-CN"/>
                    </w:rPr>
                  </w:pPr>
                  <w:r>
                    <w:rPr>
                      <w:rFonts w:hint="eastAsia"/>
                      <w:color w:val="auto"/>
                      <w:lang w:val="en-US" w:eastAsia="zh-CN"/>
                    </w:rPr>
                    <w:t>1000</w:t>
                  </w:r>
                </w:p>
                <w:p>
                  <w:pPr>
                    <w:pStyle w:val="84"/>
                    <w:bidi w:val="0"/>
                    <w:rPr>
                      <w:rFonts w:hint="default"/>
                      <w:color w:val="auto"/>
                      <w:lang w:val="en-US" w:eastAsia="zh-CN"/>
                    </w:rPr>
                  </w:pPr>
                  <w:r>
                    <w:rPr>
                      <w:rFonts w:hint="default"/>
                      <w:color w:val="auto"/>
                      <w:lang w:val="en-US" w:eastAsia="zh-CN"/>
                    </w:rPr>
                    <w:t>（无量纲）</w:t>
                  </w:r>
                </w:p>
              </w:tc>
              <w:tc>
                <w:tcPr>
                  <w:tcW w:w="823" w:type="pct"/>
                  <w:tcBorders>
                    <w:tl2br w:val="nil"/>
                    <w:tr2bl w:val="nil"/>
                  </w:tcBorders>
                  <w:noWrap w:val="0"/>
                  <w:vAlign w:val="center"/>
                </w:tcPr>
                <w:p>
                  <w:pPr>
                    <w:pStyle w:val="84"/>
                    <w:ind w:firstLine="0" w:firstLineChars="0"/>
                    <w:rPr>
                      <w:rFonts w:hint="default"/>
                      <w:color w:val="auto"/>
                      <w:lang w:val="en-US" w:eastAsia="zh-CN"/>
                    </w:rPr>
                  </w:pPr>
                  <w:r>
                    <w:rPr>
                      <w:rFonts w:hint="eastAsia"/>
                      <w:color w:val="auto"/>
                    </w:rPr>
                    <w:t>20（无量纲）</w:t>
                  </w:r>
                </w:p>
              </w:tc>
              <w:tc>
                <w:tcPr>
                  <w:tcW w:w="1496" w:type="pct"/>
                  <w:vMerge w:val="continue"/>
                  <w:tcBorders>
                    <w:tl2br w:val="nil"/>
                    <w:tr2bl w:val="nil"/>
                  </w:tcBorders>
                  <w:noWrap w:val="0"/>
                  <w:vAlign w:val="center"/>
                </w:tcPr>
                <w:p>
                  <w:pPr>
                    <w:pStyle w:val="84"/>
                    <w:bidi w:val="0"/>
                    <w:rPr>
                      <w:rFonts w:hint="default"/>
                      <w:color w:val="auto"/>
                      <w:lang w:val="en-US" w:eastAsia="zh-CN"/>
                    </w:rPr>
                  </w:pPr>
                </w:p>
              </w:tc>
            </w:tr>
          </w:tbl>
          <w:p>
            <w:pPr>
              <w:wordWrap w:val="0"/>
              <w:adjustRightInd w:val="0"/>
              <w:snapToGrid w:val="0"/>
              <w:ind w:firstLine="480" w:firstLineChars="200"/>
              <w:rPr>
                <w:rFonts w:hint="eastAsia"/>
                <w:color w:val="auto"/>
              </w:rPr>
            </w:pPr>
            <w:r>
              <w:rPr>
                <w:rFonts w:hint="eastAsia"/>
                <w:color w:val="auto"/>
              </w:rPr>
              <w:t>注：本项目排气筒P1高</w:t>
            </w:r>
            <w:r>
              <w:rPr>
                <w:rFonts w:hint="eastAsia"/>
                <w:color w:val="auto"/>
                <w:lang w:val="en-US" w:eastAsia="zh-CN"/>
              </w:rPr>
              <w:t>20</w:t>
            </w:r>
            <w:r>
              <w:rPr>
                <w:rFonts w:hint="eastAsia"/>
                <w:color w:val="auto"/>
              </w:rPr>
              <w:t>m，</w:t>
            </w:r>
            <w:r>
              <w:rPr>
                <w:rFonts w:hint="eastAsia"/>
                <w:color w:val="auto"/>
                <w:lang w:val="en-US" w:eastAsia="zh-CN"/>
              </w:rPr>
              <w:t>排气筒周围半径</w:t>
            </w:r>
            <w:r>
              <w:rPr>
                <w:rFonts w:hint="eastAsia"/>
                <w:color w:val="auto"/>
              </w:rPr>
              <w:t>200m范围内最高建筑物为</w:t>
            </w:r>
            <w:r>
              <w:rPr>
                <w:rFonts w:hint="eastAsia"/>
                <w:color w:val="auto"/>
                <w:lang w:val="en-US" w:eastAsia="zh-CN"/>
              </w:rPr>
              <w:t>三五互联网科技园1号楼</w:t>
            </w:r>
            <w:r>
              <w:rPr>
                <w:rFonts w:hint="eastAsia"/>
                <w:color w:val="auto"/>
              </w:rPr>
              <w:t>，高度约为</w:t>
            </w:r>
            <w:r>
              <w:rPr>
                <w:rFonts w:hint="eastAsia"/>
                <w:color w:val="auto"/>
                <w:lang w:val="en-US" w:eastAsia="zh-CN"/>
              </w:rPr>
              <w:t>60</w:t>
            </w:r>
            <w:r>
              <w:rPr>
                <w:rFonts w:hint="eastAsia"/>
                <w:color w:val="auto"/>
              </w:rPr>
              <w:t>m，因此不满足高于</w:t>
            </w:r>
            <w:r>
              <w:rPr>
                <w:rFonts w:hint="eastAsia"/>
                <w:color w:val="auto"/>
                <w:lang w:val="en-US" w:eastAsia="zh-CN"/>
              </w:rPr>
              <w:t>周围</w:t>
            </w:r>
            <w:r>
              <w:rPr>
                <w:rFonts w:hint="eastAsia"/>
                <w:color w:val="auto"/>
              </w:rPr>
              <w:t>200m范围内最高建筑物5m以上，根据《大气污染物综合排放标准》（GB16297-1996），氯化氢、</w:t>
            </w:r>
            <w:r>
              <w:rPr>
                <w:rFonts w:hint="eastAsia"/>
                <w:color w:val="auto"/>
                <w:lang w:val="en-US" w:eastAsia="zh-CN"/>
              </w:rPr>
              <w:t>甲醇</w:t>
            </w:r>
            <w:r>
              <w:rPr>
                <w:rFonts w:hint="eastAsia"/>
                <w:color w:val="auto"/>
              </w:rPr>
              <w:t>排放速率严格按50%执行。</w:t>
            </w:r>
          </w:p>
          <w:p>
            <w:pPr>
              <w:pStyle w:val="4"/>
              <w:bidi w:val="0"/>
              <w:rPr>
                <w:color w:val="auto"/>
              </w:rPr>
            </w:pPr>
            <w:r>
              <w:rPr>
                <w:rFonts w:hint="eastAsia"/>
                <w:color w:val="auto"/>
                <w:lang w:val="en-US" w:eastAsia="zh-CN"/>
              </w:rPr>
              <w:t>3.5.2</w:t>
            </w:r>
            <w:r>
              <w:rPr>
                <w:color w:val="auto"/>
              </w:rPr>
              <w:t>水污染物排放标准</w:t>
            </w:r>
          </w:p>
          <w:p>
            <w:pPr>
              <w:wordWrap w:val="0"/>
              <w:adjustRightInd w:val="0"/>
              <w:snapToGrid w:val="0"/>
              <w:ind w:firstLine="480" w:firstLineChars="200"/>
              <w:rPr>
                <w:rFonts w:hint="eastAsia"/>
                <w:color w:val="auto"/>
                <w:lang w:val="en-US" w:eastAsia="zh-CN"/>
              </w:rPr>
            </w:pPr>
            <w:r>
              <w:rPr>
                <w:rFonts w:hint="eastAsia"/>
                <w:color w:val="auto"/>
                <w:lang w:val="en-US" w:eastAsia="zh-CN"/>
              </w:rPr>
              <w:t>本项目动物房清洗废水、手术器具清洁废水、第三次实验清洗废水、实验服清洗废水经过滤、消毒处理，生活污水经化粪池静置沉淀处理，同净水机浓水混合通过厂区总排口排入市政污水管网，最终排入咸阳路污水处理厂处理。</w:t>
            </w:r>
          </w:p>
          <w:p>
            <w:pPr>
              <w:wordWrap w:val="0"/>
              <w:adjustRightInd w:val="0"/>
              <w:snapToGrid w:val="0"/>
              <w:ind w:firstLine="480" w:firstLineChars="200"/>
              <w:rPr>
                <w:rFonts w:hint="eastAsia"/>
                <w:color w:val="auto"/>
              </w:rPr>
            </w:pPr>
            <w:r>
              <w:rPr>
                <w:color w:val="auto"/>
              </w:rPr>
              <w:t>本项目</w:t>
            </w:r>
            <w:r>
              <w:rPr>
                <w:rFonts w:hint="eastAsia"/>
                <w:color w:val="auto"/>
                <w:lang w:eastAsia="zh-CN"/>
              </w:rPr>
              <w:t>涉及动物饲养、动物解剖手术、病理学检验，产生的废水经</w:t>
            </w:r>
            <w:r>
              <w:rPr>
                <w:rFonts w:hint="eastAsia"/>
                <w:color w:val="auto"/>
              </w:rPr>
              <w:t>污水</w:t>
            </w:r>
            <w:r>
              <w:rPr>
                <w:rFonts w:hint="eastAsia"/>
                <w:color w:val="auto"/>
                <w:lang w:eastAsia="zh-CN"/>
              </w:rPr>
              <w:t>处理</w:t>
            </w:r>
            <w:r>
              <w:rPr>
                <w:rFonts w:hint="eastAsia"/>
                <w:color w:val="auto"/>
              </w:rPr>
              <w:t>设备</w:t>
            </w:r>
            <w:r>
              <w:rPr>
                <w:rFonts w:hint="eastAsia"/>
                <w:color w:val="auto"/>
                <w:lang w:eastAsia="zh-CN"/>
              </w:rPr>
              <w:t>过滤、消毒处理，</w:t>
            </w:r>
            <w:r>
              <w:rPr>
                <w:rFonts w:hint="eastAsia"/>
                <w:color w:val="auto"/>
              </w:rPr>
              <w:t>出水</w:t>
            </w:r>
            <w:r>
              <w:rPr>
                <w:rFonts w:hint="eastAsia"/>
                <w:color w:val="auto"/>
                <w:lang w:eastAsia="zh-CN"/>
              </w:rPr>
              <w:t>排放浓度</w:t>
            </w:r>
            <w:r>
              <w:rPr>
                <w:rFonts w:hint="eastAsia"/>
                <w:color w:val="auto"/>
              </w:rPr>
              <w:t>执行</w:t>
            </w:r>
            <w:r>
              <w:rPr>
                <w:color w:val="auto"/>
              </w:rPr>
              <w:t>《医疗机构水污染物排放标准》（GB18466-2005）中</w:t>
            </w:r>
            <w:r>
              <w:rPr>
                <w:rFonts w:hint="eastAsia"/>
                <w:color w:val="auto"/>
              </w:rPr>
              <w:t>表2</w:t>
            </w:r>
            <w:r>
              <w:rPr>
                <w:color w:val="auto"/>
              </w:rPr>
              <w:t>综合医疗机构和其他医疗机构水污染物排放标准限值要求，</w:t>
            </w:r>
            <w:r>
              <w:rPr>
                <w:rFonts w:hint="eastAsia"/>
                <w:color w:val="auto"/>
              </w:rPr>
              <w:t>该标准中未列明氨氮、总氮、总磷三项因子执行《污水综合排放标准》（DB12/356-2018）三级标准。</w:t>
            </w:r>
          </w:p>
          <w:p>
            <w:pPr>
              <w:wordWrap w:val="0"/>
              <w:adjustRightInd w:val="0"/>
              <w:snapToGrid w:val="0"/>
              <w:ind w:firstLine="480" w:firstLineChars="200"/>
              <w:rPr>
                <w:color w:val="auto"/>
              </w:rPr>
            </w:pPr>
            <w:r>
              <w:rPr>
                <w:rFonts w:hint="eastAsia"/>
                <w:color w:val="auto"/>
                <w:lang w:eastAsia="zh-CN"/>
              </w:rPr>
              <w:t>本项目污水总排口主要排放废水为生活污水、净水机浓水、经过滤、消毒处理后的废水，且与厂区其他企业共用，故</w:t>
            </w:r>
            <w:r>
              <w:rPr>
                <w:rFonts w:hint="eastAsia"/>
                <w:color w:val="auto"/>
              </w:rPr>
              <w:t>污水总排口出水</w:t>
            </w:r>
            <w:r>
              <w:rPr>
                <w:rFonts w:hint="eastAsia"/>
                <w:color w:val="auto"/>
                <w:lang w:eastAsia="zh-CN"/>
              </w:rPr>
              <w:t>排放浓度</w:t>
            </w:r>
            <w:r>
              <w:rPr>
                <w:rFonts w:hint="eastAsia"/>
                <w:color w:val="auto"/>
              </w:rPr>
              <w:t>执行</w:t>
            </w:r>
            <w:r>
              <w:rPr>
                <w:color w:val="auto"/>
              </w:rPr>
              <w:t>《污水综合排放标准》（DB12/356-2018）中三级标准要求限值，具体标准限值详见下表。</w:t>
            </w:r>
          </w:p>
          <w:p>
            <w:pPr>
              <w:pStyle w:val="83"/>
              <w:spacing w:before="120"/>
              <w:rPr>
                <w:color w:val="auto"/>
              </w:rPr>
            </w:pPr>
            <w:r>
              <w:rPr>
                <w:color w:val="auto"/>
              </w:rPr>
              <w:t>表</w:t>
            </w:r>
            <w:r>
              <w:rPr>
                <w:rFonts w:hint="eastAsia"/>
                <w:color w:val="auto"/>
              </w:rPr>
              <w:t>3-</w:t>
            </w:r>
            <w:r>
              <w:rPr>
                <w:rFonts w:hint="eastAsia"/>
                <w:color w:val="auto"/>
                <w:lang w:val="en-US" w:eastAsia="zh-CN"/>
              </w:rPr>
              <w:t>5</w:t>
            </w:r>
            <w:r>
              <w:rPr>
                <w:rFonts w:hint="eastAsia"/>
                <w:color w:val="auto"/>
              </w:rPr>
              <w:t xml:space="preserve">  废</w:t>
            </w:r>
            <w:r>
              <w:rPr>
                <w:color w:val="auto"/>
              </w:rPr>
              <w:t>水污染物预处理及排放标准（单位：mg/L，pH除外）</w:t>
            </w:r>
          </w:p>
          <w:tbl>
            <w:tblPr>
              <w:tblStyle w:val="30"/>
              <w:tblW w:w="49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7"/>
              <w:gridCol w:w="3070"/>
              <w:gridCol w:w="29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b/>
                      <w:bCs/>
                      <w:color w:val="auto"/>
                      <w:sz w:val="21"/>
                      <w:szCs w:val="21"/>
                      <w:lang w:val="zh-TW" w:eastAsia="zh-TW"/>
                    </w:rPr>
                  </w:pPr>
                  <w:r>
                    <w:rPr>
                      <w:rFonts w:hint="eastAsia"/>
                      <w:b/>
                      <w:bCs/>
                      <w:color w:val="auto"/>
                      <w:sz w:val="21"/>
                      <w:szCs w:val="21"/>
                    </w:rPr>
                    <w:t>污染物名称</w:t>
                  </w:r>
                </w:p>
              </w:tc>
              <w:tc>
                <w:tcPr>
                  <w:tcW w:w="3070" w:type="dxa"/>
                  <w:tcBorders>
                    <w:tl2br w:val="nil"/>
                    <w:tr2bl w:val="nil"/>
                  </w:tcBorders>
                  <w:vAlign w:val="center"/>
                </w:tcPr>
                <w:p>
                  <w:pPr>
                    <w:spacing w:before="24" w:beforeLines="10" w:after="24" w:afterLines="10" w:line="240" w:lineRule="auto"/>
                    <w:jc w:val="center"/>
                    <w:rPr>
                      <w:b/>
                      <w:bCs/>
                      <w:color w:val="auto"/>
                      <w:sz w:val="21"/>
                      <w:szCs w:val="21"/>
                      <w:lang w:val="zh-TW" w:eastAsia="zh-TW"/>
                    </w:rPr>
                  </w:pPr>
                  <w:r>
                    <w:rPr>
                      <w:rFonts w:hint="eastAsia"/>
                      <w:b/>
                      <w:bCs/>
                      <w:color w:val="auto"/>
                      <w:sz w:val="21"/>
                      <w:szCs w:val="21"/>
                    </w:rPr>
                    <w:t>《医疗机构水污染物排放标准》(GB18466-2005)标准值</w:t>
                  </w:r>
                </w:p>
              </w:tc>
              <w:tc>
                <w:tcPr>
                  <w:tcW w:w="2949" w:type="dxa"/>
                  <w:tcBorders>
                    <w:tl2br w:val="nil"/>
                    <w:tr2bl w:val="nil"/>
                  </w:tcBorders>
                  <w:vAlign w:val="center"/>
                </w:tcPr>
                <w:p>
                  <w:pPr>
                    <w:spacing w:before="24" w:beforeLines="10" w:after="24" w:afterLines="10" w:line="240" w:lineRule="auto"/>
                    <w:jc w:val="center"/>
                    <w:rPr>
                      <w:b/>
                      <w:bCs/>
                      <w:color w:val="auto"/>
                      <w:sz w:val="21"/>
                      <w:szCs w:val="21"/>
                      <w:lang w:val="zh-TW" w:eastAsia="zh-TW"/>
                    </w:rPr>
                  </w:pPr>
                  <w:r>
                    <w:rPr>
                      <w:rFonts w:hint="eastAsia"/>
                      <w:b/>
                      <w:bCs/>
                      <w:color w:val="auto"/>
                      <w:sz w:val="21"/>
                      <w:szCs w:val="21"/>
                    </w:rPr>
                    <w:t>《污水综合排放标准》(DB12/356-2018)标准值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lang w:eastAsia="en-US"/>
                    </w:rPr>
                    <w:t>pH</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6-9(无量纲)</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6~9（无量纲）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vertAlign w:val="subscript"/>
                    </w:rPr>
                  </w:pPr>
                  <w:r>
                    <w:rPr>
                      <w:rFonts w:hint="eastAsia"/>
                      <w:color w:val="auto"/>
                      <w:sz w:val="21"/>
                      <w:szCs w:val="21"/>
                      <w:lang w:eastAsia="en-US"/>
                    </w:rPr>
                    <w:t>COD</w:t>
                  </w:r>
                  <w:r>
                    <w:rPr>
                      <w:rFonts w:hint="eastAsia"/>
                      <w:color w:val="auto"/>
                      <w:sz w:val="21"/>
                      <w:szCs w:val="21"/>
                      <w:vertAlign w:val="subscript"/>
                    </w:rPr>
                    <w:t>cr</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250</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vertAlign w:val="subscript"/>
                    </w:rPr>
                  </w:pPr>
                  <w:r>
                    <w:rPr>
                      <w:rFonts w:hint="eastAsia"/>
                      <w:color w:val="auto"/>
                      <w:sz w:val="21"/>
                      <w:szCs w:val="21"/>
                      <w:lang w:eastAsia="en-US"/>
                    </w:rPr>
                    <w:t>BOD</w:t>
                  </w:r>
                  <w:r>
                    <w:rPr>
                      <w:rFonts w:hint="eastAsia"/>
                      <w:color w:val="auto"/>
                      <w:sz w:val="21"/>
                      <w:szCs w:val="21"/>
                      <w:vertAlign w:val="subscript"/>
                    </w:rPr>
                    <w:t>5</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100</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lang w:eastAsia="en-US"/>
                    </w:rPr>
                    <w:t>SS</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60</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400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粪大肠菌群数</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5000</w:t>
                  </w:r>
                  <w:r>
                    <w:rPr>
                      <w:rFonts w:hint="eastAsia"/>
                      <w:color w:val="auto"/>
                      <w:sz w:val="21"/>
                      <w:szCs w:val="21"/>
                      <w:lang w:eastAsia="en-US"/>
                    </w:rPr>
                    <w:t>（MPN/L）</w:t>
                  </w:r>
                </w:p>
              </w:tc>
              <w:tc>
                <w:tcPr>
                  <w:tcW w:w="2949" w:type="dxa"/>
                  <w:tcBorders>
                    <w:tl2br w:val="nil"/>
                    <w:tr2bl w:val="nil"/>
                  </w:tcBorders>
                  <w:vAlign w:val="center"/>
                </w:tcPr>
                <w:p>
                  <w:pPr>
                    <w:spacing w:before="24" w:beforeLines="10" w:after="24" w:afterLines="10" w:line="240" w:lineRule="auto"/>
                    <w:jc w:val="center"/>
                    <w:rPr>
                      <w:color w:val="auto"/>
                      <w:sz w:val="21"/>
                      <w:szCs w:val="21"/>
                    </w:rPr>
                  </w:pPr>
                  <w:r>
                    <w:rPr>
                      <w:color w:val="auto"/>
                      <w:kern w:val="0"/>
                      <w:sz w:val="21"/>
                      <w:szCs w:val="21"/>
                    </w:rPr>
                    <w:t>10000（</w:t>
                  </w:r>
                  <w:r>
                    <w:rPr>
                      <w:rFonts w:hint="eastAsia"/>
                      <w:color w:val="auto"/>
                      <w:kern w:val="0"/>
                      <w:sz w:val="21"/>
                      <w:szCs w:val="21"/>
                      <w:lang w:val="en-US" w:eastAsia="zh-CN"/>
                    </w:rPr>
                    <w:t>个</w:t>
                  </w:r>
                  <w:r>
                    <w:rPr>
                      <w:color w:val="auto"/>
                      <w:kern w:val="0"/>
                      <w:sz w:val="21"/>
                      <w:szCs w:val="21"/>
                    </w:rPr>
                    <w:t>/L）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总余氯</w:t>
                  </w:r>
                </w:p>
              </w:tc>
              <w:tc>
                <w:tcPr>
                  <w:tcW w:w="3070"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lang w:eastAsia="en-US"/>
                    </w:rPr>
                    <w:t>2-8</w:t>
                  </w:r>
                </w:p>
              </w:tc>
              <w:tc>
                <w:tcPr>
                  <w:tcW w:w="2949" w:type="dxa"/>
                  <w:tcBorders>
                    <w:tl2br w:val="nil"/>
                    <w:tr2bl w:val="nil"/>
                  </w:tcBorders>
                  <w:vAlign w:val="center"/>
                </w:tcPr>
                <w:p>
                  <w:pPr>
                    <w:spacing w:before="24" w:beforeLines="10" w:after="24" w:afterLines="10" w:line="240" w:lineRule="auto"/>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rPr>
                  </w:pPr>
                  <w:r>
                    <w:rPr>
                      <w:rFonts w:hint="eastAsia"/>
                      <w:color w:val="auto"/>
                      <w:sz w:val="21"/>
                      <w:szCs w:val="21"/>
                    </w:rPr>
                    <w:t>LAS</w:t>
                  </w:r>
                </w:p>
              </w:tc>
              <w:tc>
                <w:tcPr>
                  <w:tcW w:w="3070" w:type="dxa"/>
                  <w:tcBorders>
                    <w:tl2br w:val="nil"/>
                    <w:tr2bl w:val="nil"/>
                  </w:tcBorders>
                  <w:vAlign w:val="center"/>
                </w:tcPr>
                <w:p>
                  <w:pPr>
                    <w:spacing w:before="24" w:beforeLines="10" w:after="24" w:afterLines="10" w:line="240" w:lineRule="auto"/>
                    <w:jc w:val="center"/>
                    <w:rPr>
                      <w:color w:val="auto"/>
                      <w:sz w:val="21"/>
                      <w:szCs w:val="21"/>
                    </w:rPr>
                  </w:pPr>
                  <w:r>
                    <w:rPr>
                      <w:rFonts w:hint="eastAsia"/>
                      <w:color w:val="auto"/>
                      <w:sz w:val="21"/>
                      <w:szCs w:val="21"/>
                    </w:rPr>
                    <w:t>10</w:t>
                  </w:r>
                </w:p>
              </w:tc>
              <w:tc>
                <w:tcPr>
                  <w:tcW w:w="2949" w:type="dxa"/>
                  <w:tcBorders>
                    <w:tl2br w:val="nil"/>
                    <w:tr2bl w:val="nil"/>
                  </w:tcBorders>
                  <w:vAlign w:val="center"/>
                </w:tcPr>
                <w:p>
                  <w:pPr>
                    <w:spacing w:before="24" w:beforeLines="10" w:after="24" w:afterLines="10" w:line="240" w:lineRule="auto"/>
                    <w:jc w:val="center"/>
                    <w:rPr>
                      <w:color w:val="auto"/>
                      <w:sz w:val="21"/>
                      <w:szCs w:val="21"/>
                    </w:rPr>
                  </w:pPr>
                  <w:r>
                    <w:rPr>
                      <w:rFonts w:hint="eastAsia"/>
                      <w:color w:val="auto"/>
                      <w:kern w:val="0"/>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氨氮</w:t>
                  </w:r>
                </w:p>
              </w:tc>
              <w:tc>
                <w:tcPr>
                  <w:tcW w:w="3070" w:type="dxa"/>
                  <w:tcBorders>
                    <w:tl2br w:val="nil"/>
                    <w:tr2bl w:val="nil"/>
                  </w:tcBorders>
                  <w:vAlign w:val="center"/>
                </w:tcPr>
                <w:p>
                  <w:pPr>
                    <w:spacing w:before="24" w:beforeLines="10" w:after="24" w:afterLines="10" w:line="240" w:lineRule="auto"/>
                    <w:ind w:firstLine="0" w:firstLineChars="0"/>
                    <w:jc w:val="center"/>
                    <w:rPr>
                      <w:color w:val="auto"/>
                      <w:sz w:val="21"/>
                      <w:szCs w:val="21"/>
                      <w:lang w:val="zh-TW" w:eastAsia="zh-TW"/>
                    </w:rPr>
                  </w:pPr>
                  <w:r>
                    <w:rPr>
                      <w:rFonts w:hint="eastAsia"/>
                      <w:color w:val="auto"/>
                      <w:sz w:val="21"/>
                      <w:szCs w:val="21"/>
                      <w:lang w:val="en-US" w:eastAsia="zh-CN"/>
                    </w:rPr>
                    <w:t>/</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zh-TW" w:eastAsia="zh-TW" w:bidi="ar-SA"/>
                    </w:rPr>
                  </w:pPr>
                  <w:r>
                    <w:rPr>
                      <w:color w:val="auto"/>
                      <w:kern w:val="0"/>
                      <w:sz w:val="21"/>
                      <w:szCs w:val="21"/>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总氮</w:t>
                  </w:r>
                </w:p>
              </w:tc>
              <w:tc>
                <w:tcPr>
                  <w:tcW w:w="3070" w:type="dxa"/>
                  <w:tcBorders>
                    <w:tl2br w:val="nil"/>
                    <w:tr2bl w:val="nil"/>
                  </w:tcBorders>
                  <w:vAlign w:val="center"/>
                </w:tcPr>
                <w:p>
                  <w:pPr>
                    <w:spacing w:before="24" w:beforeLines="10" w:after="24" w:afterLines="10" w:line="240" w:lineRule="auto"/>
                    <w:ind w:firstLine="0" w:firstLineChars="0"/>
                    <w:jc w:val="center"/>
                    <w:rPr>
                      <w:color w:val="auto"/>
                      <w:sz w:val="21"/>
                      <w:szCs w:val="21"/>
                      <w:lang w:val="zh-TW" w:eastAsia="zh-TW"/>
                    </w:rPr>
                  </w:pPr>
                  <w:r>
                    <w:rPr>
                      <w:rFonts w:hint="eastAsia"/>
                      <w:color w:val="auto"/>
                      <w:sz w:val="21"/>
                      <w:szCs w:val="21"/>
                      <w:lang w:val="en-US" w:eastAsia="zh-CN"/>
                    </w:rPr>
                    <w:t>/</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7" w:type="dxa"/>
                  <w:tcBorders>
                    <w:tl2br w:val="nil"/>
                    <w:tr2bl w:val="nil"/>
                  </w:tcBorders>
                  <w:vAlign w:val="center"/>
                </w:tcPr>
                <w:p>
                  <w:pPr>
                    <w:spacing w:before="24" w:beforeLines="10" w:after="24" w:afterLines="10" w:line="240" w:lineRule="auto"/>
                    <w:jc w:val="center"/>
                    <w:rPr>
                      <w:color w:val="auto"/>
                      <w:sz w:val="21"/>
                      <w:szCs w:val="21"/>
                      <w:lang w:val="zh-TW" w:eastAsia="zh-TW"/>
                    </w:rPr>
                  </w:pPr>
                  <w:r>
                    <w:rPr>
                      <w:rFonts w:hint="eastAsia"/>
                      <w:color w:val="auto"/>
                      <w:sz w:val="21"/>
                      <w:szCs w:val="21"/>
                    </w:rPr>
                    <w:t>总磷</w:t>
                  </w:r>
                </w:p>
              </w:tc>
              <w:tc>
                <w:tcPr>
                  <w:tcW w:w="3070" w:type="dxa"/>
                  <w:tcBorders>
                    <w:tl2br w:val="nil"/>
                    <w:tr2bl w:val="nil"/>
                  </w:tcBorders>
                  <w:vAlign w:val="center"/>
                </w:tcPr>
                <w:p>
                  <w:pPr>
                    <w:spacing w:before="24" w:beforeLines="10" w:after="24" w:afterLines="10" w:line="240" w:lineRule="auto"/>
                    <w:ind w:firstLine="0" w:firstLineChars="0"/>
                    <w:jc w:val="center"/>
                    <w:rPr>
                      <w:color w:val="auto"/>
                      <w:sz w:val="21"/>
                      <w:szCs w:val="21"/>
                      <w:lang w:val="zh-TW" w:eastAsia="zh-TW"/>
                    </w:rPr>
                  </w:pPr>
                  <w:r>
                    <w:rPr>
                      <w:rFonts w:hint="eastAsia"/>
                      <w:color w:val="auto"/>
                      <w:sz w:val="21"/>
                      <w:szCs w:val="21"/>
                      <w:lang w:val="en-US" w:eastAsia="zh-CN"/>
                    </w:rPr>
                    <w:t>/</w:t>
                  </w:r>
                </w:p>
              </w:tc>
              <w:tc>
                <w:tcPr>
                  <w:tcW w:w="2949" w:type="dxa"/>
                  <w:tcBorders>
                    <w:tl2br w:val="nil"/>
                    <w:tr2bl w:val="nil"/>
                  </w:tcBorders>
                  <w:vAlign w:val="center"/>
                </w:tcPr>
                <w:p>
                  <w:pPr>
                    <w:wordWrap w:val="0"/>
                    <w:spacing w:before="24" w:beforeLines="10" w:after="24" w:afterLines="10" w:line="240" w:lineRule="auto"/>
                    <w:ind w:firstLine="0" w:firstLineChars="0"/>
                    <w:jc w:val="center"/>
                    <w:rPr>
                      <w:rFonts w:ascii="Times New Roman" w:hAnsi="Times New Roman" w:eastAsia="宋体" w:cs="Times New Roman"/>
                      <w:color w:val="auto"/>
                      <w:kern w:val="0"/>
                      <w:sz w:val="21"/>
                      <w:szCs w:val="21"/>
                      <w:lang w:val="en-US" w:eastAsia="zh-CN" w:bidi="ar-SA"/>
                    </w:rPr>
                  </w:pPr>
                  <w:r>
                    <w:rPr>
                      <w:color w:val="auto"/>
                      <w:kern w:val="0"/>
                      <w:sz w:val="21"/>
                      <w:szCs w:val="21"/>
                    </w:rPr>
                    <w:t>8</w:t>
                  </w:r>
                </w:p>
              </w:tc>
            </w:tr>
          </w:tbl>
          <w:p>
            <w:pPr>
              <w:pStyle w:val="4"/>
              <w:bidi w:val="0"/>
              <w:rPr>
                <w:rFonts w:hint="default"/>
                <w:color w:val="auto"/>
                <w:lang w:val="en-US" w:eastAsia="zh-CN"/>
              </w:rPr>
            </w:pPr>
            <w:r>
              <w:rPr>
                <w:rFonts w:hint="eastAsia"/>
                <w:color w:val="auto"/>
                <w:lang w:val="en-US" w:eastAsia="zh-CN"/>
              </w:rPr>
              <w:t>3.5.3</w:t>
            </w:r>
            <w:r>
              <w:rPr>
                <w:color w:val="auto"/>
              </w:rPr>
              <w:t>噪声</w:t>
            </w:r>
            <w:r>
              <w:rPr>
                <w:rFonts w:hint="eastAsia"/>
                <w:color w:val="auto"/>
                <w:lang w:val="en-US" w:eastAsia="zh-CN"/>
              </w:rPr>
              <w:t>排放标准</w:t>
            </w:r>
          </w:p>
          <w:p>
            <w:pPr>
              <w:spacing w:line="360" w:lineRule="auto"/>
              <w:ind w:firstLine="480" w:firstLineChars="200"/>
              <w:rPr>
                <w:rFonts w:hint="eastAsia"/>
                <w:color w:val="auto"/>
                <w:lang w:eastAsia="zh-CN"/>
              </w:rPr>
            </w:pPr>
            <w:r>
              <w:rPr>
                <w:rFonts w:hint="eastAsia"/>
                <w:color w:val="auto"/>
                <w:lang w:val="en-US" w:eastAsia="zh-CN"/>
              </w:rPr>
              <w:t>根据</w:t>
            </w:r>
            <w:r>
              <w:rPr>
                <w:rFonts w:hint="eastAsia"/>
                <w:color w:val="auto"/>
                <w:lang w:eastAsia="zh-CN"/>
              </w:rPr>
              <w:t>《</w:t>
            </w:r>
            <w:r>
              <w:rPr>
                <w:rFonts w:hint="eastAsia"/>
                <w:color w:val="auto"/>
              </w:rPr>
              <w:t>市生态环境局关于印发</w:t>
            </w:r>
            <w:r>
              <w:rPr>
                <w:rFonts w:hint="eastAsia"/>
                <w:color w:val="auto"/>
                <w:lang w:val="en-US" w:eastAsia="zh-CN"/>
              </w:rPr>
              <w:t>&lt;</w:t>
            </w:r>
            <w:r>
              <w:rPr>
                <w:rFonts w:hint="eastAsia"/>
                <w:color w:val="auto"/>
              </w:rPr>
              <w:t>天津市声环境功能区划（2022年修订版）</w:t>
            </w:r>
            <w:r>
              <w:rPr>
                <w:rFonts w:hint="eastAsia"/>
                <w:color w:val="auto"/>
                <w:lang w:val="en-US" w:eastAsia="zh-CN"/>
              </w:rPr>
              <w:t>&gt;</w:t>
            </w:r>
            <w:r>
              <w:rPr>
                <w:rFonts w:hint="eastAsia"/>
                <w:color w:val="auto"/>
              </w:rPr>
              <w:t>的通知</w:t>
            </w:r>
            <w:r>
              <w:rPr>
                <w:rFonts w:hint="eastAsia"/>
                <w:color w:val="auto"/>
                <w:lang w:eastAsia="zh-CN"/>
              </w:rPr>
              <w:t>》</w:t>
            </w:r>
            <w:r>
              <w:rPr>
                <w:rFonts w:hint="eastAsia"/>
                <w:color w:val="auto"/>
              </w:rPr>
              <w:t>（津环气候[2022]9</w:t>
            </w:r>
            <w:r>
              <w:rPr>
                <w:rFonts w:hint="eastAsia"/>
                <w:color w:val="auto"/>
                <w:lang w:val="en-US" w:eastAsia="zh-CN"/>
              </w:rPr>
              <w:t>3</w:t>
            </w:r>
            <w:r>
              <w:rPr>
                <w:rFonts w:hint="eastAsia"/>
                <w:color w:val="auto"/>
              </w:rPr>
              <w:t>号）</w:t>
            </w:r>
            <w:r>
              <w:rPr>
                <w:rFonts w:hint="eastAsia"/>
                <w:color w:val="auto"/>
                <w:lang w:val="en-US" w:eastAsia="zh-CN"/>
              </w:rPr>
              <w:t>，本项目所在</w:t>
            </w:r>
            <w:r>
              <w:rPr>
                <w:rFonts w:hint="eastAsia" w:ascii="Times New Roman" w:hAnsi="Times New Roman" w:eastAsia="宋体"/>
                <w:color w:val="auto"/>
                <w:kern w:val="2"/>
                <w:szCs w:val="21"/>
                <w:lang w:val="en-US" w:eastAsia="zh-CN" w:bidi="ar-SA"/>
              </w:rPr>
              <w:t>天津华苑产业</w:t>
            </w:r>
            <w:r>
              <w:rPr>
                <w:rFonts w:hint="eastAsia"/>
                <w:color w:val="auto"/>
                <w:kern w:val="2"/>
                <w:szCs w:val="21"/>
                <w:lang w:val="en-US" w:eastAsia="zh-CN" w:bidi="ar-SA"/>
              </w:rPr>
              <w:t>区</w:t>
            </w:r>
            <w:r>
              <w:rPr>
                <w:rFonts w:hint="eastAsia" w:ascii="Times New Roman" w:hAnsi="Times New Roman" w:eastAsia="宋体"/>
                <w:color w:val="auto"/>
                <w:kern w:val="2"/>
                <w:szCs w:val="21"/>
                <w:lang w:val="en-US" w:eastAsia="zh-CN" w:bidi="ar-SA"/>
              </w:rPr>
              <w:t>（环外）</w:t>
            </w:r>
            <w:r>
              <w:rPr>
                <w:rFonts w:hint="eastAsia"/>
                <w:color w:val="auto"/>
                <w:lang w:val="en-US" w:eastAsia="zh-CN"/>
              </w:rPr>
              <w:t>属于3类功能区，</w:t>
            </w:r>
            <w:r>
              <w:rPr>
                <w:color w:val="auto"/>
              </w:rPr>
              <w:t>运营期</w:t>
            </w:r>
            <w:r>
              <w:rPr>
                <w:rFonts w:hint="eastAsia"/>
                <w:color w:val="auto"/>
              </w:rPr>
              <w:t>东侧</w:t>
            </w:r>
            <w:r>
              <w:rPr>
                <w:color w:val="auto"/>
              </w:rPr>
              <w:t>厂界噪声排放执行《工业企业厂界环境噪声排放标准》</w:t>
            </w:r>
            <w:r>
              <w:rPr>
                <w:rFonts w:hint="eastAsia"/>
                <w:color w:val="auto"/>
              </w:rPr>
              <w:t>（</w:t>
            </w:r>
            <w:r>
              <w:rPr>
                <w:color w:val="auto"/>
              </w:rPr>
              <w:t>GB12348-2008</w:t>
            </w:r>
            <w:r>
              <w:rPr>
                <w:rFonts w:hint="eastAsia"/>
                <w:color w:val="auto"/>
              </w:rPr>
              <w:t>）</w:t>
            </w:r>
            <w:r>
              <w:rPr>
                <w:rFonts w:hint="eastAsia"/>
                <w:color w:val="auto"/>
                <w:lang w:val="en-US" w:eastAsia="zh-CN"/>
              </w:rPr>
              <w:t>3类区</w:t>
            </w:r>
            <w:r>
              <w:rPr>
                <w:color w:val="auto"/>
              </w:rPr>
              <w:t>标准</w:t>
            </w:r>
            <w:r>
              <w:rPr>
                <w:rFonts w:hint="eastAsia"/>
                <w:color w:val="auto"/>
                <w:lang w:eastAsia="zh-CN"/>
              </w:rPr>
              <w:t>。</w:t>
            </w:r>
            <w:r>
              <w:rPr>
                <w:rFonts w:hint="eastAsia"/>
                <w:color w:val="auto"/>
                <w:lang w:val="en-US" w:eastAsia="zh-CN"/>
              </w:rPr>
              <w:t>执行</w:t>
            </w:r>
            <w:r>
              <w:rPr>
                <w:color w:val="auto"/>
              </w:rPr>
              <w:t>具体标准值见下表</w:t>
            </w:r>
            <w:r>
              <w:rPr>
                <w:rFonts w:hint="eastAsia"/>
                <w:color w:val="auto"/>
                <w:lang w:eastAsia="zh-CN"/>
              </w:rPr>
              <w:t>。</w:t>
            </w:r>
          </w:p>
          <w:p>
            <w:pPr>
              <w:pStyle w:val="83"/>
              <w:bidi w:val="0"/>
              <w:rPr>
                <w:color w:val="auto"/>
              </w:rPr>
            </w:pPr>
            <w:r>
              <w:rPr>
                <w:color w:val="auto"/>
              </w:rPr>
              <w:t>表</w:t>
            </w:r>
            <w:r>
              <w:rPr>
                <w:rFonts w:hint="eastAsia"/>
                <w:color w:val="auto"/>
                <w:lang w:val="en-US" w:eastAsia="zh-CN"/>
              </w:rPr>
              <w:t xml:space="preserve">3-7  </w:t>
            </w:r>
            <w:r>
              <w:rPr>
                <w:color w:val="auto"/>
              </w:rPr>
              <w:t xml:space="preserve"> 噪声排放标准</w:t>
            </w:r>
          </w:p>
          <w:tbl>
            <w:tblPr>
              <w:tblStyle w:val="29"/>
              <w:tblW w:w="84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7"/>
              <w:gridCol w:w="2323"/>
              <w:gridCol w:w="2008"/>
              <w:gridCol w:w="23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标准类别</w:t>
                  </w:r>
                </w:p>
              </w:tc>
              <w:tc>
                <w:tcPr>
                  <w:tcW w:w="433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噪声限值</w:t>
                  </w:r>
                </w:p>
              </w:tc>
              <w:tc>
                <w:tcPr>
                  <w:tcW w:w="2324"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b/>
                      <w:bCs/>
                      <w:color w:val="auto"/>
                      <w:sz w:val="21"/>
                      <w:szCs w:val="21"/>
                      <w:lang w:val="en-US" w:eastAsia="zh-CN"/>
                    </w:rPr>
                    <w:t>适用区域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p>
              </w:tc>
              <w:tc>
                <w:tcPr>
                  <w:tcW w:w="2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val="en-US" w:eastAsia="zh-CN"/>
                    </w:rPr>
                  </w:pPr>
                  <w:r>
                    <w:rPr>
                      <w:b/>
                      <w:bCs/>
                      <w:color w:val="auto"/>
                      <w:sz w:val="21"/>
                      <w:szCs w:val="21"/>
                    </w:rPr>
                    <w:t>昼间</w:t>
                  </w:r>
                </w:p>
              </w:tc>
              <w:tc>
                <w:tcPr>
                  <w:tcW w:w="20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lang w:val="en-US" w:eastAsia="zh-CN"/>
                    </w:rPr>
                  </w:pPr>
                  <w:r>
                    <w:rPr>
                      <w:b/>
                      <w:bCs/>
                      <w:color w:val="auto"/>
                      <w:sz w:val="21"/>
                      <w:szCs w:val="21"/>
                    </w:rPr>
                    <w:t>夜间</w:t>
                  </w:r>
                </w:p>
              </w:tc>
              <w:tc>
                <w:tcPr>
                  <w:tcW w:w="2324"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81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lang w:val="en-US" w:eastAsia="zh-CN"/>
                    </w:rPr>
                    <w:t>3</w:t>
                  </w:r>
                  <w:r>
                    <w:rPr>
                      <w:color w:val="auto"/>
                      <w:sz w:val="21"/>
                      <w:szCs w:val="21"/>
                    </w:rPr>
                    <w:t>类</w:t>
                  </w:r>
                </w:p>
              </w:tc>
              <w:tc>
                <w:tcPr>
                  <w:tcW w:w="23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6</w:t>
                  </w:r>
                  <w:r>
                    <w:rPr>
                      <w:rFonts w:hint="eastAsia"/>
                      <w:color w:val="auto"/>
                      <w:sz w:val="21"/>
                      <w:szCs w:val="21"/>
                      <w:lang w:val="en-US" w:eastAsia="zh-CN"/>
                    </w:rPr>
                    <w:t>5</w:t>
                  </w:r>
                  <w:r>
                    <w:rPr>
                      <w:color w:val="auto"/>
                      <w:sz w:val="21"/>
                      <w:szCs w:val="21"/>
                    </w:rPr>
                    <w:t>dB(A)</w:t>
                  </w:r>
                </w:p>
              </w:tc>
              <w:tc>
                <w:tcPr>
                  <w:tcW w:w="200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5</w:t>
                  </w:r>
                  <w:r>
                    <w:rPr>
                      <w:rFonts w:hint="eastAsia"/>
                      <w:color w:val="auto"/>
                      <w:sz w:val="21"/>
                      <w:szCs w:val="21"/>
                      <w:lang w:val="en-US" w:eastAsia="zh-CN"/>
                    </w:rPr>
                    <w:t>5</w:t>
                  </w:r>
                  <w:r>
                    <w:rPr>
                      <w:color w:val="auto"/>
                      <w:sz w:val="21"/>
                      <w:szCs w:val="21"/>
                    </w:rPr>
                    <w:t>dB(A)</w:t>
                  </w:r>
                </w:p>
              </w:tc>
              <w:tc>
                <w:tcPr>
                  <w:tcW w:w="23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rFonts w:hint="eastAsia"/>
                      <w:color w:val="auto"/>
                      <w:sz w:val="21"/>
                      <w:szCs w:val="21"/>
                      <w:lang w:val="en-US" w:eastAsia="zh-CN"/>
                    </w:rPr>
                    <w:t>东侧厂界</w:t>
                  </w:r>
                </w:p>
              </w:tc>
            </w:tr>
          </w:tbl>
          <w:p>
            <w:pPr>
              <w:pStyle w:val="4"/>
              <w:bidi w:val="0"/>
              <w:rPr>
                <w:rFonts w:hint="default"/>
                <w:color w:val="auto"/>
                <w:lang w:val="en-US" w:eastAsia="zh-CN"/>
              </w:rPr>
            </w:pPr>
            <w:r>
              <w:rPr>
                <w:rFonts w:hint="eastAsia"/>
                <w:color w:val="auto"/>
                <w:lang w:val="en-US" w:eastAsia="zh-CN"/>
              </w:rPr>
              <w:t>3.5.4</w:t>
            </w:r>
            <w:r>
              <w:rPr>
                <w:color w:val="auto"/>
              </w:rPr>
              <w:t>固体废物</w:t>
            </w:r>
            <w:r>
              <w:rPr>
                <w:rFonts w:hint="eastAsia"/>
                <w:color w:val="auto"/>
                <w:lang w:val="en-US" w:eastAsia="zh-CN"/>
              </w:rPr>
              <w:t>相关标准</w:t>
            </w:r>
          </w:p>
          <w:p>
            <w:pPr>
              <w:widowControl/>
              <w:adjustRightInd w:val="0"/>
              <w:snapToGrid w:val="0"/>
              <w:spacing w:line="360" w:lineRule="auto"/>
              <w:ind w:firstLine="480" w:firstLineChars="200"/>
              <w:jc w:val="left"/>
              <w:rPr>
                <w:color w:val="auto"/>
              </w:rPr>
            </w:pPr>
            <w:r>
              <w:rPr>
                <w:color w:val="auto"/>
              </w:rPr>
              <w:t>本项目产生的生活垃圾执行</w:t>
            </w:r>
            <w:r>
              <w:rPr>
                <w:rFonts w:hint="eastAsia"/>
                <w:color w:val="auto"/>
                <w:lang w:eastAsia="zh-CN"/>
              </w:rPr>
              <w:t>《</w:t>
            </w:r>
            <w:r>
              <w:rPr>
                <w:color w:val="auto"/>
                <w:lang w:val="zh-CN"/>
              </w:rPr>
              <w:t>天津市生活垃圾管理条例》（2020年12月1日起施行）</w:t>
            </w:r>
            <w:r>
              <w:rPr>
                <w:color w:val="auto"/>
              </w:rPr>
              <w:t>相关要求。</w:t>
            </w:r>
          </w:p>
          <w:p>
            <w:pPr>
              <w:widowControl/>
              <w:adjustRightInd w:val="0"/>
              <w:snapToGrid w:val="0"/>
              <w:spacing w:line="360" w:lineRule="auto"/>
              <w:ind w:firstLine="480" w:firstLineChars="200"/>
              <w:jc w:val="both"/>
              <w:rPr>
                <w:rFonts w:hint="eastAsia" w:eastAsia="宋体"/>
                <w:color w:val="auto"/>
                <w:lang w:val="en-US" w:eastAsia="zh-CN"/>
              </w:rPr>
            </w:pPr>
            <w:r>
              <w:rPr>
                <w:rFonts w:hint="eastAsia"/>
                <w:color w:val="auto"/>
                <w:lang w:val="en-US" w:eastAsia="zh-CN"/>
              </w:rPr>
              <w:t>一般工业固体废物贮存场所按照《一般工业固体废物贮存和填埋污染控制标准》（GB18599-2020）</w:t>
            </w:r>
            <w:r>
              <w:rPr>
                <w:color w:val="auto"/>
              </w:rPr>
              <w:t>；危险废物执行《危险废物收集 贮存 运输技术规范》（HJ2025-2012）、《危险废物贮存污染控制标准》（GB18597-2001）及2013年修改单</w:t>
            </w:r>
            <w:r>
              <w:rPr>
                <w:rFonts w:hint="eastAsia"/>
                <w:color w:val="auto"/>
                <w:lang w:eastAsia="zh-CN"/>
              </w:rPr>
              <w:t>。医疗废物执行《医疗废物集中处置技术规范（试行）》（环发[2003]206号）、《医疗废物管理条例》（中华人民共和国国务院令2003年第380号）等相关要求。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3"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总量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控制</w:t>
            </w:r>
          </w:p>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Times New Roman" w:hAnsi="Times New Roman" w:eastAsia="宋体" w:cs="宋体"/>
                <w:color w:val="auto"/>
                <w:kern w:val="0"/>
                <w:szCs w:val="21"/>
              </w:rPr>
            </w:pPr>
            <w:r>
              <w:rPr>
                <w:rFonts w:hint="eastAsia" w:ascii="Times New Roman" w:hAnsi="Times New Roman" w:eastAsia="宋体" w:cs="宋体"/>
                <w:color w:val="auto"/>
                <w:kern w:val="0"/>
                <w:szCs w:val="21"/>
              </w:rPr>
              <w:t>指标</w:t>
            </w:r>
          </w:p>
        </w:tc>
        <w:tc>
          <w:tcPr>
            <w:tcW w:w="8698" w:type="dxa"/>
            <w:noWrap w:val="0"/>
            <w:vAlign w:val="top"/>
          </w:tcPr>
          <w:p>
            <w:pPr>
              <w:ind w:firstLine="480" w:firstLineChars="200"/>
              <w:rPr>
                <w:color w:val="auto"/>
              </w:rPr>
            </w:pPr>
            <w:r>
              <w:rPr>
                <w:rFonts w:hint="eastAsia"/>
                <w:color w:val="auto"/>
              </w:rPr>
              <w:t>总量控制是一项控制区域污染，保护环境质量的重要举措，也是实现区域经济可持续发展的主要措施。污染物总量控制指标包括国家规定的指标和本项目的特征污染物，根据国家有关规定并结合工程污染物排放的实际情况，确定本项目涉及的主要为废气中的VOCs（该因子总量以TRVOC排放标准及排放量作为核算依据）；废水中的化学需氧量、氨氮、总磷、总氮。</w:t>
            </w:r>
          </w:p>
          <w:p>
            <w:pPr>
              <w:ind w:firstLine="480" w:firstLineChars="200"/>
              <w:rPr>
                <w:color w:val="auto"/>
              </w:rPr>
            </w:pPr>
            <w:r>
              <w:rPr>
                <w:rFonts w:hint="eastAsia"/>
                <w:color w:val="auto"/>
              </w:rPr>
              <w:t>按照《建设项目主要污染物排放总量指标审核及管理暂行办法》、《市生态环境局关于进一步做好建设项目水主要污染物总量指标减量替代工作的通知》（津环水[2020]115 号）</w:t>
            </w:r>
            <w:r>
              <w:rPr>
                <w:rFonts w:hint="eastAsia"/>
                <w:color w:val="auto"/>
                <w:lang w:eastAsia="zh-CN"/>
              </w:rPr>
              <w:t>、</w:t>
            </w:r>
            <w:r>
              <w:rPr>
                <w:rFonts w:hint="eastAsia"/>
                <w:color w:val="auto"/>
                <w:lang w:eastAsia="zh-CN"/>
              </w:rPr>
              <w:t>《天津市人民政府办公厅关于印发天津市重点污染物排放总量控制管理办法（试行）的通知》（津政办规〔2023〕1号）</w:t>
            </w:r>
            <w:r>
              <w:rPr>
                <w:rFonts w:hint="eastAsia"/>
                <w:color w:val="auto"/>
              </w:rPr>
              <w:t>等要求，应对废水中的COD、氨氮、总磷、总氮和废气中的VOCs排放实行倍量替代。</w:t>
            </w:r>
          </w:p>
          <w:p>
            <w:pPr>
              <w:ind w:firstLine="482" w:firstLineChars="200"/>
              <w:rPr>
                <w:b/>
                <w:bCs/>
                <w:color w:val="auto"/>
              </w:rPr>
            </w:pPr>
            <w:r>
              <w:rPr>
                <w:rFonts w:hint="eastAsia"/>
                <w:b/>
                <w:bCs/>
                <w:color w:val="auto"/>
                <w:lang w:val="en-US" w:eastAsia="zh-CN"/>
              </w:rPr>
              <w:t>3.6</w:t>
            </w:r>
            <w:r>
              <w:rPr>
                <w:b/>
                <w:bCs/>
                <w:color w:val="auto"/>
              </w:rPr>
              <w:t>废水</w:t>
            </w:r>
            <w:r>
              <w:rPr>
                <w:rFonts w:hint="eastAsia"/>
                <w:b/>
                <w:bCs/>
                <w:color w:val="auto"/>
              </w:rPr>
              <w:t>污染物排放</w:t>
            </w:r>
            <w:r>
              <w:rPr>
                <w:b/>
                <w:bCs/>
                <w:color w:val="auto"/>
              </w:rPr>
              <w:t>总量</w:t>
            </w:r>
          </w:p>
          <w:p>
            <w:pPr>
              <w:pStyle w:val="63"/>
              <w:adjustRightInd/>
              <w:spacing w:line="360" w:lineRule="auto"/>
              <w:ind w:firstLine="480" w:firstLineChars="200"/>
              <w:jc w:val="both"/>
              <w:textAlignment w:val="auto"/>
              <w:rPr>
                <w:rFonts w:hint="eastAsia"/>
                <w:color w:val="auto"/>
                <w:kern w:val="0"/>
                <w:lang w:eastAsia="zh-CN"/>
              </w:rPr>
            </w:pPr>
            <w:r>
              <w:rPr>
                <w:rFonts w:hint="eastAsia"/>
                <w:color w:val="auto"/>
                <w:lang w:val="en-US" w:eastAsia="zh-CN"/>
              </w:rPr>
              <w:t>本项目动物房清洗废水、手术器具清洁废水、第三次实验清洗废水、实验服清洗废水经过滤、消毒处理，生活污水经化粪池静置沉淀，同净水机浓水混合通过厂区总排口排入市政污水管网，最终排入咸阳路污水处理厂处理。</w:t>
            </w:r>
            <w:r>
              <w:rPr>
                <w:color w:val="auto"/>
              </w:rPr>
              <w:t>本项目预计排放废水总量为</w:t>
            </w:r>
            <w:r>
              <w:rPr>
                <w:rFonts w:hint="eastAsia"/>
                <w:color w:val="auto"/>
                <w:lang w:val="en-US" w:eastAsia="zh-CN"/>
              </w:rPr>
              <w:t>415.179</w:t>
            </w:r>
            <w:r>
              <w:rPr>
                <w:color w:val="auto"/>
              </w:rPr>
              <w:t>m</w:t>
            </w:r>
            <w:r>
              <w:rPr>
                <w:color w:val="auto"/>
                <w:vertAlign w:val="superscript"/>
              </w:rPr>
              <w:t>3</w:t>
            </w:r>
            <w:r>
              <w:rPr>
                <w:color w:val="auto"/>
              </w:rPr>
              <w:t>/a，</w:t>
            </w:r>
            <w:r>
              <w:rPr>
                <w:rFonts w:hint="eastAsia"/>
                <w:color w:val="auto"/>
              </w:rPr>
              <w:t>废水</w:t>
            </w:r>
            <w:r>
              <w:rPr>
                <w:color w:val="auto"/>
              </w:rPr>
              <w:t>预测排放浓度为</w:t>
            </w:r>
            <w:r>
              <w:rPr>
                <w:color w:val="auto"/>
                <w:kern w:val="0"/>
              </w:rPr>
              <w:t>COD</w:t>
            </w:r>
            <w:r>
              <w:rPr>
                <w:rFonts w:hint="eastAsia"/>
                <w:color w:val="auto"/>
                <w:kern w:val="0"/>
              </w:rPr>
              <w:t>cr</w:t>
            </w:r>
            <w:r>
              <w:rPr>
                <w:color w:val="auto"/>
                <w:kern w:val="0"/>
              </w:rPr>
              <w:t>浓度为</w:t>
            </w:r>
            <w:r>
              <w:rPr>
                <w:rFonts w:hint="eastAsia"/>
                <w:color w:val="auto"/>
                <w:kern w:val="0"/>
                <w:lang w:val="en-US" w:eastAsia="zh-CN"/>
              </w:rPr>
              <w:t>300</w:t>
            </w:r>
            <w:r>
              <w:rPr>
                <w:color w:val="auto"/>
                <w:kern w:val="0"/>
              </w:rPr>
              <w:t>mg/L，氨氮浓度为</w:t>
            </w:r>
            <w:r>
              <w:rPr>
                <w:rFonts w:hint="eastAsia"/>
                <w:color w:val="auto"/>
                <w:kern w:val="0"/>
                <w:lang w:val="en-US" w:eastAsia="zh-CN"/>
              </w:rPr>
              <w:t>30</w:t>
            </w:r>
            <w:r>
              <w:rPr>
                <w:color w:val="auto"/>
                <w:kern w:val="0"/>
              </w:rPr>
              <w:t>mg/L，总磷浓度为</w:t>
            </w:r>
            <w:r>
              <w:rPr>
                <w:rFonts w:hint="eastAsia"/>
                <w:color w:val="auto"/>
                <w:kern w:val="0"/>
                <w:lang w:val="en-US" w:eastAsia="zh-CN"/>
              </w:rPr>
              <w:t>3.28</w:t>
            </w:r>
            <w:r>
              <w:rPr>
                <w:color w:val="auto"/>
                <w:kern w:val="0"/>
              </w:rPr>
              <w:t>mg/L，总氮浓度为</w:t>
            </w:r>
            <w:r>
              <w:rPr>
                <w:rFonts w:hint="eastAsia"/>
                <w:color w:val="auto"/>
                <w:kern w:val="0"/>
                <w:lang w:val="en-US" w:eastAsia="zh-CN"/>
              </w:rPr>
              <w:t>44</w:t>
            </w:r>
            <w:r>
              <w:rPr>
                <w:color w:val="auto"/>
                <w:kern w:val="0"/>
              </w:rPr>
              <w:t>mg/L</w:t>
            </w:r>
            <w:r>
              <w:rPr>
                <w:rFonts w:hint="eastAsia"/>
                <w:color w:val="auto"/>
                <w:kern w:val="0"/>
                <w:lang w:eastAsia="zh-CN"/>
              </w:rPr>
              <w:t>。</w:t>
            </w:r>
          </w:p>
          <w:p>
            <w:pPr>
              <w:pStyle w:val="63"/>
              <w:adjustRightInd/>
              <w:spacing w:line="360" w:lineRule="auto"/>
              <w:ind w:firstLine="480" w:firstLineChars="200"/>
              <w:jc w:val="both"/>
              <w:textAlignment w:val="auto"/>
              <w:rPr>
                <w:color w:val="auto"/>
              </w:rPr>
            </w:pPr>
            <w:r>
              <w:rPr>
                <w:color w:val="auto"/>
                <w:kern w:val="0"/>
              </w:rPr>
              <w:t>项目</w:t>
            </w:r>
            <w:r>
              <w:rPr>
                <w:color w:val="auto"/>
              </w:rPr>
              <w:t>废水排放</w:t>
            </w:r>
            <w:r>
              <w:rPr>
                <w:rFonts w:hint="eastAsia"/>
                <w:color w:val="auto"/>
                <w:lang w:val="en-US" w:eastAsia="zh-CN"/>
              </w:rPr>
              <w:t>执行</w:t>
            </w:r>
            <w:r>
              <w:rPr>
                <w:rFonts w:hint="default"/>
                <w:color w:val="auto"/>
                <w:lang w:val="en-US" w:eastAsia="zh-CN"/>
              </w:rPr>
              <w:t>《</w:t>
            </w:r>
            <w:r>
              <w:rPr>
                <w:rFonts w:hint="eastAsia"/>
                <w:color w:val="auto"/>
                <w:lang w:val="en-US" w:eastAsia="zh-CN"/>
              </w:rPr>
              <w:t>污水综合</w:t>
            </w:r>
            <w:r>
              <w:rPr>
                <w:rFonts w:hint="default"/>
                <w:color w:val="auto"/>
                <w:lang w:val="en-US" w:eastAsia="zh-CN"/>
              </w:rPr>
              <w:t>排放标准》（</w:t>
            </w:r>
            <w:r>
              <w:rPr>
                <w:rFonts w:hint="eastAsia"/>
                <w:color w:val="auto"/>
                <w:lang w:val="en-US" w:eastAsia="zh-CN"/>
              </w:rPr>
              <w:t>DB12/356</w:t>
            </w:r>
            <w:r>
              <w:rPr>
                <w:rFonts w:hint="default"/>
                <w:color w:val="auto"/>
                <w:lang w:val="en-US" w:eastAsia="zh-CN"/>
              </w:rPr>
              <w:t>-</w:t>
            </w:r>
            <w:r>
              <w:rPr>
                <w:rFonts w:hint="eastAsia"/>
                <w:color w:val="auto"/>
                <w:lang w:val="en-US" w:eastAsia="zh-CN"/>
              </w:rPr>
              <w:t>2018</w:t>
            </w:r>
            <w:r>
              <w:rPr>
                <w:rFonts w:hint="default"/>
                <w:color w:val="auto"/>
                <w:lang w:val="en-US" w:eastAsia="zh-CN"/>
              </w:rPr>
              <w:t>）</w:t>
            </w:r>
            <w:r>
              <w:rPr>
                <w:rFonts w:hint="eastAsia"/>
                <w:color w:val="auto"/>
                <w:lang w:val="en-US" w:eastAsia="zh-CN"/>
              </w:rPr>
              <w:t>三级标准</w:t>
            </w:r>
            <w:r>
              <w:rPr>
                <w:color w:val="auto"/>
              </w:rPr>
              <w:t>。COD</w:t>
            </w:r>
            <w:r>
              <w:rPr>
                <w:rFonts w:hint="eastAsia"/>
                <w:color w:val="auto"/>
              </w:rPr>
              <w:t>cr</w:t>
            </w:r>
            <w:r>
              <w:rPr>
                <w:color w:val="auto"/>
              </w:rPr>
              <w:t>最高允许排放浓度为500mg/L，氨氮为45mg/L，</w:t>
            </w:r>
            <w:r>
              <w:rPr>
                <w:color w:val="auto"/>
                <w:kern w:val="0"/>
              </w:rPr>
              <w:t>总磷浓度为8mg/L，总氮浓度为70mg/L</w:t>
            </w:r>
            <w:r>
              <w:rPr>
                <w:color w:val="auto"/>
              </w:rPr>
              <w:t>。</w:t>
            </w:r>
            <w:r>
              <w:rPr>
                <w:color w:val="auto"/>
                <w:kern w:val="0"/>
              </w:rPr>
              <w:t>项目</w:t>
            </w:r>
            <w:r>
              <w:rPr>
                <w:color w:val="auto"/>
              </w:rPr>
              <w:t>废水</w:t>
            </w:r>
            <w:r>
              <w:rPr>
                <w:color w:val="auto"/>
                <w:kern w:val="0"/>
              </w:rPr>
              <w:t>经园区污水管网排入</w:t>
            </w:r>
            <w:r>
              <w:rPr>
                <w:rFonts w:hint="eastAsia"/>
                <w:color w:val="auto"/>
                <w:lang w:val="en-US" w:eastAsia="zh-CN"/>
              </w:rPr>
              <w:t>咸阳路污水处理厂</w:t>
            </w:r>
            <w:r>
              <w:rPr>
                <w:color w:val="auto"/>
                <w:kern w:val="0"/>
              </w:rPr>
              <w:t>集中处理，该污水处理厂执行《城镇污水处理厂污染物排放标准》（DB12/599-2015）</w:t>
            </w:r>
            <w:r>
              <w:rPr>
                <w:rFonts w:hint="eastAsia"/>
                <w:color w:val="auto"/>
                <w:kern w:val="0"/>
                <w:lang w:val="en-US" w:eastAsia="zh-CN"/>
              </w:rPr>
              <w:t>A</w:t>
            </w:r>
            <w:r>
              <w:rPr>
                <w:color w:val="auto"/>
                <w:kern w:val="0"/>
              </w:rPr>
              <w:t>标准限值：</w:t>
            </w:r>
            <w:r>
              <w:rPr>
                <w:rFonts w:hint="eastAsia"/>
                <w:color w:val="auto"/>
                <w:kern w:val="0"/>
              </w:rPr>
              <w:t>COD</w:t>
            </w:r>
            <w:r>
              <w:rPr>
                <w:rFonts w:hint="eastAsia"/>
                <w:color w:val="auto"/>
                <w:kern w:val="0"/>
                <w:lang w:val="en-US" w:eastAsia="zh-CN"/>
              </w:rPr>
              <w:t>30</w:t>
            </w:r>
            <w:r>
              <w:rPr>
                <w:rFonts w:hint="eastAsia"/>
                <w:color w:val="auto"/>
                <w:kern w:val="0"/>
              </w:rPr>
              <w:t>mg/L、氨氮</w:t>
            </w:r>
            <w:r>
              <w:rPr>
                <w:rFonts w:hint="eastAsia"/>
                <w:color w:val="auto"/>
                <w:kern w:val="0"/>
                <w:lang w:val="en-US" w:eastAsia="zh-CN"/>
              </w:rPr>
              <w:t>1.5</w:t>
            </w:r>
            <w:r>
              <w:rPr>
                <w:rFonts w:hint="eastAsia"/>
                <w:color w:val="auto"/>
                <w:kern w:val="0"/>
              </w:rPr>
              <w:t>（3.</w:t>
            </w:r>
            <w:r>
              <w:rPr>
                <w:rFonts w:hint="eastAsia"/>
                <w:color w:val="auto"/>
                <w:kern w:val="0"/>
                <w:lang w:val="en-US" w:eastAsia="zh-CN"/>
              </w:rPr>
              <w:t>0</w:t>
            </w:r>
            <w:r>
              <w:rPr>
                <w:rFonts w:hint="eastAsia"/>
                <w:color w:val="auto"/>
                <w:kern w:val="0"/>
              </w:rPr>
              <w:t>）mg/L</w:t>
            </w:r>
            <w:r>
              <w:rPr>
                <w:rFonts w:hint="eastAsia"/>
                <w:color w:val="auto"/>
                <w:kern w:val="0"/>
                <w:lang w:eastAsia="zh-CN"/>
              </w:rPr>
              <w:t>（</w:t>
            </w:r>
            <w:r>
              <w:rPr>
                <w:rFonts w:hint="eastAsia"/>
                <w:color w:val="auto"/>
                <w:kern w:val="0"/>
                <w:lang w:val="en-US" w:eastAsia="zh-CN"/>
              </w:rPr>
              <w:t>每年11月1日至次年3月31日执行</w:t>
            </w:r>
            <w:r>
              <w:rPr>
                <w:rFonts w:hint="eastAsia"/>
                <w:color w:val="auto"/>
                <w:kern w:val="0"/>
              </w:rPr>
              <w:t>括号内</w:t>
            </w:r>
            <w:r>
              <w:rPr>
                <w:rFonts w:hint="eastAsia"/>
                <w:color w:val="auto"/>
                <w:kern w:val="0"/>
                <w:lang w:val="en-US" w:eastAsia="zh-CN"/>
              </w:rPr>
              <w:t>排放限值</w:t>
            </w:r>
            <w:r>
              <w:rPr>
                <w:rFonts w:hint="eastAsia"/>
                <w:color w:val="auto"/>
                <w:kern w:val="0"/>
                <w:lang w:eastAsia="zh-CN"/>
              </w:rPr>
              <w:t>）、</w:t>
            </w:r>
            <w:r>
              <w:rPr>
                <w:rFonts w:hint="eastAsia"/>
                <w:color w:val="auto"/>
                <w:kern w:val="0"/>
              </w:rPr>
              <w:t>总氮1</w:t>
            </w:r>
            <w:r>
              <w:rPr>
                <w:rFonts w:hint="eastAsia"/>
                <w:color w:val="auto"/>
                <w:kern w:val="0"/>
                <w:lang w:val="en-US" w:eastAsia="zh-CN"/>
              </w:rPr>
              <w:t>0</w:t>
            </w:r>
            <w:r>
              <w:rPr>
                <w:rFonts w:hint="eastAsia"/>
                <w:color w:val="auto"/>
                <w:kern w:val="0"/>
              </w:rPr>
              <w:t>mg/L、总磷0.</w:t>
            </w:r>
            <w:r>
              <w:rPr>
                <w:rFonts w:hint="eastAsia"/>
                <w:color w:val="auto"/>
                <w:kern w:val="0"/>
                <w:lang w:val="en-US" w:eastAsia="zh-CN"/>
              </w:rPr>
              <w:t>3</w:t>
            </w:r>
            <w:r>
              <w:rPr>
                <w:rFonts w:hint="eastAsia"/>
                <w:color w:val="auto"/>
                <w:kern w:val="0"/>
              </w:rPr>
              <w:t>mg/L</w:t>
            </w:r>
            <w:r>
              <w:rPr>
                <w:color w:val="auto"/>
                <w:kern w:val="0"/>
              </w:rPr>
              <w:t>。</w:t>
            </w:r>
          </w:p>
          <w:p>
            <w:pPr>
              <w:ind w:firstLine="480" w:firstLineChars="200"/>
              <w:rPr>
                <w:color w:val="auto"/>
                <w:kern w:val="0"/>
              </w:rPr>
            </w:pPr>
            <w:r>
              <w:rPr>
                <w:color w:val="auto"/>
                <w:kern w:val="0"/>
              </w:rPr>
              <w:t>本项目总量计算如下：</w:t>
            </w:r>
          </w:p>
          <w:p>
            <w:pPr>
              <w:ind w:firstLine="480" w:firstLineChars="200"/>
              <w:rPr>
                <w:color w:val="auto"/>
              </w:rPr>
            </w:pPr>
            <w:r>
              <w:rPr>
                <w:color w:val="auto"/>
                <w:kern w:val="0"/>
              </w:rPr>
              <w:t>（1）预测排放量</w:t>
            </w:r>
          </w:p>
          <w:p>
            <w:pPr>
              <w:ind w:firstLine="480" w:firstLineChars="200"/>
              <w:rPr>
                <w:color w:val="auto"/>
                <w:lang w:eastAsia="en-US"/>
              </w:rPr>
            </w:pPr>
            <w:r>
              <w:rPr>
                <w:color w:val="auto"/>
                <w:lang w:eastAsia="en-US"/>
              </w:rPr>
              <w:t>COD</w:t>
            </w:r>
            <w:r>
              <w:rPr>
                <w:rFonts w:hint="eastAsia"/>
                <w:color w:val="auto"/>
              </w:rPr>
              <w:t>cr</w:t>
            </w:r>
            <w:r>
              <w:rPr>
                <w:color w:val="auto"/>
                <w:kern w:val="0"/>
              </w:rPr>
              <w:t>预测</w:t>
            </w:r>
            <w:r>
              <w:rPr>
                <w:color w:val="auto"/>
                <w:lang w:eastAsia="en-US"/>
              </w:rPr>
              <w:t>排放总量为</w:t>
            </w:r>
            <w:r>
              <w:rPr>
                <w:rFonts w:hint="eastAsia"/>
                <w:color w:val="auto"/>
                <w:lang w:val="en-US" w:eastAsia="zh-CN"/>
              </w:rPr>
              <w:t>415.179</w:t>
            </w:r>
            <w:r>
              <w:rPr>
                <w:color w:val="auto"/>
                <w:lang w:eastAsia="en-US"/>
              </w:rPr>
              <w:t>m</w:t>
            </w:r>
            <w:r>
              <w:rPr>
                <w:color w:val="auto"/>
                <w:vertAlign w:val="superscript"/>
                <w:lang w:eastAsia="en-US"/>
              </w:rPr>
              <w:t>3</w:t>
            </w:r>
            <w:r>
              <w:rPr>
                <w:color w:val="auto"/>
                <w:lang w:eastAsia="en-US"/>
              </w:rPr>
              <w:t>/a×</w:t>
            </w:r>
            <w:r>
              <w:rPr>
                <w:rFonts w:hint="eastAsia"/>
                <w:color w:val="auto"/>
                <w:lang w:val="en-US" w:eastAsia="zh-CN"/>
              </w:rPr>
              <w:t>300</w:t>
            </w:r>
            <w:r>
              <w:rPr>
                <w:color w:val="auto"/>
                <w:kern w:val="0"/>
                <w:lang w:eastAsia="en-US"/>
              </w:rPr>
              <w:t>mg/L×10</w:t>
            </w:r>
            <w:r>
              <w:rPr>
                <w:color w:val="auto"/>
                <w:kern w:val="0"/>
                <w:vertAlign w:val="superscript"/>
                <w:lang w:eastAsia="en-US"/>
              </w:rPr>
              <w:t>-6</w:t>
            </w:r>
            <w:r>
              <w:rPr>
                <w:color w:val="auto"/>
                <w:kern w:val="0"/>
                <w:lang w:eastAsia="en-US"/>
              </w:rPr>
              <w:t>=</w:t>
            </w:r>
            <w:r>
              <w:rPr>
                <w:rFonts w:hint="eastAsia"/>
                <w:color w:val="auto"/>
                <w:kern w:val="0"/>
                <w:lang w:val="en-US" w:eastAsia="zh-CN"/>
              </w:rPr>
              <w:t>0.1246</w:t>
            </w:r>
            <w:r>
              <w:rPr>
                <w:color w:val="auto"/>
                <w:lang w:eastAsia="en-US"/>
              </w:rPr>
              <w:t>t/a</w:t>
            </w:r>
          </w:p>
          <w:p>
            <w:pPr>
              <w:ind w:firstLine="480" w:firstLineChars="200"/>
              <w:rPr>
                <w:color w:val="auto"/>
              </w:rPr>
            </w:pPr>
            <w:r>
              <w:rPr>
                <w:color w:val="auto"/>
                <w:lang w:eastAsia="en-US"/>
              </w:rPr>
              <w:t>氨氮</w:t>
            </w:r>
            <w:r>
              <w:rPr>
                <w:color w:val="auto"/>
                <w:kern w:val="0"/>
              </w:rPr>
              <w:t>预测</w:t>
            </w:r>
            <w:r>
              <w:rPr>
                <w:color w:val="auto"/>
                <w:lang w:eastAsia="en-US"/>
              </w:rPr>
              <w:t>排放总量为</w:t>
            </w:r>
            <w:r>
              <w:rPr>
                <w:rFonts w:hint="eastAsia"/>
                <w:color w:val="auto"/>
                <w:lang w:val="en-US" w:eastAsia="zh-CN"/>
              </w:rPr>
              <w:t>415.179</w:t>
            </w:r>
            <w:r>
              <w:rPr>
                <w:color w:val="auto"/>
                <w:lang w:eastAsia="en-US"/>
              </w:rPr>
              <w:t>m</w:t>
            </w:r>
            <w:r>
              <w:rPr>
                <w:color w:val="auto"/>
                <w:vertAlign w:val="superscript"/>
                <w:lang w:eastAsia="en-US"/>
              </w:rPr>
              <w:t>3</w:t>
            </w:r>
            <w:r>
              <w:rPr>
                <w:color w:val="auto"/>
                <w:lang w:eastAsia="en-US"/>
              </w:rPr>
              <w:t>/a×</w:t>
            </w:r>
            <w:r>
              <w:rPr>
                <w:rFonts w:hint="eastAsia"/>
                <w:color w:val="auto"/>
                <w:lang w:val="en-US" w:eastAsia="zh-CN"/>
              </w:rPr>
              <w:t>30</w:t>
            </w:r>
            <w:r>
              <w:rPr>
                <w:color w:val="auto"/>
                <w:kern w:val="0"/>
                <w:lang w:eastAsia="en-US"/>
              </w:rPr>
              <w:t>mg/L×10</w:t>
            </w:r>
            <w:r>
              <w:rPr>
                <w:color w:val="auto"/>
                <w:kern w:val="0"/>
                <w:vertAlign w:val="superscript"/>
                <w:lang w:eastAsia="en-US"/>
              </w:rPr>
              <w:t>-6</w:t>
            </w:r>
            <w:r>
              <w:rPr>
                <w:color w:val="auto"/>
                <w:kern w:val="0"/>
                <w:lang w:eastAsia="en-US"/>
              </w:rPr>
              <w:t>=</w:t>
            </w:r>
            <w:r>
              <w:rPr>
                <w:rFonts w:hint="eastAsia"/>
                <w:color w:val="auto"/>
              </w:rPr>
              <w:t>0.</w:t>
            </w:r>
            <w:r>
              <w:rPr>
                <w:rFonts w:hint="eastAsia"/>
                <w:color w:val="auto"/>
                <w:lang w:val="en-US" w:eastAsia="zh-CN"/>
              </w:rPr>
              <w:t>0125</w:t>
            </w:r>
            <w:r>
              <w:rPr>
                <w:color w:val="auto"/>
                <w:lang w:eastAsia="en-US"/>
              </w:rPr>
              <w:t>t/a</w:t>
            </w:r>
          </w:p>
          <w:p>
            <w:pPr>
              <w:ind w:firstLine="480" w:firstLineChars="200"/>
              <w:rPr>
                <w:color w:val="auto"/>
              </w:rPr>
            </w:pPr>
            <w:r>
              <w:rPr>
                <w:color w:val="auto"/>
              </w:rPr>
              <w:t>总磷</w:t>
            </w:r>
            <w:r>
              <w:rPr>
                <w:color w:val="auto"/>
                <w:kern w:val="0"/>
              </w:rPr>
              <w:t>预测</w:t>
            </w:r>
            <w:r>
              <w:rPr>
                <w:color w:val="auto"/>
              </w:rPr>
              <w:t>排放总量为</w:t>
            </w:r>
            <w:r>
              <w:rPr>
                <w:rFonts w:hint="eastAsia"/>
                <w:color w:val="auto"/>
                <w:lang w:val="en-US" w:eastAsia="zh-CN"/>
              </w:rPr>
              <w:t>415.179</w:t>
            </w:r>
            <w:r>
              <w:rPr>
                <w:color w:val="auto"/>
              </w:rPr>
              <w:t>m</w:t>
            </w:r>
            <w:r>
              <w:rPr>
                <w:color w:val="auto"/>
                <w:vertAlign w:val="superscript"/>
              </w:rPr>
              <w:t>3</w:t>
            </w:r>
            <w:r>
              <w:rPr>
                <w:color w:val="auto"/>
              </w:rPr>
              <w:t>/a×</w:t>
            </w:r>
            <w:r>
              <w:rPr>
                <w:rFonts w:hint="eastAsia"/>
                <w:color w:val="auto"/>
                <w:lang w:val="en-US" w:eastAsia="zh-CN"/>
              </w:rPr>
              <w:t>3.28</w:t>
            </w:r>
            <w:r>
              <w:rPr>
                <w:color w:val="auto"/>
                <w:kern w:val="0"/>
              </w:rPr>
              <w:t>mg/L×10</w:t>
            </w:r>
            <w:r>
              <w:rPr>
                <w:color w:val="auto"/>
                <w:kern w:val="0"/>
                <w:vertAlign w:val="superscript"/>
              </w:rPr>
              <w:t>-6</w:t>
            </w:r>
            <w:r>
              <w:rPr>
                <w:color w:val="auto"/>
                <w:kern w:val="0"/>
              </w:rPr>
              <w:t>=</w:t>
            </w:r>
            <w:r>
              <w:rPr>
                <w:color w:val="auto"/>
              </w:rPr>
              <w:t>0.</w:t>
            </w:r>
            <w:r>
              <w:rPr>
                <w:rFonts w:hint="eastAsia"/>
                <w:color w:val="auto"/>
                <w:lang w:val="en-US" w:eastAsia="zh-CN"/>
              </w:rPr>
              <w:t>0014</w:t>
            </w:r>
            <w:r>
              <w:rPr>
                <w:color w:val="auto"/>
              </w:rPr>
              <w:t>t/a</w:t>
            </w:r>
          </w:p>
          <w:p>
            <w:pPr>
              <w:ind w:firstLine="480" w:firstLineChars="200"/>
              <w:rPr>
                <w:color w:val="auto"/>
              </w:rPr>
            </w:pPr>
            <w:r>
              <w:rPr>
                <w:color w:val="auto"/>
              </w:rPr>
              <w:t>总氮</w:t>
            </w:r>
            <w:r>
              <w:rPr>
                <w:color w:val="auto"/>
                <w:kern w:val="0"/>
              </w:rPr>
              <w:t>预测</w:t>
            </w:r>
            <w:r>
              <w:rPr>
                <w:color w:val="auto"/>
              </w:rPr>
              <w:t>排放总量为</w:t>
            </w:r>
            <w:r>
              <w:rPr>
                <w:rFonts w:hint="eastAsia"/>
                <w:color w:val="auto"/>
                <w:lang w:val="en-US" w:eastAsia="zh-CN"/>
              </w:rPr>
              <w:t>415.179</w:t>
            </w:r>
            <w:r>
              <w:rPr>
                <w:color w:val="auto"/>
              </w:rPr>
              <w:t>m</w:t>
            </w:r>
            <w:r>
              <w:rPr>
                <w:color w:val="auto"/>
                <w:vertAlign w:val="superscript"/>
              </w:rPr>
              <w:t>3</w:t>
            </w:r>
            <w:r>
              <w:rPr>
                <w:color w:val="auto"/>
              </w:rPr>
              <w:t>/a×</w:t>
            </w:r>
            <w:r>
              <w:rPr>
                <w:rFonts w:hint="eastAsia"/>
                <w:color w:val="auto"/>
                <w:lang w:val="en-US" w:eastAsia="zh-CN"/>
              </w:rPr>
              <w:t>44</w:t>
            </w:r>
            <w:r>
              <w:rPr>
                <w:color w:val="auto"/>
                <w:kern w:val="0"/>
              </w:rPr>
              <w:t>mg/L×10</w:t>
            </w:r>
            <w:r>
              <w:rPr>
                <w:color w:val="auto"/>
                <w:kern w:val="0"/>
                <w:vertAlign w:val="superscript"/>
              </w:rPr>
              <w:t>-6</w:t>
            </w:r>
            <w:r>
              <w:rPr>
                <w:color w:val="auto"/>
                <w:kern w:val="0"/>
              </w:rPr>
              <w:t>=</w:t>
            </w:r>
            <w:r>
              <w:rPr>
                <w:rFonts w:hint="eastAsia"/>
                <w:color w:val="auto"/>
                <w:kern w:val="0"/>
                <w:lang w:val="en-US" w:eastAsia="zh-CN"/>
              </w:rPr>
              <w:t>0.0183</w:t>
            </w:r>
            <w:r>
              <w:rPr>
                <w:color w:val="auto"/>
              </w:rPr>
              <w:t>t/a</w:t>
            </w:r>
          </w:p>
          <w:p>
            <w:pPr>
              <w:ind w:firstLine="480" w:firstLineChars="200"/>
              <w:rPr>
                <w:color w:val="auto"/>
              </w:rPr>
            </w:pPr>
            <w:r>
              <w:rPr>
                <w:color w:val="auto"/>
              </w:rPr>
              <w:t>（2）核定排放量</w:t>
            </w:r>
          </w:p>
          <w:p>
            <w:pPr>
              <w:ind w:firstLine="480" w:firstLineChars="200"/>
              <w:rPr>
                <w:color w:val="auto"/>
                <w:lang w:eastAsia="en-US"/>
              </w:rPr>
            </w:pPr>
            <w:r>
              <w:rPr>
                <w:color w:val="auto"/>
                <w:lang w:eastAsia="en-US"/>
              </w:rPr>
              <w:t>COD</w:t>
            </w:r>
            <w:r>
              <w:rPr>
                <w:rFonts w:hint="eastAsia"/>
                <w:color w:val="auto"/>
              </w:rPr>
              <w:t>cr</w:t>
            </w:r>
            <w:r>
              <w:rPr>
                <w:color w:val="auto"/>
              </w:rPr>
              <w:t>核定</w:t>
            </w:r>
            <w:r>
              <w:rPr>
                <w:color w:val="auto"/>
                <w:lang w:eastAsia="en-US"/>
              </w:rPr>
              <w:t>排放总量为</w:t>
            </w:r>
            <w:r>
              <w:rPr>
                <w:rFonts w:hint="eastAsia"/>
                <w:color w:val="auto"/>
                <w:lang w:val="en-US" w:eastAsia="zh-CN"/>
              </w:rPr>
              <w:t>415.179</w:t>
            </w:r>
            <w:r>
              <w:rPr>
                <w:color w:val="auto"/>
                <w:lang w:eastAsia="en-US"/>
              </w:rPr>
              <w:t>m</w:t>
            </w:r>
            <w:r>
              <w:rPr>
                <w:color w:val="auto"/>
                <w:vertAlign w:val="superscript"/>
                <w:lang w:eastAsia="en-US"/>
              </w:rPr>
              <w:t>3</w:t>
            </w:r>
            <w:r>
              <w:rPr>
                <w:color w:val="auto"/>
                <w:lang w:eastAsia="en-US"/>
              </w:rPr>
              <w:t>/a×</w:t>
            </w:r>
            <w:r>
              <w:rPr>
                <w:rFonts w:hint="eastAsia"/>
                <w:color w:val="auto"/>
                <w:lang w:val="en-US" w:eastAsia="zh-CN"/>
              </w:rPr>
              <w:t>500</w:t>
            </w:r>
            <w:r>
              <w:rPr>
                <w:color w:val="auto"/>
                <w:kern w:val="0"/>
                <w:lang w:eastAsia="en-US"/>
              </w:rPr>
              <w:t>mg/L×10</w:t>
            </w:r>
            <w:r>
              <w:rPr>
                <w:color w:val="auto"/>
                <w:kern w:val="0"/>
                <w:vertAlign w:val="superscript"/>
                <w:lang w:eastAsia="en-US"/>
              </w:rPr>
              <w:t>-6</w:t>
            </w:r>
            <w:r>
              <w:rPr>
                <w:color w:val="auto"/>
                <w:kern w:val="0"/>
                <w:lang w:eastAsia="en-US"/>
              </w:rPr>
              <w:t>=</w:t>
            </w:r>
            <w:r>
              <w:rPr>
                <w:rFonts w:hint="eastAsia"/>
                <w:color w:val="auto"/>
                <w:kern w:val="0"/>
                <w:lang w:val="en-US" w:eastAsia="zh-CN"/>
              </w:rPr>
              <w:t>0.2076</w:t>
            </w:r>
            <w:r>
              <w:rPr>
                <w:color w:val="auto"/>
                <w:lang w:eastAsia="en-US"/>
              </w:rPr>
              <w:t>t/a</w:t>
            </w:r>
          </w:p>
          <w:p>
            <w:pPr>
              <w:ind w:firstLine="480" w:firstLineChars="200"/>
              <w:rPr>
                <w:color w:val="auto"/>
              </w:rPr>
            </w:pPr>
            <w:r>
              <w:rPr>
                <w:color w:val="auto"/>
                <w:lang w:eastAsia="en-US"/>
              </w:rPr>
              <w:t>氨氮</w:t>
            </w:r>
            <w:r>
              <w:rPr>
                <w:color w:val="auto"/>
              </w:rPr>
              <w:t>核定</w:t>
            </w:r>
            <w:r>
              <w:rPr>
                <w:color w:val="auto"/>
                <w:lang w:eastAsia="en-US"/>
              </w:rPr>
              <w:t>排放总量为</w:t>
            </w:r>
            <w:r>
              <w:rPr>
                <w:rFonts w:hint="eastAsia"/>
                <w:color w:val="auto"/>
                <w:lang w:val="en-US" w:eastAsia="zh-CN"/>
              </w:rPr>
              <w:t>415.179</w:t>
            </w:r>
            <w:r>
              <w:rPr>
                <w:color w:val="auto"/>
                <w:lang w:eastAsia="en-US"/>
              </w:rPr>
              <w:t>m</w:t>
            </w:r>
            <w:r>
              <w:rPr>
                <w:color w:val="auto"/>
                <w:vertAlign w:val="superscript"/>
                <w:lang w:eastAsia="en-US"/>
              </w:rPr>
              <w:t>3</w:t>
            </w:r>
            <w:r>
              <w:rPr>
                <w:color w:val="auto"/>
                <w:lang w:eastAsia="en-US"/>
              </w:rPr>
              <w:t>/a×</w:t>
            </w:r>
            <w:r>
              <w:rPr>
                <w:rFonts w:hint="eastAsia"/>
                <w:color w:val="auto"/>
                <w:lang w:val="en-US" w:eastAsia="zh-CN"/>
              </w:rPr>
              <w:t>45</w:t>
            </w:r>
            <w:r>
              <w:rPr>
                <w:color w:val="auto"/>
                <w:kern w:val="0"/>
                <w:lang w:eastAsia="en-US"/>
              </w:rPr>
              <w:t>mg/L×10</w:t>
            </w:r>
            <w:r>
              <w:rPr>
                <w:color w:val="auto"/>
                <w:kern w:val="0"/>
                <w:vertAlign w:val="superscript"/>
                <w:lang w:eastAsia="en-US"/>
              </w:rPr>
              <w:t>-6</w:t>
            </w:r>
            <w:r>
              <w:rPr>
                <w:color w:val="auto"/>
                <w:kern w:val="0"/>
                <w:lang w:eastAsia="en-US"/>
              </w:rPr>
              <w:t>=</w:t>
            </w:r>
            <w:r>
              <w:rPr>
                <w:rFonts w:hint="eastAsia"/>
                <w:color w:val="auto"/>
              </w:rPr>
              <w:t>0.</w:t>
            </w:r>
            <w:r>
              <w:rPr>
                <w:rFonts w:hint="eastAsia"/>
                <w:color w:val="auto"/>
                <w:lang w:val="en-US" w:eastAsia="zh-CN"/>
              </w:rPr>
              <w:t>0187</w:t>
            </w:r>
            <w:r>
              <w:rPr>
                <w:color w:val="auto"/>
                <w:lang w:eastAsia="en-US"/>
              </w:rPr>
              <w:t>t/a</w:t>
            </w:r>
          </w:p>
          <w:p>
            <w:pPr>
              <w:ind w:firstLine="480" w:firstLineChars="200"/>
              <w:rPr>
                <w:color w:val="auto"/>
              </w:rPr>
            </w:pPr>
            <w:r>
              <w:rPr>
                <w:color w:val="auto"/>
              </w:rPr>
              <w:t>总磷核定排放总量为</w:t>
            </w:r>
            <w:r>
              <w:rPr>
                <w:rFonts w:hint="eastAsia"/>
                <w:color w:val="auto"/>
                <w:lang w:val="en-US" w:eastAsia="zh-CN"/>
              </w:rPr>
              <w:t>415.179</w:t>
            </w:r>
            <w:r>
              <w:rPr>
                <w:color w:val="auto"/>
              </w:rPr>
              <w:t>m</w:t>
            </w:r>
            <w:r>
              <w:rPr>
                <w:color w:val="auto"/>
                <w:vertAlign w:val="superscript"/>
              </w:rPr>
              <w:t>3</w:t>
            </w:r>
            <w:r>
              <w:rPr>
                <w:color w:val="auto"/>
              </w:rPr>
              <w:t>/a×</w:t>
            </w:r>
            <w:r>
              <w:rPr>
                <w:color w:val="auto"/>
                <w:kern w:val="0"/>
              </w:rPr>
              <w:t>8mg/L×10</w:t>
            </w:r>
            <w:r>
              <w:rPr>
                <w:color w:val="auto"/>
                <w:kern w:val="0"/>
                <w:vertAlign w:val="superscript"/>
              </w:rPr>
              <w:t>-6</w:t>
            </w:r>
            <w:r>
              <w:rPr>
                <w:color w:val="auto"/>
                <w:kern w:val="0"/>
              </w:rPr>
              <w:t>=</w:t>
            </w:r>
            <w:r>
              <w:rPr>
                <w:color w:val="auto"/>
              </w:rPr>
              <w:t>0.</w:t>
            </w:r>
            <w:r>
              <w:rPr>
                <w:rFonts w:hint="eastAsia"/>
                <w:color w:val="auto"/>
                <w:lang w:val="en-US" w:eastAsia="zh-CN"/>
              </w:rPr>
              <w:t>0033</w:t>
            </w:r>
            <w:r>
              <w:rPr>
                <w:color w:val="auto"/>
              </w:rPr>
              <w:t>t/a</w:t>
            </w:r>
          </w:p>
          <w:p>
            <w:pPr>
              <w:ind w:firstLine="480" w:firstLineChars="200"/>
              <w:rPr>
                <w:color w:val="auto"/>
              </w:rPr>
            </w:pPr>
            <w:r>
              <w:rPr>
                <w:color w:val="auto"/>
              </w:rPr>
              <w:t>总氮核定排放总量为</w:t>
            </w:r>
            <w:r>
              <w:rPr>
                <w:rFonts w:hint="eastAsia"/>
                <w:color w:val="auto"/>
                <w:lang w:val="en-US" w:eastAsia="zh-CN"/>
              </w:rPr>
              <w:t>415.179</w:t>
            </w:r>
            <w:r>
              <w:rPr>
                <w:color w:val="auto"/>
              </w:rPr>
              <w:t>m</w:t>
            </w:r>
            <w:r>
              <w:rPr>
                <w:color w:val="auto"/>
                <w:vertAlign w:val="superscript"/>
              </w:rPr>
              <w:t>3</w:t>
            </w:r>
            <w:r>
              <w:rPr>
                <w:color w:val="auto"/>
              </w:rPr>
              <w:t>/a×</w:t>
            </w:r>
            <w:r>
              <w:rPr>
                <w:color w:val="auto"/>
                <w:kern w:val="0"/>
              </w:rPr>
              <w:t>70mg/L×10</w:t>
            </w:r>
            <w:r>
              <w:rPr>
                <w:color w:val="auto"/>
                <w:kern w:val="0"/>
                <w:vertAlign w:val="superscript"/>
              </w:rPr>
              <w:t>-6</w:t>
            </w:r>
            <w:r>
              <w:rPr>
                <w:color w:val="auto"/>
                <w:kern w:val="0"/>
              </w:rPr>
              <w:t>=</w:t>
            </w:r>
            <w:r>
              <w:rPr>
                <w:rFonts w:hint="eastAsia"/>
                <w:color w:val="auto"/>
                <w:kern w:val="0"/>
                <w:lang w:val="en-US" w:eastAsia="zh-CN"/>
              </w:rPr>
              <w:t>0.0291</w:t>
            </w:r>
            <w:r>
              <w:rPr>
                <w:color w:val="auto"/>
              </w:rPr>
              <w:t>t/a</w:t>
            </w:r>
          </w:p>
          <w:p>
            <w:pPr>
              <w:ind w:firstLine="480" w:firstLineChars="200"/>
              <w:rPr>
                <w:color w:val="auto"/>
              </w:rPr>
            </w:pPr>
            <w:r>
              <w:rPr>
                <w:color w:val="auto"/>
              </w:rPr>
              <w:t>（3）按照污水处理厂收集后排入环境总量</w:t>
            </w:r>
          </w:p>
          <w:p>
            <w:pPr>
              <w:ind w:firstLine="480" w:firstLineChars="200"/>
              <w:rPr>
                <w:color w:val="auto"/>
              </w:rPr>
            </w:pPr>
            <w:r>
              <w:rPr>
                <w:color w:val="auto"/>
              </w:rPr>
              <w:t>COD</w:t>
            </w:r>
            <w:r>
              <w:rPr>
                <w:rFonts w:hint="eastAsia"/>
                <w:color w:val="auto"/>
              </w:rPr>
              <w:t>cr</w:t>
            </w:r>
            <w:r>
              <w:rPr>
                <w:color w:val="auto"/>
              </w:rPr>
              <w:t>排放总量</w:t>
            </w:r>
            <w:r>
              <w:rPr>
                <w:rFonts w:hint="eastAsia"/>
                <w:color w:val="auto"/>
              </w:rPr>
              <w:t>为</w:t>
            </w:r>
            <w:r>
              <w:rPr>
                <w:rFonts w:hint="eastAsia"/>
                <w:color w:val="auto"/>
                <w:lang w:val="en-US" w:eastAsia="zh-CN"/>
              </w:rPr>
              <w:t>415.179</w:t>
            </w:r>
            <w:r>
              <w:rPr>
                <w:color w:val="auto"/>
              </w:rPr>
              <w:t>m</w:t>
            </w:r>
            <w:r>
              <w:rPr>
                <w:color w:val="auto"/>
                <w:vertAlign w:val="superscript"/>
              </w:rPr>
              <w:t>3</w:t>
            </w:r>
            <w:r>
              <w:rPr>
                <w:color w:val="auto"/>
              </w:rPr>
              <w:t>/a×</w:t>
            </w:r>
            <w:r>
              <w:rPr>
                <w:rFonts w:hint="eastAsia"/>
                <w:color w:val="auto"/>
                <w:lang w:val="en-US" w:eastAsia="zh-CN"/>
              </w:rPr>
              <w:t>30</w:t>
            </w:r>
            <w:r>
              <w:rPr>
                <w:color w:val="auto"/>
                <w:kern w:val="0"/>
              </w:rPr>
              <w:t>mg/L×10</w:t>
            </w:r>
            <w:r>
              <w:rPr>
                <w:color w:val="auto"/>
                <w:kern w:val="0"/>
                <w:vertAlign w:val="superscript"/>
              </w:rPr>
              <w:t>-6</w:t>
            </w:r>
            <w:r>
              <w:rPr>
                <w:color w:val="auto"/>
                <w:kern w:val="0"/>
              </w:rPr>
              <w:t>=</w:t>
            </w:r>
            <w:r>
              <w:rPr>
                <w:rFonts w:hint="eastAsia"/>
                <w:color w:val="auto"/>
              </w:rPr>
              <w:t>0.</w:t>
            </w:r>
            <w:r>
              <w:rPr>
                <w:rFonts w:hint="eastAsia"/>
                <w:color w:val="auto"/>
                <w:lang w:val="en-US" w:eastAsia="zh-CN"/>
              </w:rPr>
              <w:t>0125</w:t>
            </w:r>
            <w:r>
              <w:rPr>
                <w:rFonts w:hint="eastAsia"/>
                <w:color w:val="auto"/>
              </w:rPr>
              <w:t>t/a</w:t>
            </w:r>
          </w:p>
          <w:p>
            <w:pPr>
              <w:ind w:firstLine="480" w:firstLineChars="200"/>
              <w:rPr>
                <w:color w:val="auto"/>
              </w:rPr>
            </w:pPr>
            <w:r>
              <w:rPr>
                <w:color w:val="auto"/>
              </w:rPr>
              <w:t>氨氮排放总量为</w:t>
            </w:r>
          </w:p>
          <w:p>
            <w:pPr>
              <w:ind w:firstLine="480" w:firstLineChars="200"/>
              <w:rPr>
                <w:color w:val="auto"/>
              </w:rPr>
            </w:pPr>
            <w:r>
              <w:rPr>
                <w:rFonts w:hint="eastAsia"/>
                <w:color w:val="auto"/>
                <w:lang w:val="en-US" w:eastAsia="zh-CN"/>
              </w:rPr>
              <w:t>415.179</w:t>
            </w:r>
            <w:r>
              <w:rPr>
                <w:color w:val="auto"/>
              </w:rPr>
              <w:t>m</w:t>
            </w:r>
            <w:r>
              <w:rPr>
                <w:color w:val="auto"/>
                <w:vertAlign w:val="superscript"/>
              </w:rPr>
              <w:t>3</w:t>
            </w:r>
            <w:r>
              <w:rPr>
                <w:color w:val="auto"/>
              </w:rPr>
              <w:t>/</w:t>
            </w:r>
            <w:r>
              <w:rPr>
                <w:rFonts w:hint="eastAsia"/>
                <w:color w:val="auto"/>
              </w:rPr>
              <w:t>a</w:t>
            </w:r>
            <w:r>
              <w:rPr>
                <w:color w:val="auto"/>
              </w:rPr>
              <w:t>×</w:t>
            </w:r>
            <w:r>
              <w:rPr>
                <w:rFonts w:hint="eastAsia"/>
                <w:color w:val="auto"/>
                <w:lang w:val="en-US" w:eastAsia="zh-CN"/>
              </w:rPr>
              <w:t>3</w:t>
            </w:r>
            <w:r>
              <w:rPr>
                <w:color w:val="auto"/>
                <w:kern w:val="0"/>
              </w:rPr>
              <w:t>mg/L</w:t>
            </w:r>
            <w:r>
              <w:rPr>
                <w:rFonts w:hint="eastAsia"/>
                <w:color w:val="auto"/>
                <w:lang w:val="en-US" w:eastAsia="zh-CN"/>
              </w:rPr>
              <w:t>/12</w:t>
            </w:r>
            <w:r>
              <w:rPr>
                <w:color w:val="auto"/>
              </w:rPr>
              <w:t>×</w:t>
            </w:r>
            <w:r>
              <w:rPr>
                <w:rFonts w:hint="eastAsia"/>
                <w:color w:val="auto"/>
                <w:lang w:val="en-US" w:eastAsia="zh-CN"/>
              </w:rPr>
              <w:t>7</w:t>
            </w:r>
            <w:r>
              <w:rPr>
                <w:color w:val="auto"/>
                <w:kern w:val="0"/>
              </w:rPr>
              <w:t>×10</w:t>
            </w:r>
            <w:r>
              <w:rPr>
                <w:color w:val="auto"/>
                <w:kern w:val="0"/>
                <w:vertAlign w:val="superscript"/>
              </w:rPr>
              <w:t>-6</w:t>
            </w:r>
            <w:r>
              <w:rPr>
                <w:color w:val="auto"/>
              </w:rPr>
              <w:t>+</w:t>
            </w:r>
            <w:r>
              <w:rPr>
                <w:rFonts w:hint="eastAsia"/>
                <w:color w:val="auto"/>
                <w:lang w:val="en-US" w:eastAsia="zh-CN"/>
              </w:rPr>
              <w:t>415.179</w:t>
            </w:r>
            <w:r>
              <w:rPr>
                <w:color w:val="auto"/>
              </w:rPr>
              <w:t>m</w:t>
            </w:r>
            <w:r>
              <w:rPr>
                <w:color w:val="auto"/>
                <w:vertAlign w:val="superscript"/>
              </w:rPr>
              <w:t>3</w:t>
            </w:r>
            <w:r>
              <w:rPr>
                <w:color w:val="auto"/>
              </w:rPr>
              <w:t>/</w:t>
            </w:r>
            <w:r>
              <w:rPr>
                <w:rFonts w:hint="eastAsia"/>
                <w:color w:val="auto"/>
              </w:rPr>
              <w:t>a</w:t>
            </w:r>
            <w:r>
              <w:rPr>
                <w:color w:val="auto"/>
              </w:rPr>
              <w:t>×</w:t>
            </w:r>
            <w:r>
              <w:rPr>
                <w:rFonts w:hint="eastAsia"/>
                <w:color w:val="auto"/>
                <w:lang w:val="en-US" w:eastAsia="zh-CN"/>
              </w:rPr>
              <w:t>1.5</w:t>
            </w:r>
            <w:r>
              <w:rPr>
                <w:color w:val="auto"/>
              </w:rPr>
              <w:t>mg/L</w:t>
            </w:r>
            <w:r>
              <w:rPr>
                <w:rFonts w:hint="eastAsia"/>
                <w:color w:val="auto"/>
                <w:lang w:val="en-US" w:eastAsia="zh-CN"/>
              </w:rPr>
              <w:t>/12</w:t>
            </w:r>
            <w:r>
              <w:rPr>
                <w:color w:val="auto"/>
              </w:rPr>
              <w:t>×</w:t>
            </w:r>
            <w:r>
              <w:rPr>
                <w:rFonts w:hint="eastAsia"/>
                <w:color w:val="auto"/>
                <w:lang w:val="en-US" w:eastAsia="zh-CN"/>
              </w:rPr>
              <w:t>5</w:t>
            </w:r>
            <w:r>
              <w:rPr>
                <w:color w:val="auto"/>
                <w:kern w:val="0"/>
              </w:rPr>
              <w:t>×10</w:t>
            </w:r>
            <w:r>
              <w:rPr>
                <w:color w:val="auto"/>
                <w:kern w:val="0"/>
                <w:vertAlign w:val="superscript"/>
              </w:rPr>
              <w:t>-6</w:t>
            </w:r>
            <w:r>
              <w:rPr>
                <w:color w:val="auto"/>
                <w:kern w:val="0"/>
              </w:rPr>
              <w:t>=</w:t>
            </w:r>
            <w:r>
              <w:rPr>
                <w:color w:val="auto"/>
              </w:rPr>
              <w:t>0.0</w:t>
            </w:r>
            <w:r>
              <w:rPr>
                <w:rFonts w:hint="eastAsia"/>
                <w:color w:val="auto"/>
                <w:lang w:val="en-US" w:eastAsia="zh-CN"/>
              </w:rPr>
              <w:t>010</w:t>
            </w:r>
            <w:r>
              <w:rPr>
                <w:color w:val="auto"/>
              </w:rPr>
              <w:t>t/a</w:t>
            </w:r>
          </w:p>
          <w:p>
            <w:pPr>
              <w:ind w:firstLine="480" w:firstLineChars="200"/>
              <w:rPr>
                <w:color w:val="auto"/>
              </w:rPr>
            </w:pPr>
            <w:r>
              <w:rPr>
                <w:color w:val="auto"/>
              </w:rPr>
              <w:t>总磷排放总量为</w:t>
            </w:r>
            <w:r>
              <w:rPr>
                <w:rFonts w:hint="eastAsia"/>
                <w:color w:val="auto"/>
                <w:lang w:val="en-US" w:eastAsia="zh-CN"/>
              </w:rPr>
              <w:t>415.179</w:t>
            </w:r>
            <w:r>
              <w:rPr>
                <w:color w:val="auto"/>
              </w:rPr>
              <w:t>m</w:t>
            </w:r>
            <w:r>
              <w:rPr>
                <w:color w:val="auto"/>
                <w:vertAlign w:val="superscript"/>
              </w:rPr>
              <w:t>3</w:t>
            </w:r>
            <w:r>
              <w:rPr>
                <w:color w:val="auto"/>
              </w:rPr>
              <w:t>/a×</w:t>
            </w:r>
            <w:r>
              <w:rPr>
                <w:color w:val="auto"/>
                <w:kern w:val="0"/>
              </w:rPr>
              <w:t>0.</w:t>
            </w:r>
            <w:r>
              <w:rPr>
                <w:rFonts w:hint="eastAsia"/>
                <w:color w:val="auto"/>
                <w:kern w:val="0"/>
                <w:lang w:val="en-US" w:eastAsia="zh-CN"/>
              </w:rPr>
              <w:t>3</w:t>
            </w:r>
            <w:r>
              <w:rPr>
                <w:color w:val="auto"/>
                <w:kern w:val="0"/>
              </w:rPr>
              <w:t>mg/L×10</w:t>
            </w:r>
            <w:r>
              <w:rPr>
                <w:color w:val="auto"/>
                <w:kern w:val="0"/>
                <w:vertAlign w:val="superscript"/>
              </w:rPr>
              <w:t>-6</w:t>
            </w:r>
            <w:r>
              <w:rPr>
                <w:color w:val="auto"/>
                <w:kern w:val="0"/>
              </w:rPr>
              <w:t>=</w:t>
            </w:r>
            <w:r>
              <w:rPr>
                <w:color w:val="auto"/>
              </w:rPr>
              <w:t>0.00</w:t>
            </w:r>
            <w:r>
              <w:rPr>
                <w:rFonts w:hint="eastAsia"/>
                <w:color w:val="auto"/>
                <w:lang w:val="en-US" w:eastAsia="zh-CN"/>
              </w:rPr>
              <w:t>01</w:t>
            </w:r>
            <w:r>
              <w:rPr>
                <w:rFonts w:hint="eastAsia"/>
                <w:color w:val="auto"/>
              </w:rPr>
              <w:t>t/a</w:t>
            </w:r>
          </w:p>
          <w:p>
            <w:pPr>
              <w:ind w:firstLine="480" w:firstLineChars="200"/>
              <w:rPr>
                <w:color w:val="auto"/>
              </w:rPr>
            </w:pPr>
            <w:r>
              <w:rPr>
                <w:color w:val="auto"/>
              </w:rPr>
              <w:t>总氮排放总量为</w:t>
            </w:r>
            <w:r>
              <w:rPr>
                <w:rFonts w:hint="eastAsia"/>
                <w:color w:val="auto"/>
                <w:lang w:val="en-US" w:eastAsia="zh-CN"/>
              </w:rPr>
              <w:t>415.179</w:t>
            </w:r>
            <w:r>
              <w:rPr>
                <w:color w:val="auto"/>
              </w:rPr>
              <w:t>m</w:t>
            </w:r>
            <w:r>
              <w:rPr>
                <w:color w:val="auto"/>
                <w:vertAlign w:val="superscript"/>
              </w:rPr>
              <w:t>3</w:t>
            </w:r>
            <w:r>
              <w:rPr>
                <w:color w:val="auto"/>
              </w:rPr>
              <w:t>/a×</w:t>
            </w:r>
            <w:r>
              <w:rPr>
                <w:color w:val="auto"/>
                <w:kern w:val="0"/>
              </w:rPr>
              <w:t>1</w:t>
            </w:r>
            <w:r>
              <w:rPr>
                <w:rFonts w:hint="eastAsia"/>
                <w:color w:val="auto"/>
                <w:kern w:val="0"/>
                <w:lang w:val="en-US" w:eastAsia="zh-CN"/>
              </w:rPr>
              <w:t>0</w:t>
            </w:r>
            <w:r>
              <w:rPr>
                <w:color w:val="auto"/>
                <w:kern w:val="0"/>
              </w:rPr>
              <w:t>mg/L×10</w:t>
            </w:r>
            <w:r>
              <w:rPr>
                <w:color w:val="auto"/>
                <w:kern w:val="0"/>
                <w:vertAlign w:val="superscript"/>
              </w:rPr>
              <w:t>-6</w:t>
            </w:r>
            <w:r>
              <w:rPr>
                <w:color w:val="auto"/>
                <w:kern w:val="0"/>
              </w:rPr>
              <w:t>=</w:t>
            </w:r>
            <w:r>
              <w:rPr>
                <w:color w:val="auto"/>
              </w:rPr>
              <w:t>0.0</w:t>
            </w:r>
            <w:r>
              <w:rPr>
                <w:rFonts w:hint="eastAsia"/>
                <w:color w:val="auto"/>
                <w:lang w:val="en-US" w:eastAsia="zh-CN"/>
              </w:rPr>
              <w:t>042</w:t>
            </w:r>
            <w:r>
              <w:rPr>
                <w:color w:val="auto"/>
              </w:rPr>
              <w:t>t/a</w:t>
            </w:r>
          </w:p>
          <w:p>
            <w:pPr>
              <w:ind w:firstLine="482" w:firstLineChars="200"/>
              <w:rPr>
                <w:b/>
                <w:bCs/>
                <w:color w:val="auto"/>
              </w:rPr>
            </w:pPr>
            <w:r>
              <w:rPr>
                <w:rFonts w:hint="eastAsia"/>
                <w:b/>
                <w:bCs/>
                <w:color w:val="auto"/>
                <w:lang w:val="en-US" w:eastAsia="zh-CN"/>
              </w:rPr>
              <w:t>3.7</w:t>
            </w:r>
            <w:r>
              <w:rPr>
                <w:b/>
                <w:bCs/>
                <w:color w:val="auto"/>
              </w:rPr>
              <w:t>废气</w:t>
            </w:r>
            <w:r>
              <w:rPr>
                <w:rFonts w:hint="eastAsia"/>
                <w:b/>
                <w:bCs/>
                <w:color w:val="auto"/>
              </w:rPr>
              <w:t>污染物排放</w:t>
            </w:r>
            <w:r>
              <w:rPr>
                <w:b/>
                <w:bCs/>
                <w:color w:val="auto"/>
              </w:rPr>
              <w:t>总量</w:t>
            </w:r>
          </w:p>
          <w:p>
            <w:pPr>
              <w:numPr>
                <w:ilvl w:val="0"/>
                <w:numId w:val="8"/>
              </w:numPr>
              <w:ind w:firstLine="480" w:firstLineChars="200"/>
              <w:rPr>
                <w:color w:val="auto"/>
              </w:rPr>
            </w:pPr>
            <w:r>
              <w:rPr>
                <w:color w:val="auto"/>
              </w:rPr>
              <w:t>预测排放量</w:t>
            </w:r>
          </w:p>
          <w:p>
            <w:pPr>
              <w:ind w:firstLine="480" w:firstLineChars="200"/>
              <w:rPr>
                <w:color w:val="auto"/>
              </w:rPr>
            </w:pPr>
            <w:r>
              <w:rPr>
                <w:rFonts w:hint="eastAsia"/>
                <w:color w:val="auto"/>
              </w:rPr>
              <w:t>根据</w:t>
            </w:r>
            <w:r>
              <w:rPr>
                <w:rFonts w:hint="eastAsia"/>
                <w:color w:val="auto"/>
                <w:lang w:eastAsia="zh-CN"/>
              </w:rPr>
              <w:t>本报告第四章节大气污染物预测</w:t>
            </w:r>
            <w:r>
              <w:rPr>
                <w:rFonts w:hint="eastAsia"/>
                <w:color w:val="auto"/>
              </w:rPr>
              <w:t>可知，</w:t>
            </w:r>
            <w:r>
              <w:rPr>
                <w:color w:val="auto"/>
              </w:rPr>
              <w:t>本项目挥发性有机物总量指标以TRVOC排放量计算结果为依据申请，</w:t>
            </w:r>
            <w:r>
              <w:rPr>
                <w:rFonts w:hint="eastAsia"/>
                <w:color w:val="auto"/>
              </w:rPr>
              <w:t>总量控制因子以VOCs进行表征。本项目</w:t>
            </w:r>
            <w:r>
              <w:rPr>
                <w:rFonts w:hint="eastAsia"/>
                <w:color w:val="auto"/>
                <w:lang w:eastAsia="zh-CN"/>
              </w:rPr>
              <w:t>实验过程</w:t>
            </w:r>
            <w:r>
              <w:rPr>
                <w:rFonts w:hint="eastAsia"/>
                <w:color w:val="auto"/>
                <w:lang w:val="en-US" w:eastAsia="zh-CN"/>
              </w:rPr>
              <w:t>、动物饲养间消毒过程TRVOC合计排放量为0.1981t/a（0.3716kg/h），合计</w:t>
            </w:r>
            <w:r>
              <w:rPr>
                <w:rFonts w:hint="eastAsia"/>
                <w:color w:val="auto"/>
              </w:rPr>
              <w:t>大气污染物中VOCs预测排放总量为</w:t>
            </w:r>
            <w:r>
              <w:rPr>
                <w:rFonts w:hint="eastAsia"/>
                <w:color w:val="auto"/>
                <w:lang w:val="en-US" w:eastAsia="zh-CN"/>
              </w:rPr>
              <w:t>0.1981t/a（0.3716kg/h）</w:t>
            </w:r>
            <w:r>
              <w:rPr>
                <w:rFonts w:hint="eastAsia"/>
                <w:color w:val="auto"/>
              </w:rPr>
              <w:t>。</w:t>
            </w:r>
          </w:p>
          <w:p>
            <w:pPr>
              <w:pStyle w:val="83"/>
              <w:spacing w:before="120"/>
              <w:rPr>
                <w:color w:val="auto"/>
              </w:rPr>
            </w:pPr>
            <w:r>
              <w:rPr>
                <w:rFonts w:hint="eastAsia"/>
                <w:color w:val="auto"/>
              </w:rPr>
              <w:t>表3-</w:t>
            </w:r>
            <w:r>
              <w:rPr>
                <w:rFonts w:hint="eastAsia"/>
                <w:color w:val="auto"/>
                <w:lang w:val="en-US" w:eastAsia="zh-CN"/>
              </w:rPr>
              <w:t>8</w:t>
            </w:r>
            <w:r>
              <w:rPr>
                <w:rFonts w:hint="eastAsia"/>
                <w:color w:val="auto"/>
              </w:rPr>
              <w:t xml:space="preserve">    大气污染物有组织预测排放量一览表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1689"/>
              <w:gridCol w:w="3382"/>
              <w:gridCol w:w="16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l2br w:val="nil"/>
                    <w:tr2bl w:val="nil"/>
                  </w:tcBorders>
                  <w:vAlign w:val="center"/>
                </w:tcPr>
                <w:p>
                  <w:pPr>
                    <w:spacing w:line="240" w:lineRule="auto"/>
                    <w:jc w:val="center"/>
                    <w:rPr>
                      <w:b/>
                      <w:bCs/>
                      <w:color w:val="auto"/>
                      <w:sz w:val="21"/>
                      <w:szCs w:val="21"/>
                    </w:rPr>
                  </w:pPr>
                  <w:r>
                    <w:rPr>
                      <w:b/>
                      <w:bCs/>
                      <w:color w:val="auto"/>
                      <w:sz w:val="21"/>
                      <w:szCs w:val="21"/>
                    </w:rPr>
                    <w:t>排气筒</w:t>
                  </w:r>
                </w:p>
              </w:tc>
              <w:tc>
                <w:tcPr>
                  <w:tcW w:w="999" w:type="pct"/>
                  <w:tcBorders>
                    <w:tl2br w:val="nil"/>
                    <w:tr2bl w:val="nil"/>
                  </w:tcBorders>
                  <w:vAlign w:val="center"/>
                </w:tcPr>
                <w:p>
                  <w:pPr>
                    <w:spacing w:line="240" w:lineRule="auto"/>
                    <w:jc w:val="center"/>
                    <w:rPr>
                      <w:b/>
                      <w:bCs/>
                      <w:color w:val="auto"/>
                      <w:sz w:val="21"/>
                      <w:szCs w:val="21"/>
                    </w:rPr>
                  </w:pPr>
                  <w:r>
                    <w:rPr>
                      <w:b/>
                      <w:bCs/>
                      <w:color w:val="auto"/>
                      <w:sz w:val="21"/>
                      <w:szCs w:val="21"/>
                    </w:rPr>
                    <w:t>污染因子</w:t>
                  </w:r>
                </w:p>
              </w:tc>
              <w:tc>
                <w:tcPr>
                  <w:tcW w:w="2001" w:type="pc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预测排放速率</w:t>
                  </w:r>
                  <w:r>
                    <w:rPr>
                      <w:b/>
                      <w:bCs/>
                      <w:color w:val="auto"/>
                      <w:sz w:val="21"/>
                      <w:szCs w:val="21"/>
                    </w:rPr>
                    <w:t>（</w:t>
                  </w:r>
                  <w:r>
                    <w:rPr>
                      <w:rFonts w:hint="eastAsia"/>
                      <w:b/>
                      <w:bCs/>
                      <w:color w:val="auto"/>
                      <w:sz w:val="21"/>
                      <w:szCs w:val="21"/>
                    </w:rPr>
                    <w:t>kg</w:t>
                  </w:r>
                  <w:r>
                    <w:rPr>
                      <w:b/>
                      <w:bCs/>
                      <w:color w:val="auto"/>
                      <w:sz w:val="21"/>
                      <w:szCs w:val="21"/>
                    </w:rPr>
                    <w:t>/h）</w:t>
                  </w:r>
                </w:p>
              </w:tc>
              <w:tc>
                <w:tcPr>
                  <w:tcW w:w="1000" w:type="pct"/>
                  <w:tcBorders>
                    <w:tl2br w:val="nil"/>
                    <w:tr2bl w:val="nil"/>
                  </w:tcBorders>
                  <w:vAlign w:val="center"/>
                </w:tcPr>
                <w:p>
                  <w:pPr>
                    <w:spacing w:line="240" w:lineRule="auto"/>
                    <w:jc w:val="center"/>
                    <w:rPr>
                      <w:b/>
                      <w:bCs/>
                      <w:color w:val="auto"/>
                      <w:sz w:val="21"/>
                      <w:szCs w:val="21"/>
                    </w:rPr>
                  </w:pPr>
                  <w:r>
                    <w:rPr>
                      <w:rFonts w:hint="eastAsia"/>
                      <w:b/>
                      <w:bCs/>
                      <w:color w:val="auto"/>
                      <w:sz w:val="21"/>
                      <w:szCs w:val="21"/>
                    </w:rPr>
                    <w:t>年</w:t>
                  </w:r>
                  <w:r>
                    <w:rPr>
                      <w:b/>
                      <w:bCs/>
                      <w:color w:val="auto"/>
                      <w:sz w:val="21"/>
                      <w:szCs w:val="21"/>
                    </w:rPr>
                    <w:t>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99" w:type="pct"/>
                  <w:tcBorders>
                    <w:tl2br w:val="nil"/>
                    <w:tr2bl w:val="nil"/>
                  </w:tcBorders>
                  <w:vAlign w:val="center"/>
                </w:tcPr>
                <w:p>
                  <w:pPr>
                    <w:spacing w:line="240" w:lineRule="auto"/>
                    <w:jc w:val="center"/>
                    <w:rPr>
                      <w:color w:val="auto"/>
                      <w:sz w:val="21"/>
                      <w:szCs w:val="21"/>
                    </w:rPr>
                  </w:pPr>
                  <w:r>
                    <w:rPr>
                      <w:color w:val="auto"/>
                      <w:sz w:val="21"/>
                      <w:szCs w:val="21"/>
                    </w:rPr>
                    <w:t>P</w:t>
                  </w:r>
                  <w:r>
                    <w:rPr>
                      <w:rFonts w:hint="eastAsia"/>
                      <w:color w:val="auto"/>
                      <w:sz w:val="21"/>
                      <w:szCs w:val="21"/>
                    </w:rPr>
                    <w:t>1</w:t>
                  </w:r>
                </w:p>
              </w:tc>
              <w:tc>
                <w:tcPr>
                  <w:tcW w:w="999" w:type="pct"/>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color w:val="auto"/>
                      <w:sz w:val="21"/>
                      <w:szCs w:val="21"/>
                    </w:rPr>
                    <w:t>VOCs</w:t>
                  </w:r>
                </w:p>
              </w:tc>
              <w:tc>
                <w:tcPr>
                  <w:tcW w:w="2001"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0.1981</w:t>
                  </w:r>
                </w:p>
              </w:tc>
              <w:tc>
                <w:tcPr>
                  <w:tcW w:w="1000" w:type="pct"/>
                  <w:tcBorders>
                    <w:tl2br w:val="nil"/>
                    <w:tr2bl w:val="nil"/>
                  </w:tcBorders>
                  <w:vAlign w:val="center"/>
                </w:tcPr>
                <w:p>
                  <w:pPr>
                    <w:pStyle w:val="84"/>
                    <w:ind w:firstLine="0" w:firstLineChars="0"/>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0.3716</w:t>
                  </w:r>
                </w:p>
              </w:tc>
            </w:tr>
          </w:tbl>
          <w:p>
            <w:pPr>
              <w:pStyle w:val="8"/>
              <w:numPr>
                <w:ilvl w:val="0"/>
                <w:numId w:val="8"/>
              </w:numPr>
              <w:ind w:firstLine="480"/>
              <w:rPr>
                <w:color w:val="auto"/>
              </w:rPr>
            </w:pPr>
            <w:r>
              <w:rPr>
                <w:rFonts w:hint="eastAsia"/>
                <w:color w:val="auto"/>
              </w:rPr>
              <w:t>标准</w:t>
            </w:r>
            <w:r>
              <w:rPr>
                <w:color w:val="auto"/>
              </w:rPr>
              <w:t>核定排放</w:t>
            </w:r>
            <w:r>
              <w:rPr>
                <w:rFonts w:hint="eastAsia"/>
                <w:color w:val="auto"/>
              </w:rPr>
              <w:t>总</w:t>
            </w:r>
            <w:r>
              <w:rPr>
                <w:color w:val="auto"/>
              </w:rPr>
              <w:t>量</w:t>
            </w:r>
          </w:p>
          <w:p>
            <w:pPr>
              <w:wordWrap w:val="0"/>
              <w:ind w:firstLine="480" w:firstLineChars="200"/>
              <w:rPr>
                <w:rStyle w:val="98"/>
                <w:color w:val="auto"/>
              </w:rPr>
            </w:pPr>
            <w:r>
              <w:rPr>
                <w:rFonts w:hint="eastAsia"/>
                <w:color w:val="auto"/>
              </w:rPr>
              <w:t xml:space="preserve">根据工程分析，通过P1排气筒排放非甲烷总烃、TRVOC执行《工业企业挥发性有机物排放控制标准》（DB12/524-2020）中表 </w:t>
            </w:r>
            <w:r>
              <w:rPr>
                <w:rFonts w:hint="eastAsia"/>
                <w:color w:val="auto"/>
                <w:lang w:val="en-US" w:eastAsia="zh-CN"/>
              </w:rPr>
              <w:t>1</w:t>
            </w:r>
            <w:r>
              <w:rPr>
                <w:rFonts w:hint="eastAsia"/>
                <w:color w:val="auto"/>
              </w:rPr>
              <w:t>“</w:t>
            </w:r>
            <w:r>
              <w:rPr>
                <w:rFonts w:hint="eastAsia"/>
                <w:color w:val="auto"/>
                <w:lang w:eastAsia="zh-CN"/>
              </w:rPr>
              <w:t>其他行业</w:t>
            </w:r>
            <w:r>
              <w:rPr>
                <w:rFonts w:hint="eastAsia"/>
                <w:color w:val="auto"/>
              </w:rPr>
              <w:t>”的标准限值。</w:t>
            </w:r>
          </w:p>
          <w:p>
            <w:pPr>
              <w:ind w:firstLine="480" w:firstLineChars="200"/>
              <w:rPr>
                <w:color w:val="auto"/>
              </w:rPr>
            </w:pPr>
            <w:r>
              <w:rPr>
                <w:rFonts w:hint="eastAsia"/>
                <w:color w:val="auto"/>
              </w:rPr>
              <w:t>P1排气筒</w:t>
            </w:r>
            <w:r>
              <w:rPr>
                <w:color w:val="auto"/>
              </w:rPr>
              <w:t>TRVOC排放量：</w:t>
            </w:r>
            <w:r>
              <w:rPr>
                <w:rFonts w:hint="eastAsia"/>
                <w:color w:val="auto"/>
                <w:lang w:val="en-US" w:eastAsia="zh-CN"/>
              </w:rPr>
              <w:t>60</w:t>
            </w:r>
            <w:r>
              <w:rPr>
                <w:color w:val="auto"/>
              </w:rPr>
              <w:t>mg/m</w:t>
            </w:r>
            <w:r>
              <w:rPr>
                <w:color w:val="auto"/>
                <w:vertAlign w:val="superscript"/>
              </w:rPr>
              <w:t>3</w:t>
            </w:r>
            <w:r>
              <w:rPr>
                <w:color w:val="auto"/>
              </w:rPr>
              <w:t>×</w:t>
            </w:r>
            <w:r>
              <w:rPr>
                <w:rFonts w:hint="eastAsia"/>
                <w:color w:val="auto"/>
                <w:lang w:val="en-US" w:eastAsia="zh-CN"/>
              </w:rPr>
              <w:t>23</w:t>
            </w:r>
            <w:r>
              <w:rPr>
                <w:rFonts w:hint="eastAsia"/>
                <w:color w:val="auto"/>
              </w:rPr>
              <w:t>000</w:t>
            </w:r>
            <w:r>
              <w:rPr>
                <w:color w:val="auto"/>
              </w:rPr>
              <w:t>m</w:t>
            </w:r>
            <w:r>
              <w:rPr>
                <w:color w:val="auto"/>
                <w:vertAlign w:val="superscript"/>
              </w:rPr>
              <w:t>3</w:t>
            </w:r>
            <w:r>
              <w:rPr>
                <w:color w:val="auto"/>
              </w:rPr>
              <w:t>/h×</w:t>
            </w:r>
            <w:r>
              <w:rPr>
                <w:rFonts w:hint="eastAsia"/>
                <w:color w:val="auto"/>
                <w:lang w:val="en-US" w:eastAsia="zh-CN"/>
              </w:rPr>
              <w:t>1250</w:t>
            </w:r>
            <w:r>
              <w:rPr>
                <w:color w:val="auto"/>
              </w:rPr>
              <w:t>h/a×10</w:t>
            </w:r>
            <w:r>
              <w:rPr>
                <w:color w:val="auto"/>
                <w:vertAlign w:val="superscript"/>
              </w:rPr>
              <w:t>-9</w:t>
            </w:r>
            <w:r>
              <w:rPr>
                <w:color w:val="auto"/>
              </w:rPr>
              <w:t>=</w:t>
            </w:r>
            <w:r>
              <w:rPr>
                <w:rFonts w:hint="eastAsia"/>
                <w:color w:val="auto"/>
                <w:lang w:val="en-US" w:eastAsia="zh-CN"/>
              </w:rPr>
              <w:t>1.725</w:t>
            </w:r>
            <w:r>
              <w:rPr>
                <w:color w:val="auto"/>
              </w:rPr>
              <w:t>t/a</w:t>
            </w:r>
          </w:p>
          <w:p>
            <w:pPr>
              <w:ind w:firstLine="480" w:firstLineChars="200"/>
              <w:rPr>
                <w:color w:val="auto"/>
              </w:rPr>
            </w:pPr>
            <w:r>
              <w:rPr>
                <w:rFonts w:hint="eastAsia"/>
                <w:color w:val="auto"/>
                <w:lang w:val="en-US" w:eastAsia="zh-CN"/>
              </w:rPr>
              <w:t>按排放速率标准计算</w:t>
            </w:r>
            <w:r>
              <w:rPr>
                <w:rFonts w:hint="eastAsia"/>
                <w:color w:val="auto"/>
              </w:rPr>
              <w:t>P1排气筒</w:t>
            </w:r>
            <w:r>
              <w:rPr>
                <w:color w:val="auto"/>
              </w:rPr>
              <w:t>TRVOC排放量：</w:t>
            </w:r>
            <w:r>
              <w:rPr>
                <w:rFonts w:hint="eastAsia"/>
                <w:color w:val="auto"/>
                <w:lang w:val="en-US" w:eastAsia="zh-CN"/>
              </w:rPr>
              <w:t>4.1kg</w:t>
            </w:r>
            <w:r>
              <w:rPr>
                <w:color w:val="auto"/>
              </w:rPr>
              <w:t>/h×</w:t>
            </w:r>
            <w:r>
              <w:rPr>
                <w:rFonts w:hint="eastAsia"/>
                <w:color w:val="auto"/>
                <w:lang w:val="en-US" w:eastAsia="zh-CN"/>
              </w:rPr>
              <w:t>125</w:t>
            </w:r>
            <w:r>
              <w:rPr>
                <w:color w:val="auto"/>
              </w:rPr>
              <w:t>0h/a×10</w:t>
            </w:r>
            <w:r>
              <w:rPr>
                <w:color w:val="auto"/>
                <w:vertAlign w:val="superscript"/>
              </w:rPr>
              <w:t>-</w:t>
            </w:r>
            <w:r>
              <w:rPr>
                <w:rFonts w:hint="eastAsia"/>
                <w:color w:val="auto"/>
                <w:vertAlign w:val="superscript"/>
                <w:lang w:val="en-US" w:eastAsia="zh-CN"/>
              </w:rPr>
              <w:t>3</w:t>
            </w:r>
            <w:r>
              <w:rPr>
                <w:color w:val="auto"/>
              </w:rPr>
              <w:t>=</w:t>
            </w:r>
            <w:r>
              <w:rPr>
                <w:rFonts w:hint="eastAsia"/>
                <w:color w:val="auto"/>
                <w:lang w:val="en-US" w:eastAsia="zh-CN"/>
              </w:rPr>
              <w:t>5.125</w:t>
            </w:r>
            <w:r>
              <w:rPr>
                <w:color w:val="auto"/>
              </w:rPr>
              <w:t>t/a</w:t>
            </w:r>
          </w:p>
          <w:p>
            <w:pPr>
              <w:pStyle w:val="83"/>
              <w:spacing w:before="120"/>
              <w:rPr>
                <w:color w:val="auto"/>
              </w:rPr>
            </w:pPr>
            <w:r>
              <w:rPr>
                <w:rFonts w:hint="eastAsia"/>
                <w:color w:val="auto"/>
              </w:rPr>
              <w:t>表3-</w:t>
            </w:r>
            <w:r>
              <w:rPr>
                <w:rFonts w:hint="eastAsia"/>
                <w:color w:val="auto"/>
                <w:lang w:val="en-US" w:eastAsia="zh-CN"/>
              </w:rPr>
              <w:t>9</w:t>
            </w:r>
            <w:r>
              <w:rPr>
                <w:rFonts w:hint="eastAsia"/>
                <w:color w:val="auto"/>
              </w:rPr>
              <w:t xml:space="preserve">   大气污染物有组织核定排放量一览表</w:t>
            </w:r>
          </w:p>
          <w:tbl>
            <w:tblPr>
              <w:tblStyle w:val="30"/>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3"/>
              <w:gridCol w:w="1071"/>
              <w:gridCol w:w="1153"/>
              <w:gridCol w:w="1219"/>
              <w:gridCol w:w="2790"/>
              <w:gridCol w:w="14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tcBorders>
                    <w:tl2br w:val="nil"/>
                    <w:tr2bl w:val="nil"/>
                  </w:tcBorders>
                  <w:vAlign w:val="center"/>
                </w:tcPr>
                <w:p>
                  <w:pPr>
                    <w:spacing w:line="240" w:lineRule="auto"/>
                    <w:jc w:val="center"/>
                    <w:rPr>
                      <w:b/>
                      <w:bCs/>
                      <w:color w:val="auto"/>
                      <w:sz w:val="21"/>
                      <w:szCs w:val="21"/>
                    </w:rPr>
                  </w:pPr>
                  <w:r>
                    <w:rPr>
                      <w:b/>
                      <w:bCs/>
                      <w:color w:val="auto"/>
                      <w:sz w:val="21"/>
                      <w:szCs w:val="21"/>
                    </w:rPr>
                    <w:t>排气筒</w:t>
                  </w:r>
                </w:p>
              </w:tc>
              <w:tc>
                <w:tcPr>
                  <w:tcW w:w="1071" w:type="dxa"/>
                  <w:vMerge w:val="restart"/>
                  <w:tcBorders>
                    <w:tl2br w:val="nil"/>
                    <w:tr2bl w:val="nil"/>
                  </w:tcBorders>
                  <w:vAlign w:val="center"/>
                </w:tcPr>
                <w:p>
                  <w:pPr>
                    <w:spacing w:line="240" w:lineRule="auto"/>
                    <w:jc w:val="center"/>
                    <w:rPr>
                      <w:b/>
                      <w:bCs/>
                      <w:color w:val="auto"/>
                      <w:sz w:val="21"/>
                      <w:szCs w:val="21"/>
                    </w:rPr>
                  </w:pPr>
                  <w:r>
                    <w:rPr>
                      <w:b/>
                      <w:bCs/>
                      <w:color w:val="auto"/>
                      <w:sz w:val="21"/>
                      <w:szCs w:val="21"/>
                    </w:rPr>
                    <w:t>污染因子</w:t>
                  </w:r>
                </w:p>
              </w:tc>
              <w:tc>
                <w:tcPr>
                  <w:tcW w:w="1153" w:type="dxa"/>
                  <w:vMerge w:val="restart"/>
                  <w:tcBorders>
                    <w:tl2br w:val="nil"/>
                    <w:tr2bl w:val="nil"/>
                  </w:tcBorders>
                  <w:vAlign w:val="center"/>
                </w:tcPr>
                <w:p>
                  <w:pPr>
                    <w:spacing w:line="240" w:lineRule="auto"/>
                    <w:jc w:val="center"/>
                    <w:rPr>
                      <w:b/>
                      <w:bCs/>
                      <w:color w:val="auto"/>
                      <w:sz w:val="21"/>
                      <w:szCs w:val="21"/>
                    </w:rPr>
                  </w:pPr>
                  <w:r>
                    <w:rPr>
                      <w:b/>
                      <w:bCs/>
                      <w:color w:val="auto"/>
                      <w:sz w:val="21"/>
                      <w:szCs w:val="21"/>
                    </w:rPr>
                    <w:t>废气量（m</w:t>
                  </w:r>
                  <w:r>
                    <w:rPr>
                      <w:b/>
                      <w:bCs/>
                      <w:color w:val="auto"/>
                      <w:sz w:val="21"/>
                      <w:szCs w:val="21"/>
                      <w:vertAlign w:val="superscript"/>
                    </w:rPr>
                    <w:t>3</w:t>
                  </w:r>
                  <w:r>
                    <w:rPr>
                      <w:b/>
                      <w:bCs/>
                      <w:color w:val="auto"/>
                      <w:sz w:val="21"/>
                      <w:szCs w:val="21"/>
                    </w:rPr>
                    <w:t>/h）</w:t>
                  </w:r>
                </w:p>
              </w:tc>
              <w:tc>
                <w:tcPr>
                  <w:tcW w:w="1219" w:type="dxa"/>
                  <w:vMerge w:val="restart"/>
                  <w:tcBorders>
                    <w:tl2br w:val="nil"/>
                    <w:tr2bl w:val="nil"/>
                  </w:tcBorders>
                  <w:vAlign w:val="center"/>
                </w:tcPr>
                <w:p>
                  <w:pPr>
                    <w:spacing w:line="240" w:lineRule="auto"/>
                    <w:jc w:val="center"/>
                    <w:rPr>
                      <w:b/>
                      <w:bCs/>
                      <w:color w:val="auto"/>
                      <w:sz w:val="21"/>
                      <w:szCs w:val="21"/>
                    </w:rPr>
                  </w:pPr>
                  <w:r>
                    <w:rPr>
                      <w:b/>
                      <w:bCs/>
                      <w:color w:val="auto"/>
                      <w:sz w:val="21"/>
                      <w:szCs w:val="21"/>
                    </w:rPr>
                    <w:t>年工作时间（h）</w:t>
                  </w:r>
                </w:p>
              </w:tc>
              <w:tc>
                <w:tcPr>
                  <w:tcW w:w="4208" w:type="dxa"/>
                  <w:gridSpan w:val="2"/>
                  <w:tcBorders>
                    <w:tl2br w:val="nil"/>
                    <w:tr2bl w:val="nil"/>
                  </w:tcBorders>
                  <w:vAlign w:val="center"/>
                </w:tcPr>
                <w:p>
                  <w:pPr>
                    <w:spacing w:line="240" w:lineRule="auto"/>
                    <w:jc w:val="center"/>
                    <w:rPr>
                      <w:b/>
                      <w:bCs/>
                      <w:color w:val="auto"/>
                      <w:sz w:val="21"/>
                      <w:szCs w:val="21"/>
                    </w:rPr>
                  </w:pPr>
                  <w:r>
                    <w:rPr>
                      <w:b/>
                      <w:bCs/>
                      <w:color w:val="auto"/>
                      <w:sz w:val="21"/>
                      <w:szCs w:val="21"/>
                    </w:rPr>
                    <w:t>达标排放量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tcBorders>
                    <w:tl2br w:val="nil"/>
                    <w:tr2bl w:val="nil"/>
                  </w:tcBorders>
                  <w:vAlign w:val="center"/>
                </w:tcPr>
                <w:p>
                  <w:pPr>
                    <w:spacing w:line="240" w:lineRule="auto"/>
                    <w:jc w:val="center"/>
                    <w:rPr>
                      <w:b/>
                      <w:bCs/>
                      <w:color w:val="auto"/>
                      <w:sz w:val="21"/>
                      <w:szCs w:val="21"/>
                    </w:rPr>
                  </w:pPr>
                </w:p>
              </w:tc>
              <w:tc>
                <w:tcPr>
                  <w:tcW w:w="1071" w:type="dxa"/>
                  <w:vMerge w:val="continue"/>
                  <w:tcBorders>
                    <w:tl2br w:val="nil"/>
                    <w:tr2bl w:val="nil"/>
                  </w:tcBorders>
                  <w:vAlign w:val="center"/>
                </w:tcPr>
                <w:p>
                  <w:pPr>
                    <w:spacing w:line="240" w:lineRule="auto"/>
                    <w:jc w:val="center"/>
                    <w:rPr>
                      <w:b/>
                      <w:bCs/>
                      <w:color w:val="auto"/>
                      <w:sz w:val="21"/>
                      <w:szCs w:val="21"/>
                    </w:rPr>
                  </w:pPr>
                </w:p>
              </w:tc>
              <w:tc>
                <w:tcPr>
                  <w:tcW w:w="1153" w:type="dxa"/>
                  <w:vMerge w:val="continue"/>
                  <w:tcBorders>
                    <w:tl2br w:val="nil"/>
                    <w:tr2bl w:val="nil"/>
                  </w:tcBorders>
                  <w:vAlign w:val="center"/>
                </w:tcPr>
                <w:p>
                  <w:pPr>
                    <w:spacing w:line="240" w:lineRule="auto"/>
                    <w:jc w:val="center"/>
                    <w:rPr>
                      <w:b/>
                      <w:bCs/>
                      <w:color w:val="auto"/>
                      <w:sz w:val="21"/>
                      <w:szCs w:val="21"/>
                    </w:rPr>
                  </w:pPr>
                </w:p>
              </w:tc>
              <w:tc>
                <w:tcPr>
                  <w:tcW w:w="1219" w:type="dxa"/>
                  <w:vMerge w:val="continue"/>
                  <w:tcBorders>
                    <w:tl2br w:val="nil"/>
                    <w:tr2bl w:val="nil"/>
                  </w:tcBorders>
                  <w:vAlign w:val="center"/>
                </w:tcPr>
                <w:p>
                  <w:pPr>
                    <w:spacing w:line="240" w:lineRule="auto"/>
                    <w:jc w:val="center"/>
                    <w:rPr>
                      <w:b/>
                      <w:bCs/>
                      <w:color w:val="auto"/>
                      <w:sz w:val="21"/>
                      <w:szCs w:val="21"/>
                    </w:rPr>
                  </w:pPr>
                </w:p>
              </w:tc>
              <w:tc>
                <w:tcPr>
                  <w:tcW w:w="2790" w:type="dxa"/>
                  <w:tcBorders>
                    <w:tl2br w:val="nil"/>
                    <w:tr2bl w:val="nil"/>
                  </w:tcBorders>
                  <w:vAlign w:val="center"/>
                </w:tcPr>
                <w:p>
                  <w:pPr>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标准值</w:t>
                  </w:r>
                </w:p>
              </w:tc>
              <w:tc>
                <w:tcPr>
                  <w:tcW w:w="1418" w:type="dxa"/>
                  <w:tcBorders>
                    <w:tl2br w:val="nil"/>
                    <w:tr2bl w:val="nil"/>
                  </w:tcBorders>
                  <w:vAlign w:val="center"/>
                </w:tcPr>
                <w:p>
                  <w:pPr>
                    <w:spacing w:line="240" w:lineRule="auto"/>
                    <w:jc w:val="center"/>
                    <w:rPr>
                      <w:b/>
                      <w:bCs/>
                      <w:color w:val="auto"/>
                      <w:sz w:val="21"/>
                      <w:szCs w:val="21"/>
                    </w:rPr>
                  </w:pPr>
                  <w:r>
                    <w:rPr>
                      <w:b/>
                      <w:bCs/>
                      <w:color w:val="auto"/>
                      <w:sz w:val="21"/>
                      <w:szCs w:val="21"/>
                    </w:rPr>
                    <w:t>核定排放量（t/a）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restart"/>
                  <w:tcBorders>
                    <w:tl2br w:val="nil"/>
                    <w:tr2bl w:val="nil"/>
                  </w:tcBorders>
                  <w:vAlign w:val="center"/>
                </w:tcPr>
                <w:p>
                  <w:pPr>
                    <w:spacing w:line="240" w:lineRule="auto"/>
                    <w:jc w:val="center"/>
                    <w:rPr>
                      <w:color w:val="auto"/>
                      <w:sz w:val="21"/>
                      <w:szCs w:val="21"/>
                    </w:rPr>
                  </w:pPr>
                  <w:r>
                    <w:rPr>
                      <w:color w:val="auto"/>
                      <w:sz w:val="21"/>
                      <w:szCs w:val="21"/>
                    </w:rPr>
                    <w:t>P</w:t>
                  </w:r>
                  <w:r>
                    <w:rPr>
                      <w:rFonts w:hint="eastAsia"/>
                      <w:color w:val="auto"/>
                      <w:sz w:val="21"/>
                      <w:szCs w:val="21"/>
                    </w:rPr>
                    <w:t>1</w:t>
                  </w:r>
                </w:p>
              </w:tc>
              <w:tc>
                <w:tcPr>
                  <w:tcW w:w="1071" w:type="dxa"/>
                  <w:vMerge w:val="restart"/>
                  <w:tcBorders>
                    <w:tl2br w:val="nil"/>
                    <w:tr2bl w:val="nil"/>
                  </w:tcBorders>
                  <w:vAlign w:val="center"/>
                </w:tcPr>
                <w:p>
                  <w:pPr>
                    <w:spacing w:line="240" w:lineRule="auto"/>
                    <w:jc w:val="center"/>
                    <w:rPr>
                      <w:color w:val="auto"/>
                      <w:sz w:val="21"/>
                      <w:szCs w:val="21"/>
                    </w:rPr>
                  </w:pPr>
                  <w:r>
                    <w:rPr>
                      <w:color w:val="auto"/>
                      <w:sz w:val="21"/>
                      <w:szCs w:val="21"/>
                    </w:rPr>
                    <w:t>VOCs</w:t>
                  </w:r>
                </w:p>
              </w:tc>
              <w:tc>
                <w:tcPr>
                  <w:tcW w:w="1153" w:type="dxa"/>
                  <w:tcBorders>
                    <w:tl2br w:val="nil"/>
                    <w:tr2bl w:val="nil"/>
                  </w:tcBorders>
                  <w:vAlign w:val="center"/>
                </w:tcPr>
                <w:p>
                  <w:pPr>
                    <w:spacing w:line="240" w:lineRule="auto"/>
                    <w:jc w:val="center"/>
                    <w:rPr>
                      <w:rFonts w:hint="default"/>
                      <w:color w:val="auto"/>
                      <w:sz w:val="21"/>
                      <w:szCs w:val="21"/>
                      <w:lang w:val="en-US"/>
                    </w:rPr>
                  </w:pPr>
                  <w:r>
                    <w:rPr>
                      <w:rFonts w:hint="eastAsia"/>
                      <w:color w:val="auto"/>
                      <w:sz w:val="21"/>
                      <w:szCs w:val="21"/>
                      <w:lang w:val="en-US" w:eastAsia="zh-CN"/>
                    </w:rPr>
                    <w:t>23000</w:t>
                  </w:r>
                </w:p>
              </w:tc>
              <w:tc>
                <w:tcPr>
                  <w:tcW w:w="1219" w:type="dxa"/>
                  <w:tcBorders>
                    <w:tl2br w:val="nil"/>
                    <w:tr2bl w:val="nil"/>
                  </w:tcBorders>
                  <w:vAlign w:val="center"/>
                </w:tcPr>
                <w:p>
                  <w:pPr>
                    <w:spacing w:line="240" w:lineRule="auto"/>
                    <w:jc w:val="center"/>
                    <w:rPr>
                      <w:rFonts w:hint="default"/>
                      <w:color w:val="auto"/>
                      <w:sz w:val="21"/>
                      <w:szCs w:val="21"/>
                      <w:lang w:val="en-US"/>
                    </w:rPr>
                  </w:pPr>
                  <w:r>
                    <w:rPr>
                      <w:rFonts w:hint="eastAsia"/>
                      <w:color w:val="auto"/>
                      <w:sz w:val="21"/>
                      <w:szCs w:val="21"/>
                      <w:lang w:val="en-US" w:eastAsia="zh-CN"/>
                    </w:rPr>
                    <w:t>1250</w:t>
                  </w:r>
                </w:p>
              </w:tc>
              <w:tc>
                <w:tcPr>
                  <w:tcW w:w="2790" w:type="dxa"/>
                  <w:tcBorders>
                    <w:tl2br w:val="nil"/>
                    <w:tr2bl w:val="nil"/>
                  </w:tcBorders>
                  <w:vAlign w:val="center"/>
                </w:tcPr>
                <w:p>
                  <w:pPr>
                    <w:pStyle w:val="84"/>
                    <w:rPr>
                      <w:rFonts w:hint="default" w:eastAsia="宋体"/>
                      <w:color w:val="auto"/>
                      <w:szCs w:val="21"/>
                      <w:lang w:val="en-US" w:eastAsia="zh-CN"/>
                    </w:rPr>
                  </w:pPr>
                  <w:r>
                    <w:rPr>
                      <w:b w:val="0"/>
                      <w:bCs w:val="0"/>
                      <w:color w:val="auto"/>
                      <w:sz w:val="21"/>
                      <w:szCs w:val="21"/>
                    </w:rPr>
                    <w:t>标准</w:t>
                  </w:r>
                  <w:r>
                    <w:rPr>
                      <w:rFonts w:hint="eastAsia"/>
                      <w:b w:val="0"/>
                      <w:bCs w:val="0"/>
                      <w:color w:val="auto"/>
                      <w:sz w:val="21"/>
                      <w:szCs w:val="21"/>
                      <w:lang w:val="en-US" w:eastAsia="zh-CN"/>
                    </w:rPr>
                    <w:t>排放</w:t>
                  </w:r>
                  <w:r>
                    <w:rPr>
                      <w:b w:val="0"/>
                      <w:bCs w:val="0"/>
                      <w:color w:val="auto"/>
                      <w:sz w:val="21"/>
                      <w:szCs w:val="21"/>
                    </w:rPr>
                    <w:t>浓度</w:t>
                  </w:r>
                  <w:r>
                    <w:rPr>
                      <w:rFonts w:hint="eastAsia"/>
                      <w:b w:val="0"/>
                      <w:bCs w:val="0"/>
                      <w:color w:val="auto"/>
                      <w:sz w:val="21"/>
                      <w:szCs w:val="21"/>
                      <w:lang w:val="en-US" w:eastAsia="zh-CN"/>
                    </w:rPr>
                    <w:t>60</w:t>
                  </w:r>
                  <w:r>
                    <w:rPr>
                      <w:b w:val="0"/>
                      <w:bCs w:val="0"/>
                      <w:color w:val="auto"/>
                      <w:sz w:val="21"/>
                      <w:szCs w:val="21"/>
                    </w:rPr>
                    <w:t>mg/m</w:t>
                  </w:r>
                  <w:r>
                    <w:rPr>
                      <w:b w:val="0"/>
                      <w:bCs w:val="0"/>
                      <w:color w:val="auto"/>
                      <w:sz w:val="21"/>
                      <w:szCs w:val="21"/>
                      <w:vertAlign w:val="superscript"/>
                    </w:rPr>
                    <w:t>3</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1.725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3" w:type="dxa"/>
                  <w:vMerge w:val="continue"/>
                  <w:tcBorders>
                    <w:tl2br w:val="nil"/>
                    <w:tr2bl w:val="nil"/>
                  </w:tcBorders>
                  <w:vAlign w:val="center"/>
                </w:tcPr>
                <w:p>
                  <w:pPr>
                    <w:spacing w:line="240" w:lineRule="auto"/>
                    <w:jc w:val="center"/>
                    <w:rPr>
                      <w:color w:val="auto"/>
                      <w:sz w:val="21"/>
                      <w:szCs w:val="21"/>
                    </w:rPr>
                  </w:pPr>
                </w:p>
              </w:tc>
              <w:tc>
                <w:tcPr>
                  <w:tcW w:w="1071" w:type="dxa"/>
                  <w:vMerge w:val="continue"/>
                  <w:tcBorders>
                    <w:tl2br w:val="nil"/>
                    <w:tr2bl w:val="nil"/>
                  </w:tcBorders>
                  <w:vAlign w:val="center"/>
                </w:tcPr>
                <w:p>
                  <w:pPr>
                    <w:spacing w:line="240" w:lineRule="auto"/>
                    <w:jc w:val="center"/>
                    <w:rPr>
                      <w:color w:val="auto"/>
                      <w:sz w:val="21"/>
                      <w:szCs w:val="21"/>
                    </w:rPr>
                  </w:pPr>
                </w:p>
              </w:tc>
              <w:tc>
                <w:tcPr>
                  <w:tcW w:w="1153" w:type="dxa"/>
                  <w:tcBorders>
                    <w:tl2br w:val="nil"/>
                    <w:tr2bl w:val="nil"/>
                  </w:tcBorders>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w:t>
                  </w:r>
                </w:p>
              </w:tc>
              <w:tc>
                <w:tcPr>
                  <w:tcW w:w="1219" w:type="dxa"/>
                  <w:tcBorders>
                    <w:tl2br w:val="nil"/>
                    <w:tr2bl w:val="nil"/>
                  </w:tcBorders>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1250</w:t>
                  </w:r>
                </w:p>
              </w:tc>
              <w:tc>
                <w:tcPr>
                  <w:tcW w:w="2790" w:type="dxa"/>
                  <w:tcBorders>
                    <w:tl2br w:val="nil"/>
                    <w:tr2bl w:val="nil"/>
                  </w:tcBorders>
                  <w:vAlign w:val="center"/>
                </w:tcPr>
                <w:p>
                  <w:pPr>
                    <w:pStyle w:val="84"/>
                    <w:rPr>
                      <w:rFonts w:hint="default"/>
                      <w:color w:val="auto"/>
                      <w:szCs w:val="21"/>
                      <w:lang w:val="en-US" w:eastAsia="zh-CN"/>
                    </w:rPr>
                  </w:pPr>
                  <w:r>
                    <w:rPr>
                      <w:rFonts w:hint="eastAsia"/>
                      <w:color w:val="auto"/>
                      <w:szCs w:val="21"/>
                      <w:lang w:val="en-US" w:eastAsia="zh-CN"/>
                    </w:rPr>
                    <w:t>标准排放速率4.1kg/h</w:t>
                  </w:r>
                </w:p>
              </w:tc>
              <w:tc>
                <w:tcPr>
                  <w:tcW w:w="141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color w:val="auto"/>
                      <w:sz w:val="21"/>
                      <w:szCs w:val="21"/>
                      <w:lang w:val="en-US" w:eastAsia="zh-CN"/>
                    </w:rPr>
                  </w:pPr>
                  <w:r>
                    <w:rPr>
                      <w:rFonts w:hint="eastAsia"/>
                      <w:color w:val="auto"/>
                      <w:sz w:val="21"/>
                      <w:szCs w:val="21"/>
                      <w:lang w:val="en-US" w:eastAsia="zh-CN"/>
                    </w:rPr>
                    <w:t>5.125</w:t>
                  </w:r>
                </w:p>
              </w:tc>
            </w:tr>
          </w:tbl>
          <w:p>
            <w:pPr>
              <w:pStyle w:val="83"/>
              <w:spacing w:before="120"/>
              <w:rPr>
                <w:bCs/>
                <w:color w:val="auto"/>
              </w:rPr>
            </w:pPr>
            <w:r>
              <w:rPr>
                <w:color w:val="auto"/>
              </w:rPr>
              <w:t>表</w:t>
            </w:r>
            <w:r>
              <w:rPr>
                <w:rFonts w:hint="eastAsia"/>
                <w:color w:val="auto"/>
              </w:rPr>
              <w:t>3-</w:t>
            </w:r>
            <w:r>
              <w:rPr>
                <w:rFonts w:hint="eastAsia"/>
                <w:color w:val="auto"/>
                <w:lang w:val="en-US" w:eastAsia="zh-CN"/>
              </w:rPr>
              <w:t>10</w:t>
            </w:r>
            <w:r>
              <w:rPr>
                <w:rFonts w:hint="eastAsia"/>
                <w:color w:val="auto"/>
              </w:rPr>
              <w:t xml:space="preserve">  </w:t>
            </w:r>
            <w:r>
              <w:rPr>
                <w:color w:val="auto"/>
              </w:rPr>
              <w:t xml:space="preserve"> 本项目污染物排放总量控制建议指标  单位t/a</w:t>
            </w:r>
          </w:p>
          <w:tbl>
            <w:tblPr>
              <w:tblStyle w:val="29"/>
              <w:tblW w:w="8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895"/>
              <w:gridCol w:w="1557"/>
              <w:gridCol w:w="1903"/>
              <w:gridCol w:w="2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spacing w:line="240" w:lineRule="auto"/>
                    <w:jc w:val="center"/>
                    <w:rPr>
                      <w:b/>
                      <w:bCs/>
                      <w:color w:val="auto"/>
                      <w:sz w:val="21"/>
                      <w:szCs w:val="21"/>
                    </w:rPr>
                  </w:pPr>
                  <w:r>
                    <w:rPr>
                      <w:b/>
                      <w:bCs/>
                      <w:color w:val="auto"/>
                      <w:sz w:val="21"/>
                      <w:szCs w:val="21"/>
                    </w:rPr>
                    <w:t>种类</w:t>
                  </w:r>
                </w:p>
              </w:tc>
              <w:tc>
                <w:tcPr>
                  <w:tcW w:w="1895" w:type="dxa"/>
                  <w:tcBorders>
                    <w:tl2br w:val="nil"/>
                    <w:tr2bl w:val="nil"/>
                  </w:tcBorders>
                  <w:vAlign w:val="center"/>
                </w:tcPr>
                <w:p>
                  <w:pPr>
                    <w:spacing w:line="240" w:lineRule="auto"/>
                    <w:jc w:val="center"/>
                    <w:rPr>
                      <w:b/>
                      <w:bCs/>
                      <w:color w:val="auto"/>
                      <w:sz w:val="21"/>
                      <w:szCs w:val="21"/>
                    </w:rPr>
                  </w:pPr>
                  <w:r>
                    <w:rPr>
                      <w:b/>
                      <w:bCs/>
                      <w:color w:val="auto"/>
                      <w:sz w:val="21"/>
                      <w:szCs w:val="21"/>
                    </w:rPr>
                    <w:t>污染物名称</w:t>
                  </w:r>
                </w:p>
              </w:tc>
              <w:tc>
                <w:tcPr>
                  <w:tcW w:w="1557" w:type="dxa"/>
                  <w:tcBorders>
                    <w:tl2br w:val="nil"/>
                    <w:tr2bl w:val="nil"/>
                  </w:tcBorders>
                  <w:vAlign w:val="center"/>
                </w:tcPr>
                <w:p>
                  <w:pPr>
                    <w:spacing w:line="240" w:lineRule="auto"/>
                    <w:jc w:val="center"/>
                    <w:rPr>
                      <w:b/>
                      <w:bCs/>
                      <w:color w:val="auto"/>
                      <w:sz w:val="21"/>
                      <w:szCs w:val="21"/>
                    </w:rPr>
                  </w:pPr>
                  <w:r>
                    <w:rPr>
                      <w:b/>
                      <w:bCs/>
                      <w:color w:val="auto"/>
                      <w:sz w:val="21"/>
                      <w:szCs w:val="21"/>
                    </w:rPr>
                    <w:t>预测排放量</w:t>
                  </w:r>
                </w:p>
              </w:tc>
              <w:tc>
                <w:tcPr>
                  <w:tcW w:w="1903" w:type="dxa"/>
                  <w:tcBorders>
                    <w:tl2br w:val="nil"/>
                    <w:tr2bl w:val="nil"/>
                  </w:tcBorders>
                  <w:vAlign w:val="center"/>
                </w:tcPr>
                <w:p>
                  <w:pPr>
                    <w:spacing w:line="240" w:lineRule="auto"/>
                    <w:jc w:val="center"/>
                    <w:rPr>
                      <w:b/>
                      <w:bCs/>
                      <w:color w:val="auto"/>
                      <w:sz w:val="21"/>
                      <w:szCs w:val="21"/>
                    </w:rPr>
                  </w:pPr>
                  <w:r>
                    <w:rPr>
                      <w:b/>
                      <w:bCs/>
                      <w:color w:val="auto"/>
                      <w:sz w:val="21"/>
                      <w:szCs w:val="21"/>
                    </w:rPr>
                    <w:t>核定排放量</w:t>
                  </w:r>
                </w:p>
              </w:tc>
              <w:tc>
                <w:tcPr>
                  <w:tcW w:w="2416" w:type="dxa"/>
                  <w:tcBorders>
                    <w:tl2br w:val="nil"/>
                    <w:tr2bl w:val="nil"/>
                  </w:tcBorders>
                  <w:vAlign w:val="center"/>
                </w:tcPr>
                <w:p>
                  <w:pPr>
                    <w:spacing w:line="240" w:lineRule="auto"/>
                    <w:jc w:val="center"/>
                    <w:rPr>
                      <w:b/>
                      <w:bCs/>
                      <w:color w:val="auto"/>
                      <w:sz w:val="21"/>
                      <w:szCs w:val="21"/>
                    </w:rPr>
                  </w:pPr>
                  <w:r>
                    <w:rPr>
                      <w:b/>
                      <w:bCs/>
                      <w:color w:val="auto"/>
                      <w:sz w:val="21"/>
                      <w:szCs w:val="21"/>
                    </w:rPr>
                    <w:t>最终排入环境的量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restart"/>
                  <w:tcBorders>
                    <w:tl2br w:val="nil"/>
                    <w:tr2bl w:val="nil"/>
                  </w:tcBorders>
                  <w:vAlign w:val="center"/>
                </w:tcPr>
                <w:p>
                  <w:pPr>
                    <w:spacing w:line="240" w:lineRule="auto"/>
                    <w:jc w:val="center"/>
                    <w:rPr>
                      <w:color w:val="auto"/>
                      <w:sz w:val="21"/>
                      <w:szCs w:val="21"/>
                    </w:rPr>
                  </w:pPr>
                  <w:r>
                    <w:rPr>
                      <w:color w:val="auto"/>
                      <w:sz w:val="21"/>
                      <w:szCs w:val="21"/>
                    </w:rPr>
                    <w:t>废水</w:t>
                  </w:r>
                </w:p>
              </w:tc>
              <w:tc>
                <w:tcPr>
                  <w:tcW w:w="1895" w:type="dxa"/>
                  <w:tcBorders>
                    <w:tl2br w:val="nil"/>
                    <w:tr2bl w:val="nil"/>
                  </w:tcBorders>
                  <w:vAlign w:val="center"/>
                </w:tcPr>
                <w:p>
                  <w:pPr>
                    <w:spacing w:line="240" w:lineRule="auto"/>
                    <w:jc w:val="center"/>
                    <w:rPr>
                      <w:color w:val="auto"/>
                      <w:sz w:val="21"/>
                      <w:szCs w:val="21"/>
                    </w:rPr>
                  </w:pPr>
                  <w:r>
                    <w:rPr>
                      <w:color w:val="auto"/>
                      <w:sz w:val="21"/>
                      <w:szCs w:val="21"/>
                    </w:rPr>
                    <w:t>CODcr</w:t>
                  </w:r>
                </w:p>
              </w:tc>
              <w:tc>
                <w:tcPr>
                  <w:tcW w:w="1557"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0.1246 </w:t>
                  </w:r>
                </w:p>
              </w:tc>
              <w:tc>
                <w:tcPr>
                  <w:tcW w:w="1903"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0.2076 </w:t>
                  </w:r>
                </w:p>
              </w:tc>
              <w:tc>
                <w:tcPr>
                  <w:tcW w:w="2416" w:type="dxa"/>
                  <w:tcBorders>
                    <w:tl2br w:val="nil"/>
                    <w:tr2bl w:val="nil"/>
                  </w:tcBorders>
                  <w:vAlign w:val="center"/>
                </w:tcPr>
                <w:p>
                  <w:pPr>
                    <w:widowControl/>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0.0125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tcBorders>
                    <w:tl2br w:val="nil"/>
                    <w:tr2bl w:val="nil"/>
                  </w:tcBorders>
                  <w:vAlign w:val="center"/>
                </w:tcPr>
                <w:p>
                  <w:pPr>
                    <w:spacing w:line="240" w:lineRule="auto"/>
                    <w:jc w:val="center"/>
                    <w:rPr>
                      <w:color w:val="auto"/>
                      <w:sz w:val="21"/>
                      <w:szCs w:val="21"/>
                    </w:rPr>
                  </w:pPr>
                </w:p>
              </w:tc>
              <w:tc>
                <w:tcPr>
                  <w:tcW w:w="1895" w:type="dxa"/>
                  <w:tcBorders>
                    <w:tl2br w:val="nil"/>
                    <w:tr2bl w:val="nil"/>
                  </w:tcBorders>
                  <w:vAlign w:val="center"/>
                </w:tcPr>
                <w:p>
                  <w:pPr>
                    <w:spacing w:line="240" w:lineRule="auto"/>
                    <w:jc w:val="center"/>
                    <w:rPr>
                      <w:color w:val="auto"/>
                      <w:sz w:val="21"/>
                      <w:szCs w:val="21"/>
                    </w:rPr>
                  </w:pPr>
                  <w:r>
                    <w:rPr>
                      <w:color w:val="auto"/>
                      <w:sz w:val="21"/>
                      <w:szCs w:val="21"/>
                    </w:rPr>
                    <w:t>氨氮</w:t>
                  </w:r>
                </w:p>
              </w:tc>
              <w:tc>
                <w:tcPr>
                  <w:tcW w:w="1557"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0.0125 </w:t>
                  </w:r>
                </w:p>
              </w:tc>
              <w:tc>
                <w:tcPr>
                  <w:tcW w:w="1903"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0.0187 </w:t>
                  </w:r>
                </w:p>
              </w:tc>
              <w:tc>
                <w:tcPr>
                  <w:tcW w:w="2416"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0.0010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tcBorders>
                    <w:tl2br w:val="nil"/>
                    <w:tr2bl w:val="nil"/>
                  </w:tcBorders>
                  <w:vAlign w:val="center"/>
                </w:tcPr>
                <w:p>
                  <w:pPr>
                    <w:spacing w:line="240" w:lineRule="auto"/>
                    <w:jc w:val="center"/>
                    <w:rPr>
                      <w:color w:val="auto"/>
                      <w:sz w:val="21"/>
                      <w:szCs w:val="21"/>
                    </w:rPr>
                  </w:pPr>
                </w:p>
              </w:tc>
              <w:tc>
                <w:tcPr>
                  <w:tcW w:w="1895" w:type="dxa"/>
                  <w:tcBorders>
                    <w:tl2br w:val="nil"/>
                    <w:tr2bl w:val="nil"/>
                  </w:tcBorders>
                  <w:vAlign w:val="center"/>
                </w:tcPr>
                <w:p>
                  <w:pPr>
                    <w:spacing w:line="240" w:lineRule="auto"/>
                    <w:jc w:val="center"/>
                    <w:rPr>
                      <w:color w:val="auto"/>
                      <w:sz w:val="21"/>
                      <w:szCs w:val="21"/>
                    </w:rPr>
                  </w:pPr>
                  <w:r>
                    <w:rPr>
                      <w:color w:val="auto"/>
                      <w:sz w:val="21"/>
                      <w:szCs w:val="21"/>
                    </w:rPr>
                    <w:t>总磷</w:t>
                  </w:r>
                </w:p>
              </w:tc>
              <w:tc>
                <w:tcPr>
                  <w:tcW w:w="1557" w:type="dxa"/>
                  <w:tcBorders>
                    <w:tl2br w:val="nil"/>
                    <w:tr2bl w:val="nil"/>
                  </w:tcBorders>
                  <w:vAlign w:val="center"/>
                </w:tcPr>
                <w:p>
                  <w:pPr>
                    <w:widowControl/>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0.0014 </w:t>
                  </w:r>
                </w:p>
              </w:tc>
              <w:tc>
                <w:tcPr>
                  <w:tcW w:w="1903"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0.0033 </w:t>
                  </w:r>
                </w:p>
              </w:tc>
              <w:tc>
                <w:tcPr>
                  <w:tcW w:w="2416" w:type="dxa"/>
                  <w:tcBorders>
                    <w:tl2br w:val="nil"/>
                    <w:tr2bl w:val="nil"/>
                  </w:tcBorders>
                  <w:vAlign w:val="center"/>
                </w:tcPr>
                <w:p>
                  <w:pPr>
                    <w:widowControl/>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0.0001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vMerge w:val="continue"/>
                  <w:tcBorders>
                    <w:tl2br w:val="nil"/>
                    <w:tr2bl w:val="nil"/>
                  </w:tcBorders>
                  <w:vAlign w:val="center"/>
                </w:tcPr>
                <w:p>
                  <w:pPr>
                    <w:spacing w:line="240" w:lineRule="auto"/>
                    <w:jc w:val="center"/>
                    <w:rPr>
                      <w:color w:val="auto"/>
                      <w:sz w:val="21"/>
                      <w:szCs w:val="21"/>
                    </w:rPr>
                  </w:pPr>
                </w:p>
              </w:tc>
              <w:tc>
                <w:tcPr>
                  <w:tcW w:w="1895" w:type="dxa"/>
                  <w:tcBorders>
                    <w:tl2br w:val="nil"/>
                    <w:tr2bl w:val="nil"/>
                  </w:tcBorders>
                  <w:vAlign w:val="center"/>
                </w:tcPr>
                <w:p>
                  <w:pPr>
                    <w:spacing w:line="240" w:lineRule="auto"/>
                    <w:jc w:val="center"/>
                    <w:rPr>
                      <w:color w:val="auto"/>
                      <w:sz w:val="21"/>
                      <w:szCs w:val="21"/>
                    </w:rPr>
                  </w:pPr>
                  <w:r>
                    <w:rPr>
                      <w:color w:val="auto"/>
                      <w:sz w:val="21"/>
                      <w:szCs w:val="21"/>
                    </w:rPr>
                    <w:t>总氮</w:t>
                  </w:r>
                </w:p>
              </w:tc>
              <w:tc>
                <w:tcPr>
                  <w:tcW w:w="1557"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0.0183 </w:t>
                  </w:r>
                </w:p>
              </w:tc>
              <w:tc>
                <w:tcPr>
                  <w:tcW w:w="1903" w:type="dxa"/>
                  <w:tcBorders>
                    <w:tl2br w:val="nil"/>
                    <w:tr2bl w:val="nil"/>
                  </w:tcBorders>
                  <w:vAlign w:val="center"/>
                </w:tcPr>
                <w:p>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0.0291 </w:t>
                  </w:r>
                </w:p>
              </w:tc>
              <w:tc>
                <w:tcPr>
                  <w:tcW w:w="2416" w:type="dxa"/>
                  <w:tcBorders>
                    <w:tl2br w:val="nil"/>
                    <w:tr2bl w:val="nil"/>
                  </w:tcBorders>
                  <w:vAlign w:val="center"/>
                </w:tcPr>
                <w:p>
                  <w:pPr>
                    <w:widowControl/>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 xml:space="preserve">0.0042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6" w:type="dxa"/>
                  <w:tcBorders>
                    <w:tl2br w:val="nil"/>
                    <w:tr2bl w:val="nil"/>
                  </w:tcBorders>
                  <w:vAlign w:val="center"/>
                </w:tcPr>
                <w:p>
                  <w:pPr>
                    <w:spacing w:line="240" w:lineRule="auto"/>
                    <w:jc w:val="center"/>
                    <w:rPr>
                      <w:rFonts w:hint="eastAsia" w:eastAsia="宋体"/>
                      <w:color w:val="auto"/>
                      <w:sz w:val="21"/>
                      <w:szCs w:val="21"/>
                      <w:lang w:val="en-US" w:eastAsia="zh-CN"/>
                    </w:rPr>
                  </w:pPr>
                  <w:r>
                    <w:rPr>
                      <w:rFonts w:hint="eastAsia"/>
                      <w:color w:val="auto"/>
                      <w:sz w:val="21"/>
                      <w:szCs w:val="21"/>
                      <w:lang w:val="en-US" w:eastAsia="zh-CN"/>
                    </w:rPr>
                    <w:t>废气</w:t>
                  </w:r>
                </w:p>
              </w:tc>
              <w:tc>
                <w:tcPr>
                  <w:tcW w:w="1895" w:type="dxa"/>
                  <w:tcBorders>
                    <w:tl2br w:val="nil"/>
                    <w:tr2bl w:val="nil"/>
                  </w:tcBorders>
                  <w:vAlign w:val="center"/>
                </w:tcPr>
                <w:p>
                  <w:pPr>
                    <w:spacing w:line="240" w:lineRule="auto"/>
                    <w:jc w:val="center"/>
                    <w:rPr>
                      <w:color w:val="auto"/>
                      <w:sz w:val="21"/>
                      <w:szCs w:val="21"/>
                    </w:rPr>
                  </w:pPr>
                  <w:r>
                    <w:rPr>
                      <w:color w:val="auto"/>
                      <w:sz w:val="21"/>
                      <w:szCs w:val="21"/>
                    </w:rPr>
                    <w:t>VOCs</w:t>
                  </w:r>
                </w:p>
              </w:tc>
              <w:tc>
                <w:tcPr>
                  <w:tcW w:w="1557" w:type="dxa"/>
                  <w:tcBorders>
                    <w:tl2br w:val="nil"/>
                    <w:tr2bl w:val="nil"/>
                  </w:tcBorders>
                  <w:vAlign w:val="center"/>
                </w:tcPr>
                <w:p>
                  <w:pPr>
                    <w:widowControl/>
                    <w:spacing w:line="240" w:lineRule="auto"/>
                    <w:jc w:val="center"/>
                    <w:textAlignment w:val="center"/>
                    <w:rPr>
                      <w:rFonts w:hint="default"/>
                      <w:color w:val="auto"/>
                      <w:sz w:val="21"/>
                      <w:szCs w:val="21"/>
                      <w:lang w:val="en-US" w:eastAsia="zh-CN"/>
                    </w:rPr>
                  </w:pPr>
                  <w:r>
                    <w:rPr>
                      <w:rFonts w:hint="eastAsia" w:cs="Times New Roman"/>
                      <w:color w:val="auto"/>
                      <w:kern w:val="2"/>
                      <w:sz w:val="21"/>
                      <w:szCs w:val="21"/>
                      <w:lang w:val="en-US" w:eastAsia="zh-CN" w:bidi="ar-SA"/>
                    </w:rPr>
                    <w:t>0.1981</w:t>
                  </w:r>
                </w:p>
              </w:tc>
              <w:tc>
                <w:tcPr>
                  <w:tcW w:w="1903" w:type="dxa"/>
                  <w:tcBorders>
                    <w:tl2br w:val="nil"/>
                    <w:tr2bl w:val="nil"/>
                  </w:tcBorders>
                  <w:vAlign w:val="center"/>
                </w:tcPr>
                <w:p>
                  <w:pPr>
                    <w:widowControl/>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1.725</w:t>
                  </w:r>
                </w:p>
              </w:tc>
              <w:tc>
                <w:tcPr>
                  <w:tcW w:w="2416" w:type="dxa"/>
                  <w:tcBorders>
                    <w:tl2br w:val="nil"/>
                    <w:tr2bl w:val="nil"/>
                  </w:tcBorders>
                  <w:vAlign w:val="center"/>
                </w:tcPr>
                <w:p>
                  <w:pPr>
                    <w:widowControl/>
                    <w:spacing w:line="240" w:lineRule="auto"/>
                    <w:jc w:val="center"/>
                    <w:textAlignment w:val="center"/>
                    <w:rPr>
                      <w:rFonts w:hint="default"/>
                      <w:color w:val="auto"/>
                      <w:sz w:val="21"/>
                      <w:szCs w:val="21"/>
                      <w:lang w:val="en-US" w:eastAsia="zh-CN"/>
                    </w:rPr>
                  </w:pPr>
                  <w:r>
                    <w:rPr>
                      <w:rFonts w:hint="eastAsia" w:cs="Times New Roman"/>
                      <w:color w:val="auto"/>
                      <w:kern w:val="2"/>
                      <w:sz w:val="21"/>
                      <w:szCs w:val="21"/>
                      <w:lang w:val="en-US" w:eastAsia="zh-CN" w:bidi="ar-SA"/>
                    </w:rPr>
                    <w:t>0.1981</w:t>
                  </w:r>
                </w:p>
              </w:tc>
            </w:tr>
          </w:tbl>
          <w:p>
            <w:pPr>
              <w:pStyle w:val="71"/>
              <w:ind w:firstLine="480"/>
              <w:rPr>
                <w:rFonts w:hint="default"/>
                <w:color w:val="auto"/>
                <w:lang w:val="en-US" w:eastAsia="zh-CN"/>
              </w:rPr>
            </w:pPr>
            <w:r>
              <w:rPr>
                <w:rFonts w:hint="eastAsia"/>
                <w:color w:val="auto"/>
              </w:rPr>
              <w:t>项目新增总量控制指标应实行倍量替代，</w:t>
            </w:r>
            <w:r>
              <w:rPr>
                <w:color w:val="auto"/>
              </w:rPr>
              <w:t>上述</w:t>
            </w:r>
            <w:r>
              <w:rPr>
                <w:rFonts w:hint="eastAsia"/>
                <w:color w:val="auto"/>
              </w:rPr>
              <w:t>建议值可以作为环保管理部门制定企业污染物排放总量控制指标的</w:t>
            </w:r>
            <w:r>
              <w:rPr>
                <w:color w:val="auto"/>
              </w:rPr>
              <w:t>参</w:t>
            </w:r>
            <w:r>
              <w:rPr>
                <w:rFonts w:hint="eastAsia"/>
                <w:color w:val="auto"/>
              </w:rPr>
              <w:t>考。</w:t>
            </w: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ind w:firstLine="720" w:firstLineChars="200"/>
        <w:jc w:val="left"/>
        <w:textAlignment w:val="auto"/>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r>
        <w:rPr>
          <w:rFonts w:hint="eastAsia" w:ascii="黑体" w:hAnsi="黑体" w:eastAsia="黑体"/>
          <w:snapToGrid w:val="0"/>
          <w:color w:val="auto"/>
          <w:sz w:val="30"/>
          <w:szCs w:val="30"/>
        </w:rPr>
        <w:t>四、主要环境影响和保护措施</w:t>
      </w:r>
    </w:p>
    <w:tbl>
      <w:tblPr>
        <w:tblStyle w:val="29"/>
        <w:tblW w:w="896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40"/>
        <w:gridCol w:w="862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6" w:hRule="atLeast"/>
          <w:jc w:val="center"/>
        </w:trPr>
        <w:tc>
          <w:tcPr>
            <w:tcW w:w="340" w:type="dxa"/>
            <w:noWrap w:val="0"/>
            <w:tcMar>
              <w:left w:w="28" w:type="dxa"/>
              <w:right w:w="28" w:type="dxa"/>
            </w:tcMar>
            <w:vAlign w:val="center"/>
          </w:tcPr>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宋体"/>
                <w:caps w:val="0"/>
                <w:color w:val="auto"/>
                <w:kern w:val="2"/>
                <w:sz w:val="21"/>
                <w:szCs w:val="21"/>
              </w:rPr>
            </w:pPr>
            <w:r>
              <w:rPr>
                <w:rFonts w:hint="eastAsia" w:ascii="Times New Roman" w:hAnsi="Times New Roman" w:eastAsia="宋体" w:cs="宋体"/>
                <w:caps w:val="0"/>
                <w:color w:val="auto"/>
                <w:kern w:val="2"/>
                <w:sz w:val="21"/>
                <w:szCs w:val="21"/>
              </w:rPr>
              <w:t>施工</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宋体"/>
                <w:caps w:val="0"/>
                <w:color w:val="auto"/>
                <w:kern w:val="2"/>
                <w:sz w:val="21"/>
                <w:szCs w:val="21"/>
              </w:rPr>
            </w:pPr>
            <w:r>
              <w:rPr>
                <w:rFonts w:hint="eastAsia" w:ascii="Times New Roman" w:hAnsi="Times New Roman" w:eastAsia="宋体" w:cs="宋体"/>
                <w:caps w:val="0"/>
                <w:color w:val="auto"/>
                <w:kern w:val="2"/>
                <w:sz w:val="21"/>
                <w:szCs w:val="21"/>
              </w:rPr>
              <w:t>期环</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宋体"/>
                <w:caps w:val="0"/>
                <w:color w:val="auto"/>
                <w:kern w:val="2"/>
                <w:sz w:val="21"/>
                <w:szCs w:val="21"/>
              </w:rPr>
            </w:pPr>
            <w:r>
              <w:rPr>
                <w:rFonts w:hint="eastAsia" w:ascii="Times New Roman" w:hAnsi="Times New Roman" w:eastAsia="宋体" w:cs="宋体"/>
                <w:caps w:val="0"/>
                <w:color w:val="auto"/>
                <w:kern w:val="2"/>
                <w:sz w:val="21"/>
                <w:szCs w:val="21"/>
              </w:rPr>
              <w:t>境保</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宋体"/>
                <w:caps w:val="0"/>
                <w:color w:val="auto"/>
                <w:kern w:val="2"/>
                <w:sz w:val="21"/>
                <w:szCs w:val="21"/>
              </w:rPr>
            </w:pPr>
            <w:r>
              <w:rPr>
                <w:rFonts w:hint="eastAsia" w:ascii="Times New Roman" w:hAnsi="Times New Roman" w:eastAsia="宋体" w:cs="宋体"/>
                <w:caps w:val="0"/>
                <w:color w:val="auto"/>
                <w:kern w:val="2"/>
                <w:sz w:val="21"/>
                <w:szCs w:val="21"/>
              </w:rPr>
              <w:t>护措</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rPr>
                <w:rFonts w:hint="eastAsia" w:ascii="Times New Roman" w:hAnsi="Times New Roman" w:eastAsia="宋体" w:cs="宋体"/>
                <w:bCs/>
                <w:caps w:val="0"/>
                <w:color w:val="auto"/>
                <w:kern w:val="2"/>
                <w:sz w:val="21"/>
                <w:szCs w:val="21"/>
              </w:rPr>
            </w:pPr>
            <w:r>
              <w:rPr>
                <w:rFonts w:hint="eastAsia" w:ascii="Times New Roman" w:hAnsi="Times New Roman" w:eastAsia="宋体" w:cs="宋体"/>
                <w:caps w:val="0"/>
                <w:color w:val="auto"/>
                <w:kern w:val="2"/>
                <w:sz w:val="21"/>
                <w:szCs w:val="21"/>
              </w:rPr>
              <w:t>施</w:t>
            </w:r>
          </w:p>
        </w:tc>
        <w:tc>
          <w:tcPr>
            <w:tcW w:w="862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b/>
                <w:bCs/>
                <w:color w:val="auto"/>
                <w:lang w:val="en-US" w:eastAsia="zh-CN"/>
              </w:rPr>
            </w:pPr>
            <w:r>
              <w:rPr>
                <w:rFonts w:hint="eastAsia"/>
                <w:b/>
                <w:bCs/>
                <w:color w:val="auto"/>
                <w:lang w:val="en-US" w:eastAsia="zh-CN"/>
              </w:rPr>
              <w:t>4.1</w:t>
            </w:r>
            <w:r>
              <w:rPr>
                <w:rFonts w:hint="eastAsia"/>
                <w:b/>
                <w:bCs/>
                <w:color w:val="auto"/>
              </w:rPr>
              <w:t>施工期环境保护</w:t>
            </w:r>
            <w:r>
              <w:rPr>
                <w:rFonts w:hint="eastAsia"/>
                <w:b/>
                <w:bCs/>
                <w:color w:val="auto"/>
                <w:lang w:val="en-US" w:eastAsia="zh-CN"/>
              </w:rPr>
              <w:t>措施</w:t>
            </w:r>
          </w:p>
          <w:p>
            <w:pPr>
              <w:adjustRightInd w:val="0"/>
              <w:snapToGrid w:val="0"/>
              <w:ind w:firstLine="480" w:firstLineChars="200"/>
              <w:rPr>
                <w:color w:val="auto"/>
              </w:rPr>
            </w:pPr>
            <w:r>
              <w:rPr>
                <w:color w:val="auto"/>
                <w:kern w:val="2"/>
                <w:sz w:val="24"/>
                <w:szCs w:val="24"/>
                <w:lang w:val="en-US" w:eastAsia="zh-CN"/>
              </w:rPr>
              <w:t>本项目</w:t>
            </w:r>
            <w:r>
              <w:rPr>
                <w:rFonts w:hint="eastAsia"/>
                <w:color w:val="auto"/>
                <w:kern w:val="2"/>
                <w:sz w:val="24"/>
                <w:szCs w:val="24"/>
                <w:lang w:val="en-US" w:eastAsia="zh-CN"/>
              </w:rPr>
              <w:t>为新建项目，租赁闲置厂房，施工期工程内容主要为实验室内装修改造和安装设备。实验室装修改造主要墙体改造；设备安装包括本项目实验设备和环保设备的安装调试。</w:t>
            </w:r>
            <w:r>
              <w:rPr>
                <w:rFonts w:hint="eastAsia"/>
                <w:color w:val="auto"/>
              </w:rPr>
              <w:t>施工期间，</w:t>
            </w:r>
            <w:r>
              <w:rPr>
                <w:rFonts w:hint="eastAsia"/>
                <w:color w:val="auto"/>
                <w:lang w:val="en-US" w:eastAsia="zh-CN"/>
              </w:rPr>
              <w:t>本</w:t>
            </w:r>
            <w:r>
              <w:rPr>
                <w:rFonts w:hint="eastAsia"/>
                <w:color w:val="auto"/>
              </w:rPr>
              <w:t>项目实施会对周围环境产生一定的影响，主要是施工固体废物，施工噪声</w:t>
            </w:r>
            <w:r>
              <w:rPr>
                <w:color w:val="auto"/>
              </w:rPr>
              <w:t>。</w:t>
            </w:r>
            <w:r>
              <w:rPr>
                <w:rFonts w:hint="eastAsia"/>
                <w:color w:val="auto"/>
              </w:rPr>
              <w:t>其次是施工人员产生的生活污水和生活垃圾。</w:t>
            </w:r>
          </w:p>
          <w:p>
            <w:pPr>
              <w:pStyle w:val="4"/>
              <w:bidi w:val="0"/>
              <w:rPr>
                <w:rFonts w:hint="default"/>
                <w:color w:val="auto"/>
                <w:lang w:val="en-US" w:eastAsia="zh-CN"/>
              </w:rPr>
            </w:pPr>
            <w:r>
              <w:rPr>
                <w:rFonts w:hint="eastAsia"/>
                <w:color w:val="auto"/>
                <w:lang w:val="en-US" w:eastAsia="zh-CN"/>
              </w:rPr>
              <w:t>4.1.1废水</w:t>
            </w:r>
          </w:p>
          <w:p>
            <w:pPr>
              <w:spacing w:line="360" w:lineRule="auto"/>
              <w:ind w:firstLine="480" w:firstLineChars="200"/>
              <w:rPr>
                <w:rFonts w:hint="eastAsia" w:ascii="宋体" w:hAnsi="宋体" w:eastAsia="宋体" w:cs="宋体"/>
                <w:b w:val="0"/>
                <w:bCs w:val="0"/>
                <w:color w:val="auto"/>
                <w:vertAlign w:val="baseline"/>
                <w:lang w:val="en-US" w:eastAsia="zh-CN"/>
              </w:rPr>
            </w:pPr>
            <w:r>
              <w:rPr>
                <w:rFonts w:hint="eastAsia" w:ascii="宋体" w:hAnsi="宋体" w:eastAsia="宋体" w:cs="宋体"/>
                <w:b w:val="0"/>
                <w:bCs w:val="0"/>
                <w:color w:val="auto"/>
                <w:vertAlign w:val="baseline"/>
                <w:lang w:val="en-US" w:eastAsia="zh-CN"/>
              </w:rPr>
              <w:t>施工期废水主要为施工人员的生活污水。施工人员排放的生活污水排入现有建筑生活设施。</w:t>
            </w:r>
          </w:p>
          <w:p>
            <w:pPr>
              <w:pStyle w:val="4"/>
              <w:bidi w:val="0"/>
              <w:rPr>
                <w:rFonts w:hint="default"/>
                <w:color w:val="auto"/>
                <w:lang w:val="en-US" w:eastAsia="zh-CN"/>
              </w:rPr>
            </w:pPr>
            <w:r>
              <w:rPr>
                <w:rFonts w:hint="eastAsia"/>
                <w:color w:val="auto"/>
                <w:lang w:val="en-US" w:eastAsia="zh-CN"/>
              </w:rPr>
              <w:t>4.1.2噪声</w:t>
            </w:r>
          </w:p>
          <w:p>
            <w:pPr>
              <w:pStyle w:val="8"/>
              <w:bidi w:val="0"/>
              <w:rPr>
                <w:rFonts w:hint="default"/>
                <w:color w:val="auto"/>
                <w:lang w:val="en-US" w:eastAsia="zh-CN"/>
              </w:rPr>
            </w:pPr>
            <w:r>
              <w:rPr>
                <w:rFonts w:hint="eastAsia"/>
                <w:color w:val="auto"/>
                <w:lang w:val="en-US" w:eastAsia="zh-CN"/>
              </w:rPr>
              <w:t>本项目施工期拟采取以下措施：</w:t>
            </w:r>
          </w:p>
          <w:p>
            <w:pPr>
              <w:spacing w:line="360" w:lineRule="auto"/>
              <w:ind w:firstLine="480" w:firstLineChars="20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（1）</w:t>
            </w:r>
            <w:r>
              <w:rPr>
                <w:rFonts w:hint="default" w:ascii="Times New Roman" w:hAnsi="Times New Roman" w:eastAsia="宋体" w:cs="Times New Roman"/>
                <w:b w:val="0"/>
                <w:bCs w:val="0"/>
                <w:color w:val="auto"/>
                <w:vertAlign w:val="baseline"/>
                <w:lang w:val="en-US" w:eastAsia="zh-CN"/>
              </w:rPr>
              <w:t>用低噪声设备，加强设备的维护与管理，室内作业面保持窗户关闭，确保楼体自身墙体的隔声效果。</w:t>
            </w:r>
          </w:p>
          <w:p>
            <w:pPr>
              <w:spacing w:line="360" w:lineRule="auto"/>
              <w:ind w:firstLine="480" w:firstLineChars="200"/>
              <w:rPr>
                <w:rFonts w:hint="default" w:ascii="Times New Roman" w:hAnsi="Times New Roman" w:eastAsia="宋体" w:cs="Times New Roman"/>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（2）</w:t>
            </w:r>
            <w:r>
              <w:rPr>
                <w:rFonts w:hint="default" w:ascii="Times New Roman" w:hAnsi="Times New Roman" w:eastAsia="宋体" w:cs="Times New Roman"/>
                <w:b w:val="0"/>
                <w:bCs w:val="0"/>
                <w:color w:val="auto"/>
                <w:vertAlign w:val="baseline"/>
                <w:lang w:val="en-US" w:eastAsia="zh-CN"/>
              </w:rPr>
              <w:t>合理布置施工现场，可固定的机械设备安置在室内，降低噪声对外环境影响。加强对施工人员的监督和管理，促进其环保意识的增强，减少不必要的人为噪声。</w:t>
            </w:r>
          </w:p>
          <w:p>
            <w:pPr>
              <w:spacing w:line="360" w:lineRule="auto"/>
              <w:ind w:firstLine="480" w:firstLineChars="200"/>
              <w:rPr>
                <w:rFonts w:hint="eastAsia" w:ascii="宋体" w:hAnsi="宋体" w:eastAsia="宋体" w:cs="宋体"/>
                <w:b w:val="0"/>
                <w:bCs w:val="0"/>
                <w:color w:val="auto"/>
                <w:vertAlign w:val="baseline"/>
                <w:lang w:val="en-US" w:eastAsia="zh-CN"/>
              </w:rPr>
            </w:pPr>
            <w:r>
              <w:rPr>
                <w:rFonts w:hint="default" w:ascii="Times New Roman" w:hAnsi="Times New Roman" w:cs="Times New Roman"/>
                <w:b w:val="0"/>
                <w:bCs w:val="0"/>
                <w:color w:val="auto"/>
                <w:vertAlign w:val="baseline"/>
                <w:lang w:val="en-US" w:eastAsia="zh-CN"/>
              </w:rPr>
              <w:t>（3）</w:t>
            </w:r>
            <w:r>
              <w:rPr>
                <w:rFonts w:hint="default" w:ascii="Times New Roman" w:hAnsi="Times New Roman" w:eastAsia="宋体" w:cs="Times New Roman"/>
                <w:b w:val="0"/>
                <w:bCs w:val="0"/>
                <w:color w:val="auto"/>
                <w:vertAlign w:val="baseline"/>
                <w:lang w:val="en-US" w:eastAsia="zh-CN"/>
              </w:rPr>
              <w:t>按照《</w:t>
            </w:r>
            <w:r>
              <w:rPr>
                <w:rFonts w:hint="eastAsia" w:ascii="宋体" w:hAnsi="宋体" w:eastAsia="宋体" w:cs="宋体"/>
                <w:b w:val="0"/>
                <w:bCs w:val="0"/>
                <w:color w:val="auto"/>
                <w:vertAlign w:val="baseline"/>
                <w:lang w:val="en-US" w:eastAsia="zh-CN"/>
              </w:rPr>
              <w:t>天津市环境噪声污染防治管理办法》（天津市人民政府令第</w:t>
            </w:r>
            <w:r>
              <w:rPr>
                <w:rFonts w:hint="eastAsia" w:ascii="Times New Roman" w:hAnsi="Times New Roman" w:eastAsia="宋体" w:cs="宋体"/>
                <w:b w:val="0"/>
                <w:bCs w:val="0"/>
                <w:color w:val="auto"/>
                <w:vertAlign w:val="baseline"/>
                <w:lang w:val="en-US" w:eastAsia="zh-CN"/>
              </w:rPr>
              <w:t>6</w:t>
            </w:r>
            <w:r>
              <w:rPr>
                <w:rFonts w:hint="eastAsia" w:ascii="宋体" w:hAnsi="宋体" w:eastAsia="宋体" w:cs="宋体"/>
                <w:b w:val="0"/>
                <w:bCs w:val="0"/>
                <w:color w:val="auto"/>
                <w:vertAlign w:val="baseline"/>
                <w:lang w:val="en-US" w:eastAsia="zh-CN"/>
              </w:rPr>
              <w:t>号）的要求，安排好施工时间，禁止夜间（当日</w:t>
            </w:r>
            <w:r>
              <w:rPr>
                <w:rFonts w:hint="eastAsia" w:ascii="Times New Roman" w:hAnsi="Times New Roman" w:eastAsia="宋体" w:cs="宋体"/>
                <w:b w:val="0"/>
                <w:bCs w:val="0"/>
                <w:color w:val="auto"/>
                <w:vertAlign w:val="baseline"/>
                <w:lang w:val="en-US" w:eastAsia="zh-CN"/>
              </w:rPr>
              <w:t>22</w:t>
            </w:r>
            <w:r>
              <w:rPr>
                <w:rFonts w:hint="eastAsia" w:ascii="宋体" w:hAnsi="宋体" w:eastAsia="宋体" w:cs="宋体"/>
                <w:b w:val="0"/>
                <w:bCs w:val="0"/>
                <w:color w:val="auto"/>
                <w:vertAlign w:val="baseline"/>
                <w:lang w:val="en-US" w:eastAsia="zh-CN"/>
              </w:rPr>
              <w:t>时至次日</w:t>
            </w:r>
            <w:r>
              <w:rPr>
                <w:rFonts w:hint="eastAsia" w:ascii="Times New Roman" w:hAnsi="Times New Roman" w:eastAsia="宋体" w:cs="宋体"/>
                <w:b w:val="0"/>
                <w:bCs w:val="0"/>
                <w:color w:val="auto"/>
                <w:vertAlign w:val="baseline"/>
                <w:lang w:val="en-US" w:eastAsia="zh-CN"/>
              </w:rPr>
              <w:t>6</w:t>
            </w:r>
            <w:r>
              <w:rPr>
                <w:rFonts w:hint="eastAsia" w:ascii="宋体" w:hAnsi="宋体" w:eastAsia="宋体" w:cs="宋体"/>
                <w:b w:val="0"/>
                <w:bCs w:val="0"/>
                <w:color w:val="auto"/>
                <w:vertAlign w:val="baseline"/>
                <w:lang w:val="en-US" w:eastAsia="zh-CN"/>
              </w:rPr>
              <w:t>时）进行产生噪声污染的施工作业和建筑材料的运输。</w:t>
            </w:r>
          </w:p>
          <w:p>
            <w:pPr>
              <w:pStyle w:val="4"/>
              <w:bidi w:val="0"/>
              <w:rPr>
                <w:rFonts w:hint="eastAsia"/>
                <w:color w:val="auto"/>
                <w:lang w:val="en-US" w:eastAsia="zh-CN"/>
              </w:rPr>
            </w:pPr>
            <w:r>
              <w:rPr>
                <w:rFonts w:hint="eastAsia"/>
                <w:color w:val="auto"/>
                <w:lang w:val="en-US" w:eastAsia="zh-CN"/>
              </w:rPr>
              <w:t>4.1.3固体废物</w:t>
            </w:r>
          </w:p>
          <w:p>
            <w:pPr>
              <w:pStyle w:val="8"/>
              <w:bidi w:val="0"/>
              <w:rPr>
                <w:rFonts w:hint="default"/>
                <w:color w:val="auto"/>
                <w:lang w:val="en-US"/>
              </w:rPr>
            </w:pPr>
            <w:r>
              <w:rPr>
                <w:rFonts w:hint="eastAsia"/>
                <w:color w:val="auto"/>
                <w:lang w:val="en-US" w:eastAsia="zh-CN"/>
              </w:rPr>
              <w:t>本项目施工期间固体废物主要包括装修工人产生的生活垃圾和施工过程中产生的废包装物等固体废物。本项目施工固体废物和生活垃圾应分类收集，生活垃圾交由城市管理部门处理处置，施工固体废物运输至相应的垃圾场处理处置。</w:t>
            </w: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0" w:type="dxa"/>
            <w:vAlign w:val="center"/>
          </w:tcPr>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运营</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期环</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境影</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响和</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保护</w:t>
            </w:r>
          </w:p>
          <w:p>
            <w:pPr>
              <w:rPr>
                <w:color w:val="auto"/>
              </w:rPr>
            </w:pPr>
            <w:r>
              <w:rPr>
                <w:rFonts w:hint="eastAsia" w:ascii="Times New Roman" w:hAnsi="Times New Roman" w:eastAsia="宋体" w:cs="宋体"/>
                <w:bCs/>
                <w:caps w:val="0"/>
                <w:color w:val="auto"/>
                <w:szCs w:val="21"/>
              </w:rPr>
              <w:t>措施</w:t>
            </w:r>
          </w:p>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c>
          <w:tcPr>
            <w:tcW w:w="13102" w:type="dxa"/>
          </w:tcPr>
          <w:p>
            <w:pPr>
              <w:pStyle w:val="24"/>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outlineLvl w:val="9"/>
              <w:rPr>
                <w:rFonts w:hint="default"/>
                <w:b/>
                <w:bCs/>
                <w:color w:val="auto"/>
                <w:lang w:val="en-US"/>
              </w:rPr>
            </w:pPr>
            <w:r>
              <w:rPr>
                <w:rFonts w:hint="eastAsia"/>
                <w:b/>
                <w:bCs/>
                <w:color w:val="auto"/>
                <w:lang w:val="en-US" w:eastAsia="zh-CN"/>
              </w:rPr>
              <w:t>4.2大气环境影响分析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b/>
                <w:bCs/>
                <w:color w:val="auto"/>
                <w:lang w:val="en-US" w:eastAsia="zh-CN"/>
              </w:rPr>
            </w:pPr>
            <w:r>
              <w:rPr>
                <w:rFonts w:hint="eastAsia"/>
                <w:b/>
                <w:bCs/>
                <w:color w:val="auto"/>
                <w:lang w:val="en-US" w:eastAsia="zh-CN"/>
              </w:rPr>
              <w:t>4.2.1</w:t>
            </w:r>
            <w:r>
              <w:rPr>
                <w:b/>
                <w:bCs/>
                <w:color w:val="auto"/>
              </w:rPr>
              <w:t>大气污染</w:t>
            </w:r>
            <w:r>
              <w:rPr>
                <w:rFonts w:hint="eastAsia"/>
                <w:b/>
                <w:bCs/>
                <w:color w:val="auto"/>
                <w:lang w:val="en-US" w:eastAsia="zh-CN"/>
              </w:rPr>
              <w:t>物</w:t>
            </w:r>
          </w:p>
          <w:p>
            <w:pPr>
              <w:pStyle w:val="8"/>
              <w:bidi w:val="0"/>
              <w:rPr>
                <w:color w:val="auto"/>
              </w:rPr>
            </w:pPr>
            <w:r>
              <w:rPr>
                <w:rFonts w:hint="eastAsia"/>
                <w:color w:val="auto"/>
                <w:lang w:val="en-US" w:eastAsia="zh-CN"/>
              </w:rPr>
              <w:t>根据工程分析，本项目废气产污环节主要为实验过程、溶液配制产生的</w:t>
            </w:r>
            <w:r>
              <w:rPr>
                <w:rFonts w:hint="eastAsia"/>
                <w:color w:val="auto"/>
              </w:rPr>
              <w:t>非甲烷总烃、TRVOC</w:t>
            </w:r>
            <w:r>
              <w:rPr>
                <w:rFonts w:hint="eastAsia"/>
                <w:color w:val="auto"/>
                <w:lang w:eastAsia="zh-CN"/>
              </w:rPr>
              <w:t>、甲醇</w:t>
            </w:r>
            <w:r>
              <w:rPr>
                <w:rFonts w:hint="eastAsia"/>
                <w:color w:val="auto"/>
                <w:lang w:val="en-US" w:eastAsia="zh-CN"/>
              </w:rPr>
              <w:t>、二甲苯、氯化氢、氨、臭气浓度，废气通过病理实验室通风橱全部收集，鼠饲养间消毒、饲养动物产生的</w:t>
            </w:r>
            <w:r>
              <w:rPr>
                <w:rFonts w:hint="eastAsia"/>
                <w:color w:val="auto"/>
              </w:rPr>
              <w:t>非甲烷总烃、TRVOC</w:t>
            </w:r>
            <w:r>
              <w:rPr>
                <w:rFonts w:hint="eastAsia"/>
                <w:color w:val="auto"/>
                <w:lang w:eastAsia="zh-CN"/>
              </w:rPr>
              <w:t>、氨、硫化氢、</w:t>
            </w:r>
            <w:r>
              <w:rPr>
                <w:rFonts w:hint="eastAsia"/>
                <w:color w:val="auto"/>
                <w:lang w:val="en-US" w:eastAsia="zh-CN"/>
              </w:rPr>
              <w:t>臭气浓度，通过洁净车间整体收集经1套活性炭设施处理后通过1根20m高排气筒P1排放。兔饲养间饲养动物产生的</w:t>
            </w:r>
            <w:r>
              <w:rPr>
                <w:rFonts w:hint="eastAsia"/>
                <w:color w:val="auto"/>
                <w:lang w:eastAsia="zh-CN"/>
              </w:rPr>
              <w:t>氨、硫化氢、</w:t>
            </w:r>
            <w:r>
              <w:rPr>
                <w:rFonts w:hint="eastAsia"/>
                <w:color w:val="auto"/>
                <w:lang w:val="en-US" w:eastAsia="zh-CN"/>
              </w:rPr>
              <w:t>臭气浓度喷洒植物型除臭剂后无组织排放。</w:t>
            </w:r>
            <w:r>
              <w:rPr>
                <w:color w:val="auto"/>
              </w:rPr>
              <w:t>本项目废气产排污节点、污染物及污染治理设施情况详见表4-1。</w:t>
            </w:r>
          </w:p>
          <w:p>
            <w:pPr>
              <w:pStyle w:val="10"/>
              <w:rPr>
                <w:color w:val="auto"/>
                <w:sz w:val="21"/>
                <w:szCs w:val="21"/>
              </w:rPr>
            </w:pPr>
            <w:r>
              <w:rPr>
                <w:color w:val="auto"/>
                <w:sz w:val="21"/>
                <w:szCs w:val="21"/>
              </w:rPr>
              <w:t>表4-1   废气产排污节点、污染物及污染治理设施一览表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02"/>
              <w:gridCol w:w="2852"/>
              <w:gridCol w:w="1280"/>
              <w:gridCol w:w="930"/>
              <w:gridCol w:w="2210"/>
              <w:gridCol w:w="920"/>
              <w:gridCol w:w="1160"/>
              <w:gridCol w:w="1080"/>
              <w:gridCol w:w="16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16" w:hRule="atLeast"/>
              </w:trPr>
              <w:tc>
                <w:tcPr>
                  <w:tcW w:w="312"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产污单元</w:t>
                  </w:r>
                </w:p>
              </w:tc>
              <w:tc>
                <w:tcPr>
                  <w:tcW w:w="1109" w:type="pct"/>
                  <w:vMerge w:val="restart"/>
                  <w:tcBorders>
                    <w:tl2br w:val="nil"/>
                    <w:tr2bl w:val="nil"/>
                  </w:tcBorders>
                  <w:vAlign w:val="center"/>
                </w:tcPr>
                <w:p>
                  <w:pPr>
                    <w:spacing w:line="240" w:lineRule="auto"/>
                    <w:jc w:val="center"/>
                    <w:rPr>
                      <w:b/>
                      <w:bCs/>
                      <w:color w:val="auto"/>
                      <w:sz w:val="21"/>
                      <w:szCs w:val="21"/>
                    </w:rPr>
                  </w:pPr>
                  <w:r>
                    <w:rPr>
                      <w:b/>
                      <w:bCs/>
                      <w:color w:val="auto"/>
                      <w:sz w:val="21"/>
                      <w:szCs w:val="21"/>
                    </w:rPr>
                    <w:t>产排污</w:t>
                  </w:r>
                </w:p>
                <w:p>
                  <w:pPr>
                    <w:spacing w:line="240" w:lineRule="auto"/>
                    <w:jc w:val="center"/>
                    <w:rPr>
                      <w:b/>
                      <w:bCs/>
                      <w:color w:val="auto"/>
                      <w:sz w:val="21"/>
                      <w:szCs w:val="21"/>
                    </w:rPr>
                  </w:pPr>
                  <w:r>
                    <w:rPr>
                      <w:b/>
                      <w:bCs/>
                      <w:color w:val="auto"/>
                      <w:sz w:val="21"/>
                      <w:szCs w:val="21"/>
                    </w:rPr>
                    <w:t>环节</w:t>
                  </w:r>
                </w:p>
              </w:tc>
              <w:tc>
                <w:tcPr>
                  <w:tcW w:w="498" w:type="pct"/>
                  <w:vMerge w:val="restart"/>
                  <w:tcBorders>
                    <w:tl2br w:val="nil"/>
                    <w:tr2bl w:val="nil"/>
                  </w:tcBorders>
                  <w:vAlign w:val="center"/>
                </w:tcPr>
                <w:p>
                  <w:pPr>
                    <w:spacing w:line="240" w:lineRule="auto"/>
                    <w:jc w:val="center"/>
                    <w:rPr>
                      <w:b/>
                      <w:bCs/>
                      <w:color w:val="auto"/>
                      <w:sz w:val="21"/>
                      <w:szCs w:val="21"/>
                    </w:rPr>
                  </w:pPr>
                  <w:r>
                    <w:rPr>
                      <w:b/>
                      <w:bCs/>
                      <w:color w:val="auto"/>
                      <w:sz w:val="21"/>
                      <w:szCs w:val="21"/>
                    </w:rPr>
                    <w:t>污染物</w:t>
                  </w:r>
                </w:p>
                <w:p>
                  <w:pPr>
                    <w:spacing w:line="240" w:lineRule="auto"/>
                    <w:jc w:val="center"/>
                    <w:rPr>
                      <w:b/>
                      <w:bCs/>
                      <w:color w:val="auto"/>
                      <w:sz w:val="21"/>
                      <w:szCs w:val="21"/>
                    </w:rPr>
                  </w:pPr>
                  <w:r>
                    <w:rPr>
                      <w:b/>
                      <w:bCs/>
                      <w:color w:val="auto"/>
                      <w:sz w:val="21"/>
                      <w:szCs w:val="21"/>
                    </w:rPr>
                    <w:t>种类</w:t>
                  </w:r>
                </w:p>
              </w:tc>
              <w:tc>
                <w:tcPr>
                  <w:tcW w:w="361" w:type="pct"/>
                  <w:vMerge w:val="restart"/>
                  <w:tcBorders>
                    <w:tl2br w:val="nil"/>
                    <w:tr2bl w:val="nil"/>
                  </w:tcBorders>
                  <w:vAlign w:val="center"/>
                </w:tcPr>
                <w:p>
                  <w:pPr>
                    <w:spacing w:line="240" w:lineRule="auto"/>
                    <w:jc w:val="center"/>
                    <w:rPr>
                      <w:b/>
                      <w:bCs/>
                      <w:color w:val="auto"/>
                      <w:sz w:val="21"/>
                      <w:szCs w:val="21"/>
                    </w:rPr>
                  </w:pPr>
                  <w:r>
                    <w:rPr>
                      <w:b/>
                      <w:bCs/>
                      <w:color w:val="auto"/>
                      <w:sz w:val="21"/>
                      <w:szCs w:val="21"/>
                    </w:rPr>
                    <w:t>排放</w:t>
                  </w:r>
                </w:p>
                <w:p>
                  <w:pPr>
                    <w:spacing w:line="240" w:lineRule="auto"/>
                    <w:jc w:val="center"/>
                    <w:rPr>
                      <w:b/>
                      <w:bCs/>
                      <w:color w:val="auto"/>
                      <w:sz w:val="21"/>
                      <w:szCs w:val="21"/>
                    </w:rPr>
                  </w:pPr>
                  <w:r>
                    <w:rPr>
                      <w:b/>
                      <w:bCs/>
                      <w:color w:val="auto"/>
                      <w:sz w:val="21"/>
                      <w:szCs w:val="21"/>
                    </w:rPr>
                    <w:t>形式</w:t>
                  </w:r>
                </w:p>
              </w:tc>
              <w:tc>
                <w:tcPr>
                  <w:tcW w:w="859"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b/>
                      <w:bCs/>
                      <w:color w:val="auto"/>
                      <w:sz w:val="21"/>
                      <w:szCs w:val="21"/>
                    </w:rPr>
                    <w:t>废气收集设施</w:t>
                  </w:r>
                  <w:r>
                    <w:rPr>
                      <w:rFonts w:hint="eastAsia"/>
                      <w:b/>
                      <w:bCs/>
                      <w:color w:val="auto"/>
                      <w:sz w:val="21"/>
                      <w:szCs w:val="21"/>
                      <w:lang w:eastAsia="zh-CN"/>
                    </w:rPr>
                    <w:t>及收集效率</w:t>
                  </w:r>
                </w:p>
              </w:tc>
              <w:tc>
                <w:tcPr>
                  <w:tcW w:w="357"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风机风量</w:t>
                  </w:r>
                </w:p>
              </w:tc>
              <w:tc>
                <w:tcPr>
                  <w:tcW w:w="871" w:type="pct"/>
                  <w:gridSpan w:val="2"/>
                  <w:tcBorders>
                    <w:tl2br w:val="nil"/>
                    <w:tr2bl w:val="nil"/>
                  </w:tcBorders>
                  <w:vAlign w:val="center"/>
                </w:tcPr>
                <w:p>
                  <w:pPr>
                    <w:spacing w:line="240" w:lineRule="auto"/>
                    <w:jc w:val="center"/>
                    <w:rPr>
                      <w:b/>
                      <w:bCs/>
                      <w:color w:val="auto"/>
                      <w:sz w:val="21"/>
                      <w:szCs w:val="21"/>
                    </w:rPr>
                  </w:pPr>
                  <w:r>
                    <w:rPr>
                      <w:b/>
                      <w:bCs/>
                      <w:color w:val="auto"/>
                      <w:sz w:val="21"/>
                      <w:szCs w:val="21"/>
                    </w:rPr>
                    <w:t>净化治理设施</w:t>
                  </w:r>
                </w:p>
              </w:tc>
              <w:tc>
                <w:tcPr>
                  <w:tcW w:w="629" w:type="pct"/>
                  <w:vMerge w:val="restart"/>
                  <w:tcBorders>
                    <w:tl2br w:val="nil"/>
                    <w:tr2bl w:val="nil"/>
                  </w:tcBorders>
                  <w:vAlign w:val="center"/>
                </w:tcPr>
                <w:p>
                  <w:pPr>
                    <w:spacing w:line="240" w:lineRule="auto"/>
                    <w:jc w:val="center"/>
                    <w:rPr>
                      <w:rFonts w:hint="eastAsia" w:eastAsia="宋体"/>
                      <w:b/>
                      <w:bCs/>
                      <w:color w:val="auto"/>
                      <w:sz w:val="21"/>
                      <w:szCs w:val="21"/>
                      <w:lang w:eastAsia="zh-CN"/>
                    </w:rPr>
                  </w:pPr>
                  <w:r>
                    <w:rPr>
                      <w:rFonts w:hint="eastAsia"/>
                      <w:b/>
                      <w:bCs/>
                      <w:color w:val="auto"/>
                      <w:sz w:val="21"/>
                      <w:szCs w:val="21"/>
                      <w:lang w:eastAsia="zh-CN"/>
                    </w:rPr>
                    <w:t>排放时间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12" w:type="pct"/>
                  <w:vMerge w:val="continue"/>
                  <w:tcBorders>
                    <w:tl2br w:val="nil"/>
                    <w:tr2bl w:val="nil"/>
                  </w:tcBorders>
                  <w:vAlign w:val="center"/>
                </w:tcPr>
                <w:p>
                  <w:pPr>
                    <w:spacing w:line="240" w:lineRule="auto"/>
                    <w:jc w:val="center"/>
                    <w:rPr>
                      <w:b/>
                      <w:bCs/>
                      <w:color w:val="auto"/>
                      <w:sz w:val="21"/>
                      <w:szCs w:val="21"/>
                    </w:rPr>
                  </w:pPr>
                </w:p>
              </w:tc>
              <w:tc>
                <w:tcPr>
                  <w:tcW w:w="1109" w:type="pct"/>
                  <w:vMerge w:val="continue"/>
                  <w:tcBorders>
                    <w:tl2br w:val="nil"/>
                    <w:tr2bl w:val="nil"/>
                  </w:tcBorders>
                  <w:vAlign w:val="center"/>
                </w:tcPr>
                <w:p>
                  <w:pPr>
                    <w:spacing w:line="240" w:lineRule="auto"/>
                    <w:jc w:val="center"/>
                    <w:rPr>
                      <w:b/>
                      <w:bCs/>
                      <w:color w:val="auto"/>
                      <w:sz w:val="21"/>
                      <w:szCs w:val="21"/>
                    </w:rPr>
                  </w:pPr>
                </w:p>
              </w:tc>
              <w:tc>
                <w:tcPr>
                  <w:tcW w:w="498" w:type="pct"/>
                  <w:vMerge w:val="continue"/>
                  <w:tcBorders>
                    <w:tl2br w:val="nil"/>
                    <w:tr2bl w:val="nil"/>
                  </w:tcBorders>
                  <w:vAlign w:val="center"/>
                </w:tcPr>
                <w:p>
                  <w:pPr>
                    <w:spacing w:line="240" w:lineRule="auto"/>
                    <w:jc w:val="center"/>
                    <w:rPr>
                      <w:b/>
                      <w:bCs/>
                      <w:color w:val="auto"/>
                      <w:sz w:val="21"/>
                      <w:szCs w:val="21"/>
                    </w:rPr>
                  </w:pPr>
                </w:p>
              </w:tc>
              <w:tc>
                <w:tcPr>
                  <w:tcW w:w="361" w:type="pct"/>
                  <w:vMerge w:val="continue"/>
                  <w:tcBorders>
                    <w:tl2br w:val="nil"/>
                    <w:tr2bl w:val="nil"/>
                  </w:tcBorders>
                  <w:vAlign w:val="center"/>
                </w:tcPr>
                <w:p>
                  <w:pPr>
                    <w:spacing w:line="240" w:lineRule="auto"/>
                    <w:jc w:val="center"/>
                    <w:rPr>
                      <w:b/>
                      <w:bCs/>
                      <w:color w:val="auto"/>
                      <w:sz w:val="21"/>
                      <w:szCs w:val="21"/>
                    </w:rPr>
                  </w:pPr>
                </w:p>
              </w:tc>
              <w:tc>
                <w:tcPr>
                  <w:tcW w:w="859" w:type="pct"/>
                  <w:vMerge w:val="continue"/>
                  <w:tcBorders>
                    <w:tl2br w:val="nil"/>
                    <w:tr2bl w:val="nil"/>
                  </w:tcBorders>
                  <w:vAlign w:val="center"/>
                </w:tcPr>
                <w:p>
                  <w:pPr>
                    <w:spacing w:line="240" w:lineRule="auto"/>
                    <w:ind w:firstLine="0" w:firstLineChars="0"/>
                    <w:jc w:val="center"/>
                    <w:rPr>
                      <w:b/>
                      <w:bCs/>
                      <w:color w:val="auto"/>
                      <w:sz w:val="21"/>
                      <w:szCs w:val="21"/>
                    </w:rPr>
                  </w:pPr>
                </w:p>
              </w:tc>
              <w:tc>
                <w:tcPr>
                  <w:tcW w:w="357" w:type="pct"/>
                  <w:vMerge w:val="continue"/>
                  <w:tcBorders>
                    <w:tl2br w:val="nil"/>
                    <w:tr2bl w:val="nil"/>
                  </w:tcBorders>
                  <w:vAlign w:val="center"/>
                </w:tcPr>
                <w:p>
                  <w:pPr>
                    <w:spacing w:line="240" w:lineRule="auto"/>
                    <w:ind w:firstLine="0" w:firstLineChars="0"/>
                    <w:jc w:val="center"/>
                    <w:rPr>
                      <w:b/>
                      <w:bCs/>
                      <w:color w:val="auto"/>
                      <w:sz w:val="21"/>
                      <w:szCs w:val="21"/>
                    </w:rPr>
                  </w:pPr>
                </w:p>
              </w:tc>
              <w:tc>
                <w:tcPr>
                  <w:tcW w:w="451" w:type="pct"/>
                  <w:tcBorders>
                    <w:tl2br w:val="nil"/>
                    <w:tr2bl w:val="nil"/>
                  </w:tcBorders>
                  <w:vAlign w:val="center"/>
                </w:tcPr>
                <w:p>
                  <w:pPr>
                    <w:spacing w:line="240" w:lineRule="auto"/>
                    <w:jc w:val="center"/>
                    <w:rPr>
                      <w:rFonts w:hint="eastAsia" w:eastAsia="宋体"/>
                      <w:b/>
                      <w:bCs/>
                      <w:color w:val="auto"/>
                      <w:sz w:val="21"/>
                      <w:szCs w:val="21"/>
                      <w:lang w:eastAsia="zh-CN"/>
                    </w:rPr>
                  </w:pPr>
                  <w:r>
                    <w:rPr>
                      <w:b/>
                      <w:bCs/>
                      <w:color w:val="auto"/>
                      <w:sz w:val="21"/>
                      <w:szCs w:val="21"/>
                    </w:rPr>
                    <w:t>名称</w:t>
                  </w:r>
                  <w:r>
                    <w:rPr>
                      <w:rFonts w:hint="eastAsia"/>
                      <w:b/>
                      <w:bCs/>
                      <w:color w:val="auto"/>
                      <w:sz w:val="21"/>
                      <w:szCs w:val="21"/>
                      <w:lang w:eastAsia="zh-CN"/>
                    </w:rPr>
                    <w:t>及净化效率</w:t>
                  </w:r>
                </w:p>
              </w:tc>
              <w:tc>
                <w:tcPr>
                  <w:tcW w:w="420" w:type="pct"/>
                  <w:tcBorders>
                    <w:tl2br w:val="nil"/>
                    <w:tr2bl w:val="nil"/>
                  </w:tcBorders>
                  <w:vAlign w:val="center"/>
                </w:tcPr>
                <w:p>
                  <w:pPr>
                    <w:spacing w:line="240" w:lineRule="auto"/>
                    <w:jc w:val="center"/>
                    <w:rPr>
                      <w:b/>
                      <w:bCs/>
                      <w:color w:val="auto"/>
                      <w:sz w:val="21"/>
                      <w:szCs w:val="21"/>
                    </w:rPr>
                  </w:pPr>
                  <w:r>
                    <w:rPr>
                      <w:b/>
                      <w:bCs/>
                      <w:color w:val="auto"/>
                      <w:sz w:val="21"/>
                      <w:szCs w:val="21"/>
                    </w:rPr>
                    <w:t>是否为可行技术</w:t>
                  </w:r>
                </w:p>
              </w:tc>
              <w:tc>
                <w:tcPr>
                  <w:tcW w:w="629" w:type="pct"/>
                  <w:vMerge w:val="continue"/>
                  <w:tcBorders>
                    <w:tl2br w:val="nil"/>
                    <w:tr2bl w:val="nil"/>
                  </w:tcBorders>
                  <w:vAlign w:val="center"/>
                </w:tcPr>
                <w:p>
                  <w:pPr>
                    <w:spacing w:line="240" w:lineRule="auto"/>
                    <w:jc w:val="center"/>
                    <w:rPr>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12" w:type="pct"/>
                  <w:vMerge w:val="restar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病理实验室</w:t>
                  </w:r>
                  <w:r>
                    <w:rPr>
                      <w:color w:val="auto"/>
                      <w:sz w:val="21"/>
                      <w:szCs w:val="21"/>
                    </w:rPr>
                    <w:t>(P1)</w:t>
                  </w:r>
                </w:p>
              </w:tc>
              <w:tc>
                <w:tcPr>
                  <w:tcW w:w="1109" w:type="pc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rPr>
                    <w:t>HE染色实验</w:t>
                  </w:r>
                  <w:r>
                    <w:rPr>
                      <w:rFonts w:hint="eastAsia"/>
                      <w:color w:val="auto"/>
                      <w:sz w:val="21"/>
                      <w:szCs w:val="21"/>
                      <w:lang w:eastAsia="zh-CN"/>
                    </w:rPr>
                    <w:t>组织脱水、脱蜡至水、染色、脱水过程</w:t>
                  </w:r>
                </w:p>
              </w:tc>
              <w:tc>
                <w:tcPr>
                  <w:tcW w:w="498" w:type="pct"/>
                  <w:vMerge w:val="restar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eastAsia="zh-CN"/>
                    </w:rPr>
                    <w:t>非甲烷总烃</w:t>
                  </w:r>
                </w:p>
                <w:p>
                  <w:pPr>
                    <w:spacing w:line="240" w:lineRule="auto"/>
                    <w:jc w:val="center"/>
                    <w:rPr>
                      <w:rFonts w:hint="eastAsia"/>
                      <w:color w:val="auto"/>
                      <w:sz w:val="21"/>
                      <w:szCs w:val="21"/>
                      <w:lang w:eastAsia="zh-CN"/>
                    </w:rPr>
                  </w:pPr>
                  <w:r>
                    <w:rPr>
                      <w:rFonts w:hint="eastAsia"/>
                      <w:color w:val="auto"/>
                      <w:sz w:val="21"/>
                      <w:szCs w:val="21"/>
                      <w:lang w:eastAsia="zh-CN"/>
                    </w:rPr>
                    <w:t>TRVOC</w:t>
                  </w:r>
                </w:p>
                <w:p>
                  <w:pPr>
                    <w:spacing w:line="240" w:lineRule="auto"/>
                    <w:jc w:val="center"/>
                    <w:rPr>
                      <w:rFonts w:hint="eastAsia"/>
                      <w:color w:val="auto"/>
                      <w:sz w:val="21"/>
                      <w:szCs w:val="21"/>
                      <w:lang w:eastAsia="zh-CN"/>
                    </w:rPr>
                  </w:pPr>
                  <w:r>
                    <w:rPr>
                      <w:rFonts w:hint="eastAsia"/>
                      <w:color w:val="auto"/>
                      <w:sz w:val="21"/>
                      <w:szCs w:val="21"/>
                      <w:lang w:eastAsia="zh-CN"/>
                    </w:rPr>
                    <w:t>甲醇</w:t>
                  </w:r>
                </w:p>
                <w:p>
                  <w:pPr>
                    <w:spacing w:line="240" w:lineRule="auto"/>
                    <w:jc w:val="center"/>
                    <w:rPr>
                      <w:rFonts w:hint="eastAsia"/>
                      <w:color w:val="auto"/>
                      <w:sz w:val="21"/>
                      <w:szCs w:val="21"/>
                      <w:lang w:eastAsia="zh-CN"/>
                    </w:rPr>
                  </w:pPr>
                  <w:r>
                    <w:rPr>
                      <w:rFonts w:hint="eastAsia"/>
                      <w:color w:val="auto"/>
                      <w:sz w:val="21"/>
                      <w:szCs w:val="21"/>
                      <w:lang w:eastAsia="zh-CN"/>
                    </w:rPr>
                    <w:t>二甲苯</w:t>
                  </w:r>
                </w:p>
                <w:p>
                  <w:pPr>
                    <w:spacing w:line="240" w:lineRule="auto"/>
                    <w:jc w:val="center"/>
                    <w:rPr>
                      <w:rFonts w:hint="eastAsia"/>
                      <w:color w:val="auto"/>
                      <w:sz w:val="21"/>
                      <w:szCs w:val="21"/>
                      <w:lang w:eastAsia="zh-CN"/>
                    </w:rPr>
                  </w:pPr>
                  <w:r>
                    <w:rPr>
                      <w:rFonts w:hint="eastAsia"/>
                      <w:color w:val="auto"/>
                      <w:sz w:val="21"/>
                      <w:szCs w:val="21"/>
                      <w:lang w:eastAsia="zh-CN"/>
                    </w:rPr>
                    <w:t>氯化氢</w:t>
                  </w:r>
                </w:p>
                <w:p>
                  <w:pPr>
                    <w:spacing w:line="240" w:lineRule="auto"/>
                    <w:jc w:val="center"/>
                    <w:rPr>
                      <w:rFonts w:hint="eastAsia"/>
                      <w:color w:val="auto"/>
                      <w:sz w:val="21"/>
                      <w:szCs w:val="21"/>
                      <w:lang w:eastAsia="zh-CN"/>
                    </w:rPr>
                  </w:pPr>
                  <w:r>
                    <w:rPr>
                      <w:rFonts w:hint="eastAsia"/>
                      <w:color w:val="auto"/>
                      <w:sz w:val="21"/>
                      <w:szCs w:val="21"/>
                      <w:lang w:eastAsia="zh-CN"/>
                    </w:rPr>
                    <w:t>氨</w:t>
                  </w:r>
                </w:p>
                <w:p>
                  <w:pPr>
                    <w:spacing w:line="240" w:lineRule="auto"/>
                    <w:jc w:val="center"/>
                    <w:rPr>
                      <w:rFonts w:hint="eastAsia"/>
                      <w:color w:val="auto"/>
                      <w:sz w:val="21"/>
                      <w:szCs w:val="21"/>
                      <w:lang w:eastAsia="zh-CN"/>
                    </w:rPr>
                  </w:pPr>
                  <w:r>
                    <w:rPr>
                      <w:rFonts w:hint="eastAsia"/>
                      <w:color w:val="auto"/>
                      <w:sz w:val="21"/>
                      <w:szCs w:val="21"/>
                      <w:lang w:eastAsia="zh-CN"/>
                    </w:rPr>
                    <w:t>硫化氢</w:t>
                  </w:r>
                </w:p>
                <w:p>
                  <w:pPr>
                    <w:spacing w:line="240" w:lineRule="auto"/>
                    <w:jc w:val="center"/>
                    <w:rPr>
                      <w:rFonts w:hint="eastAsia"/>
                      <w:color w:val="auto"/>
                      <w:sz w:val="21"/>
                      <w:szCs w:val="21"/>
                      <w:lang w:eastAsia="zh-CN"/>
                    </w:rPr>
                  </w:pPr>
                  <w:r>
                    <w:rPr>
                      <w:rFonts w:hint="eastAsia"/>
                      <w:color w:val="auto"/>
                      <w:sz w:val="21"/>
                      <w:szCs w:val="21"/>
                      <w:lang w:eastAsia="zh-CN"/>
                    </w:rPr>
                    <w:t>臭气浓度</w:t>
                  </w:r>
                </w:p>
                <w:p>
                  <w:pPr>
                    <w:spacing w:line="240" w:lineRule="auto"/>
                    <w:jc w:val="center"/>
                    <w:rPr>
                      <w:rFonts w:hint="default"/>
                      <w:color w:val="auto"/>
                      <w:sz w:val="21"/>
                      <w:szCs w:val="21"/>
                      <w:lang w:val="en-US" w:eastAsia="zh-CN"/>
                    </w:rPr>
                  </w:pPr>
                </w:p>
              </w:tc>
              <w:tc>
                <w:tcPr>
                  <w:tcW w:w="361" w:type="pct"/>
                  <w:vMerge w:val="restart"/>
                  <w:tcBorders>
                    <w:tl2br w:val="nil"/>
                    <w:tr2bl w:val="nil"/>
                  </w:tcBorders>
                  <w:vAlign w:val="center"/>
                </w:tcPr>
                <w:p>
                  <w:pPr>
                    <w:spacing w:line="240" w:lineRule="auto"/>
                    <w:jc w:val="center"/>
                    <w:rPr>
                      <w:rFonts w:hint="eastAsia" w:eastAsia="宋体"/>
                      <w:color w:val="auto"/>
                      <w:sz w:val="21"/>
                      <w:szCs w:val="21"/>
                      <w:lang w:eastAsia="zh-CN"/>
                    </w:rPr>
                  </w:pPr>
                  <w:r>
                    <w:rPr>
                      <w:color w:val="auto"/>
                      <w:sz w:val="21"/>
                      <w:szCs w:val="21"/>
                    </w:rPr>
                    <w:t>有组织</w:t>
                  </w:r>
                </w:p>
              </w:tc>
              <w:tc>
                <w:tcPr>
                  <w:tcW w:w="859" w:type="pct"/>
                  <w:vMerge w:val="restart"/>
                  <w:tcBorders>
                    <w:tl2br w:val="nil"/>
                    <w:tr2bl w:val="nil"/>
                  </w:tcBorders>
                  <w:vAlign w:val="center"/>
                </w:tcPr>
                <w:p>
                  <w:pPr>
                    <w:spacing w:line="240" w:lineRule="auto"/>
                    <w:ind w:firstLine="0" w:firstLineChars="0"/>
                    <w:jc w:val="center"/>
                    <w:rPr>
                      <w:rFonts w:hint="default"/>
                      <w:color w:val="auto"/>
                      <w:sz w:val="21"/>
                      <w:szCs w:val="21"/>
                      <w:lang w:val="en-US"/>
                    </w:rPr>
                  </w:pPr>
                  <w:r>
                    <w:rPr>
                      <w:rFonts w:hint="eastAsia"/>
                      <w:color w:val="auto"/>
                      <w:sz w:val="21"/>
                      <w:szCs w:val="21"/>
                      <w:lang w:eastAsia="zh-CN"/>
                    </w:rPr>
                    <w:t>通风橱、病理实验室整体排风，收集效率</w:t>
                  </w:r>
                  <w:r>
                    <w:rPr>
                      <w:rFonts w:hint="eastAsia"/>
                      <w:color w:val="auto"/>
                      <w:sz w:val="21"/>
                      <w:szCs w:val="21"/>
                      <w:lang w:val="en-US" w:eastAsia="zh-CN"/>
                    </w:rPr>
                    <w:t>100%</w:t>
                  </w:r>
                </w:p>
              </w:tc>
              <w:tc>
                <w:tcPr>
                  <w:tcW w:w="357" w:type="pct"/>
                  <w:vMerge w:val="restart"/>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23000</w:t>
                  </w:r>
                </w:p>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451" w:type="pct"/>
                  <w:vMerge w:val="restart"/>
                  <w:tcBorders>
                    <w:tl2br w:val="nil"/>
                    <w:tr2bl w:val="nil"/>
                  </w:tcBorders>
                  <w:vAlign w:val="center"/>
                </w:tcPr>
                <w:p>
                  <w:pPr>
                    <w:spacing w:line="240" w:lineRule="auto"/>
                    <w:jc w:val="center"/>
                    <w:rPr>
                      <w:rFonts w:hint="default"/>
                      <w:color w:val="auto"/>
                      <w:sz w:val="21"/>
                      <w:szCs w:val="21"/>
                      <w:lang w:val="en-US"/>
                    </w:rPr>
                  </w:pPr>
                  <w:r>
                    <w:rPr>
                      <w:rFonts w:hint="eastAsia"/>
                      <w:color w:val="auto"/>
                      <w:sz w:val="21"/>
                      <w:szCs w:val="21"/>
                    </w:rPr>
                    <w:t>活性炭吸附</w:t>
                  </w:r>
                  <w:r>
                    <w:rPr>
                      <w:rFonts w:hint="eastAsia"/>
                      <w:color w:val="auto"/>
                      <w:sz w:val="21"/>
                      <w:szCs w:val="21"/>
                      <w:lang w:val="en-US" w:eastAsia="zh-CN"/>
                    </w:rPr>
                    <w:t>装置，净化效率为60%</w:t>
                  </w:r>
                </w:p>
              </w:tc>
              <w:tc>
                <w:tcPr>
                  <w:tcW w:w="420" w:type="pct"/>
                  <w:vMerge w:val="restart"/>
                  <w:tcBorders>
                    <w:tl2br w:val="nil"/>
                    <w:tr2bl w:val="nil"/>
                  </w:tcBorders>
                  <w:vAlign w:val="center"/>
                </w:tcPr>
                <w:p>
                  <w:pPr>
                    <w:spacing w:line="240" w:lineRule="auto"/>
                    <w:jc w:val="center"/>
                    <w:rPr>
                      <w:color w:val="auto"/>
                      <w:sz w:val="21"/>
                      <w:szCs w:val="21"/>
                    </w:rPr>
                  </w:pPr>
                  <w:r>
                    <w:rPr>
                      <w:color w:val="auto"/>
                      <w:sz w:val="21"/>
                      <w:szCs w:val="21"/>
                    </w:rPr>
                    <w:t>是</w:t>
                  </w:r>
                </w:p>
              </w:tc>
              <w:tc>
                <w:tcPr>
                  <w:tcW w:w="629" w:type="pct"/>
                  <w:vMerge w:val="restart"/>
                  <w:tcBorders>
                    <w:tl2br w:val="nil"/>
                    <w:tr2bl w:val="nil"/>
                  </w:tcBorders>
                  <w:vAlign w:val="center"/>
                </w:tcPr>
                <w:p>
                  <w:pPr>
                    <w:spacing w:line="240" w:lineRule="auto"/>
                    <w:jc w:val="center"/>
                    <w:rPr>
                      <w:rFonts w:hint="eastAsia"/>
                      <w:color w:val="auto"/>
                      <w:sz w:val="21"/>
                      <w:szCs w:val="21"/>
                      <w:lang w:val="en-US" w:eastAsia="zh-CN"/>
                    </w:rPr>
                  </w:pPr>
                  <w:r>
                    <w:rPr>
                      <w:rFonts w:hint="eastAsia"/>
                      <w:color w:val="auto"/>
                      <w:sz w:val="21"/>
                      <w:szCs w:val="21"/>
                      <w:lang w:val="en-US" w:eastAsia="zh-CN"/>
                    </w:rPr>
                    <w:t>1250h/a</w:t>
                  </w:r>
                </w:p>
                <w:p>
                  <w:pPr>
                    <w:spacing w:line="240" w:lineRule="auto"/>
                    <w:jc w:val="center"/>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12" w:type="pct"/>
                  <w:vMerge w:val="continue"/>
                  <w:tcBorders>
                    <w:tl2br w:val="nil"/>
                    <w:tr2bl w:val="nil"/>
                  </w:tcBorders>
                  <w:vAlign w:val="center"/>
                </w:tcPr>
                <w:p>
                  <w:pPr>
                    <w:spacing w:line="240" w:lineRule="auto"/>
                    <w:jc w:val="center"/>
                    <w:rPr>
                      <w:color w:val="auto"/>
                      <w:sz w:val="21"/>
                      <w:szCs w:val="21"/>
                    </w:rPr>
                  </w:pPr>
                </w:p>
              </w:tc>
              <w:tc>
                <w:tcPr>
                  <w:tcW w:w="1109" w:type="pct"/>
                  <w:tcBorders>
                    <w:tl2br w:val="nil"/>
                    <w:tr2bl w:val="nil"/>
                  </w:tcBorders>
                  <w:vAlign w:val="center"/>
                </w:tcPr>
                <w:p>
                  <w:pPr>
                    <w:spacing w:line="240" w:lineRule="auto"/>
                    <w:jc w:val="center"/>
                    <w:rPr>
                      <w:color w:val="auto"/>
                      <w:sz w:val="21"/>
                      <w:szCs w:val="21"/>
                    </w:rPr>
                  </w:pPr>
                  <w:r>
                    <w:rPr>
                      <w:rFonts w:hint="eastAsia"/>
                      <w:color w:val="auto"/>
                      <w:sz w:val="21"/>
                      <w:szCs w:val="21"/>
                    </w:rPr>
                    <w:t>细胞滴片免疫组化实验</w:t>
                  </w:r>
                  <w:r>
                    <w:rPr>
                      <w:rFonts w:hint="eastAsia"/>
                      <w:color w:val="auto"/>
                      <w:sz w:val="21"/>
                      <w:szCs w:val="21"/>
                      <w:lang w:eastAsia="zh-CN"/>
                    </w:rPr>
                    <w:t>脱蜡至水</w:t>
                  </w:r>
                </w:p>
              </w:tc>
              <w:tc>
                <w:tcPr>
                  <w:tcW w:w="498" w:type="pct"/>
                  <w:vMerge w:val="continue"/>
                  <w:tcBorders>
                    <w:tl2br w:val="nil"/>
                    <w:tr2bl w:val="nil"/>
                  </w:tcBorders>
                  <w:vAlign w:val="center"/>
                </w:tcPr>
                <w:p>
                  <w:pPr>
                    <w:spacing w:line="240" w:lineRule="auto"/>
                    <w:jc w:val="center"/>
                    <w:rPr>
                      <w:color w:val="auto"/>
                      <w:sz w:val="21"/>
                      <w:szCs w:val="21"/>
                    </w:rPr>
                  </w:pPr>
                </w:p>
              </w:tc>
              <w:tc>
                <w:tcPr>
                  <w:tcW w:w="361" w:type="pct"/>
                  <w:vMerge w:val="continue"/>
                  <w:tcBorders>
                    <w:tl2br w:val="nil"/>
                    <w:tr2bl w:val="nil"/>
                  </w:tcBorders>
                  <w:vAlign w:val="center"/>
                </w:tcPr>
                <w:p>
                  <w:pPr>
                    <w:spacing w:line="240" w:lineRule="auto"/>
                    <w:jc w:val="center"/>
                    <w:rPr>
                      <w:color w:val="auto"/>
                      <w:sz w:val="21"/>
                      <w:szCs w:val="21"/>
                    </w:rPr>
                  </w:pPr>
                </w:p>
              </w:tc>
              <w:tc>
                <w:tcPr>
                  <w:tcW w:w="859" w:type="pct"/>
                  <w:vMerge w:val="continue"/>
                  <w:tcBorders>
                    <w:tl2br w:val="nil"/>
                    <w:tr2bl w:val="nil"/>
                  </w:tcBorders>
                  <w:vAlign w:val="center"/>
                </w:tcPr>
                <w:p>
                  <w:pPr>
                    <w:spacing w:line="240" w:lineRule="auto"/>
                    <w:jc w:val="center"/>
                    <w:rPr>
                      <w:color w:val="auto"/>
                      <w:sz w:val="21"/>
                      <w:szCs w:val="21"/>
                    </w:rPr>
                  </w:pPr>
                </w:p>
              </w:tc>
              <w:tc>
                <w:tcPr>
                  <w:tcW w:w="357" w:type="pct"/>
                  <w:vMerge w:val="continue"/>
                  <w:tcBorders>
                    <w:tl2br w:val="nil"/>
                    <w:tr2bl w:val="nil"/>
                  </w:tcBorders>
                  <w:vAlign w:val="center"/>
                </w:tcPr>
                <w:p>
                  <w:pPr>
                    <w:spacing w:line="240" w:lineRule="auto"/>
                    <w:jc w:val="center"/>
                    <w:rPr>
                      <w:color w:val="auto"/>
                      <w:sz w:val="21"/>
                      <w:szCs w:val="21"/>
                    </w:rPr>
                  </w:pPr>
                </w:p>
              </w:tc>
              <w:tc>
                <w:tcPr>
                  <w:tcW w:w="451" w:type="pct"/>
                  <w:vMerge w:val="continue"/>
                  <w:tcBorders>
                    <w:tl2br w:val="nil"/>
                    <w:tr2bl w:val="nil"/>
                  </w:tcBorders>
                  <w:vAlign w:val="center"/>
                </w:tcPr>
                <w:p>
                  <w:pPr>
                    <w:spacing w:line="240" w:lineRule="auto"/>
                    <w:jc w:val="center"/>
                    <w:rPr>
                      <w:color w:val="auto"/>
                      <w:sz w:val="21"/>
                      <w:szCs w:val="21"/>
                    </w:rPr>
                  </w:pPr>
                </w:p>
              </w:tc>
              <w:tc>
                <w:tcPr>
                  <w:tcW w:w="420" w:type="pct"/>
                  <w:vMerge w:val="continue"/>
                  <w:tcBorders>
                    <w:tl2br w:val="nil"/>
                    <w:tr2bl w:val="nil"/>
                  </w:tcBorders>
                  <w:vAlign w:val="center"/>
                </w:tcPr>
                <w:p>
                  <w:pPr>
                    <w:spacing w:line="240" w:lineRule="auto"/>
                    <w:jc w:val="center"/>
                    <w:rPr>
                      <w:color w:val="auto"/>
                      <w:sz w:val="21"/>
                      <w:szCs w:val="21"/>
                    </w:rPr>
                  </w:pPr>
                </w:p>
              </w:tc>
              <w:tc>
                <w:tcPr>
                  <w:tcW w:w="629" w:type="pct"/>
                  <w:vMerge w:val="continue"/>
                  <w:tcBorders>
                    <w:tl2br w:val="nil"/>
                    <w:tr2bl w:val="nil"/>
                  </w:tcBorders>
                  <w:vAlign w:val="center"/>
                </w:tcPr>
                <w:p>
                  <w:pPr>
                    <w:spacing w:line="240" w:lineRule="auto"/>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9" w:hRule="atLeast"/>
              </w:trPr>
              <w:tc>
                <w:tcPr>
                  <w:tcW w:w="312" w:type="pct"/>
                  <w:vMerge w:val="continue"/>
                  <w:tcBorders>
                    <w:tl2br w:val="nil"/>
                    <w:tr2bl w:val="nil"/>
                  </w:tcBorders>
                  <w:vAlign w:val="center"/>
                </w:tcPr>
                <w:p>
                  <w:pPr>
                    <w:spacing w:line="240" w:lineRule="auto"/>
                    <w:jc w:val="center"/>
                    <w:rPr>
                      <w:rFonts w:hint="eastAsia"/>
                      <w:color w:val="auto"/>
                      <w:sz w:val="21"/>
                      <w:szCs w:val="21"/>
                    </w:rPr>
                  </w:pPr>
                </w:p>
              </w:tc>
              <w:tc>
                <w:tcPr>
                  <w:tcW w:w="1109" w:type="pc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eastAsia="zh-CN"/>
                    </w:rPr>
                    <w:t>石蜡切片免疫组化实验脱蜡至水、复染细胞核分化液</w:t>
                  </w:r>
                  <w:r>
                    <w:rPr>
                      <w:rFonts w:hint="eastAsia"/>
                      <w:color w:val="auto"/>
                      <w:sz w:val="21"/>
                      <w:szCs w:val="21"/>
                      <w:lang w:val="en-US" w:eastAsia="zh-CN"/>
                    </w:rPr>
                    <w:t>苏木素</w:t>
                  </w:r>
                  <w:r>
                    <w:rPr>
                      <w:rFonts w:hint="eastAsia"/>
                      <w:color w:val="auto"/>
                      <w:sz w:val="21"/>
                      <w:szCs w:val="21"/>
                      <w:lang w:eastAsia="zh-CN"/>
                    </w:rPr>
                    <w:t>、脱水</w:t>
                  </w:r>
                </w:p>
              </w:tc>
              <w:tc>
                <w:tcPr>
                  <w:tcW w:w="498" w:type="pct"/>
                  <w:vMerge w:val="continue"/>
                  <w:tcBorders>
                    <w:tl2br w:val="nil"/>
                    <w:tr2bl w:val="nil"/>
                  </w:tcBorders>
                  <w:vAlign w:val="center"/>
                </w:tcPr>
                <w:p>
                  <w:pPr>
                    <w:spacing w:line="240" w:lineRule="auto"/>
                    <w:jc w:val="center"/>
                    <w:rPr>
                      <w:rFonts w:hint="eastAsia"/>
                      <w:color w:val="auto"/>
                      <w:sz w:val="21"/>
                      <w:szCs w:val="21"/>
                    </w:rPr>
                  </w:pPr>
                </w:p>
              </w:tc>
              <w:tc>
                <w:tcPr>
                  <w:tcW w:w="361" w:type="pct"/>
                  <w:vMerge w:val="continue"/>
                  <w:tcBorders>
                    <w:tl2br w:val="nil"/>
                    <w:tr2bl w:val="nil"/>
                  </w:tcBorders>
                  <w:vAlign w:val="center"/>
                </w:tcPr>
                <w:p>
                  <w:pPr>
                    <w:spacing w:line="240" w:lineRule="auto"/>
                    <w:jc w:val="center"/>
                    <w:rPr>
                      <w:rFonts w:hint="eastAsia"/>
                      <w:color w:val="auto"/>
                      <w:sz w:val="21"/>
                      <w:szCs w:val="21"/>
                    </w:rPr>
                  </w:pPr>
                </w:p>
              </w:tc>
              <w:tc>
                <w:tcPr>
                  <w:tcW w:w="859" w:type="pct"/>
                  <w:vMerge w:val="continue"/>
                  <w:tcBorders>
                    <w:tl2br w:val="nil"/>
                    <w:tr2bl w:val="nil"/>
                  </w:tcBorders>
                  <w:vAlign w:val="center"/>
                </w:tcPr>
                <w:p>
                  <w:pPr>
                    <w:spacing w:line="240" w:lineRule="auto"/>
                    <w:jc w:val="center"/>
                    <w:rPr>
                      <w:rFonts w:hint="eastAsia"/>
                      <w:color w:val="auto"/>
                      <w:sz w:val="21"/>
                      <w:szCs w:val="21"/>
                    </w:rPr>
                  </w:pPr>
                </w:p>
              </w:tc>
              <w:tc>
                <w:tcPr>
                  <w:tcW w:w="357" w:type="pct"/>
                  <w:vMerge w:val="continue"/>
                  <w:tcBorders>
                    <w:tl2br w:val="nil"/>
                    <w:tr2bl w:val="nil"/>
                  </w:tcBorders>
                  <w:vAlign w:val="center"/>
                </w:tcPr>
                <w:p>
                  <w:pPr>
                    <w:spacing w:line="240" w:lineRule="auto"/>
                    <w:jc w:val="center"/>
                    <w:rPr>
                      <w:rFonts w:hint="eastAsia"/>
                      <w:color w:val="auto"/>
                      <w:sz w:val="21"/>
                      <w:szCs w:val="21"/>
                    </w:rPr>
                  </w:pPr>
                </w:p>
              </w:tc>
              <w:tc>
                <w:tcPr>
                  <w:tcW w:w="451" w:type="pct"/>
                  <w:vMerge w:val="continue"/>
                  <w:tcBorders>
                    <w:tl2br w:val="nil"/>
                    <w:tr2bl w:val="nil"/>
                  </w:tcBorders>
                  <w:vAlign w:val="center"/>
                </w:tcPr>
                <w:p>
                  <w:pPr>
                    <w:spacing w:line="240" w:lineRule="auto"/>
                    <w:jc w:val="center"/>
                    <w:rPr>
                      <w:rFonts w:hint="eastAsia"/>
                      <w:color w:val="auto"/>
                      <w:sz w:val="21"/>
                      <w:szCs w:val="21"/>
                    </w:rPr>
                  </w:pPr>
                </w:p>
              </w:tc>
              <w:tc>
                <w:tcPr>
                  <w:tcW w:w="420" w:type="pct"/>
                  <w:vMerge w:val="continue"/>
                  <w:tcBorders>
                    <w:tl2br w:val="nil"/>
                    <w:tr2bl w:val="nil"/>
                  </w:tcBorders>
                  <w:vAlign w:val="center"/>
                </w:tcPr>
                <w:p>
                  <w:pPr>
                    <w:spacing w:line="240" w:lineRule="auto"/>
                    <w:jc w:val="center"/>
                    <w:rPr>
                      <w:rFonts w:hint="eastAsia"/>
                      <w:color w:val="auto"/>
                      <w:sz w:val="21"/>
                      <w:szCs w:val="21"/>
                    </w:rPr>
                  </w:pPr>
                </w:p>
              </w:tc>
              <w:tc>
                <w:tcPr>
                  <w:tcW w:w="629" w:type="pct"/>
                  <w:vMerge w:val="continue"/>
                  <w:tcBorders>
                    <w:tl2br w:val="nil"/>
                    <w:tr2bl w:val="nil"/>
                  </w:tcBorders>
                  <w:vAlign w:val="center"/>
                </w:tcPr>
                <w:p>
                  <w:pPr>
                    <w:spacing w:line="240" w:lineRule="auto"/>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9" w:hRule="atLeast"/>
              </w:trPr>
              <w:tc>
                <w:tcPr>
                  <w:tcW w:w="312" w:type="pct"/>
                  <w:vMerge w:val="continue"/>
                  <w:tcBorders>
                    <w:tl2br w:val="nil"/>
                    <w:tr2bl w:val="nil"/>
                  </w:tcBorders>
                  <w:vAlign w:val="center"/>
                </w:tcPr>
                <w:p>
                  <w:pPr>
                    <w:spacing w:line="240" w:lineRule="auto"/>
                    <w:jc w:val="center"/>
                    <w:rPr>
                      <w:rFonts w:hint="eastAsia"/>
                      <w:color w:val="auto"/>
                      <w:sz w:val="21"/>
                      <w:szCs w:val="21"/>
                    </w:rPr>
                  </w:pPr>
                </w:p>
              </w:tc>
              <w:tc>
                <w:tcPr>
                  <w:tcW w:w="1109" w:type="pc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eastAsia="zh-CN"/>
                    </w:rPr>
                    <w:t>RT-qPCR相对定量实验中RNA提取、溶液配制</w:t>
                  </w:r>
                </w:p>
              </w:tc>
              <w:tc>
                <w:tcPr>
                  <w:tcW w:w="498" w:type="pct"/>
                  <w:vMerge w:val="continue"/>
                  <w:tcBorders>
                    <w:tl2br w:val="nil"/>
                    <w:tr2bl w:val="nil"/>
                  </w:tcBorders>
                  <w:vAlign w:val="center"/>
                </w:tcPr>
                <w:p>
                  <w:pPr>
                    <w:spacing w:line="240" w:lineRule="auto"/>
                    <w:jc w:val="center"/>
                    <w:rPr>
                      <w:rFonts w:hint="eastAsia"/>
                      <w:color w:val="auto"/>
                      <w:sz w:val="21"/>
                      <w:szCs w:val="21"/>
                    </w:rPr>
                  </w:pPr>
                </w:p>
              </w:tc>
              <w:tc>
                <w:tcPr>
                  <w:tcW w:w="361" w:type="pct"/>
                  <w:vMerge w:val="continue"/>
                  <w:tcBorders>
                    <w:tl2br w:val="nil"/>
                    <w:tr2bl w:val="nil"/>
                  </w:tcBorders>
                  <w:vAlign w:val="center"/>
                </w:tcPr>
                <w:p>
                  <w:pPr>
                    <w:spacing w:line="240" w:lineRule="auto"/>
                    <w:jc w:val="center"/>
                    <w:rPr>
                      <w:rFonts w:hint="eastAsia"/>
                      <w:color w:val="auto"/>
                      <w:sz w:val="21"/>
                      <w:szCs w:val="21"/>
                    </w:rPr>
                  </w:pPr>
                </w:p>
              </w:tc>
              <w:tc>
                <w:tcPr>
                  <w:tcW w:w="859" w:type="pct"/>
                  <w:vMerge w:val="continue"/>
                  <w:tcBorders>
                    <w:tl2br w:val="nil"/>
                    <w:tr2bl w:val="nil"/>
                  </w:tcBorders>
                  <w:vAlign w:val="center"/>
                </w:tcPr>
                <w:p>
                  <w:pPr>
                    <w:spacing w:line="240" w:lineRule="auto"/>
                    <w:jc w:val="center"/>
                    <w:rPr>
                      <w:rFonts w:hint="eastAsia"/>
                      <w:color w:val="auto"/>
                      <w:sz w:val="21"/>
                      <w:szCs w:val="21"/>
                    </w:rPr>
                  </w:pPr>
                </w:p>
              </w:tc>
              <w:tc>
                <w:tcPr>
                  <w:tcW w:w="357" w:type="pct"/>
                  <w:vMerge w:val="continue"/>
                  <w:tcBorders>
                    <w:tl2br w:val="nil"/>
                    <w:tr2bl w:val="nil"/>
                  </w:tcBorders>
                  <w:vAlign w:val="center"/>
                </w:tcPr>
                <w:p>
                  <w:pPr>
                    <w:spacing w:line="240" w:lineRule="auto"/>
                    <w:jc w:val="center"/>
                    <w:rPr>
                      <w:rFonts w:hint="eastAsia"/>
                      <w:color w:val="auto"/>
                      <w:sz w:val="21"/>
                      <w:szCs w:val="21"/>
                    </w:rPr>
                  </w:pPr>
                </w:p>
              </w:tc>
              <w:tc>
                <w:tcPr>
                  <w:tcW w:w="451" w:type="pct"/>
                  <w:vMerge w:val="continue"/>
                  <w:tcBorders>
                    <w:tl2br w:val="nil"/>
                    <w:tr2bl w:val="nil"/>
                  </w:tcBorders>
                  <w:vAlign w:val="center"/>
                </w:tcPr>
                <w:p>
                  <w:pPr>
                    <w:spacing w:line="240" w:lineRule="auto"/>
                    <w:jc w:val="center"/>
                    <w:rPr>
                      <w:rFonts w:hint="eastAsia"/>
                      <w:color w:val="auto"/>
                      <w:sz w:val="21"/>
                      <w:szCs w:val="21"/>
                    </w:rPr>
                  </w:pPr>
                </w:p>
              </w:tc>
              <w:tc>
                <w:tcPr>
                  <w:tcW w:w="420" w:type="pct"/>
                  <w:vMerge w:val="continue"/>
                  <w:tcBorders>
                    <w:tl2br w:val="nil"/>
                    <w:tr2bl w:val="nil"/>
                  </w:tcBorders>
                  <w:vAlign w:val="center"/>
                </w:tcPr>
                <w:p>
                  <w:pPr>
                    <w:spacing w:line="240" w:lineRule="auto"/>
                    <w:jc w:val="center"/>
                    <w:rPr>
                      <w:rFonts w:hint="eastAsia"/>
                      <w:color w:val="auto"/>
                      <w:sz w:val="21"/>
                      <w:szCs w:val="21"/>
                    </w:rPr>
                  </w:pPr>
                </w:p>
              </w:tc>
              <w:tc>
                <w:tcPr>
                  <w:tcW w:w="629" w:type="pct"/>
                  <w:vMerge w:val="continue"/>
                  <w:tcBorders>
                    <w:tl2br w:val="nil"/>
                    <w:tr2bl w:val="nil"/>
                  </w:tcBorders>
                  <w:vAlign w:val="center"/>
                </w:tcPr>
                <w:p>
                  <w:pPr>
                    <w:spacing w:line="240" w:lineRule="auto"/>
                    <w:jc w:val="center"/>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29" w:hRule="atLeast"/>
              </w:trPr>
              <w:tc>
                <w:tcPr>
                  <w:tcW w:w="312" w:type="pct"/>
                  <w:vMerge w:val="continue"/>
                  <w:tcBorders>
                    <w:tl2br w:val="nil"/>
                    <w:tr2bl w:val="nil"/>
                  </w:tcBorders>
                  <w:vAlign w:val="center"/>
                </w:tcPr>
                <w:p>
                  <w:pPr>
                    <w:snapToGrid w:val="0"/>
                    <w:spacing w:line="240" w:lineRule="auto"/>
                    <w:ind w:firstLine="0" w:firstLineChars="0"/>
                    <w:jc w:val="center"/>
                    <w:rPr>
                      <w:color w:val="auto"/>
                      <w:sz w:val="21"/>
                      <w:szCs w:val="21"/>
                    </w:rPr>
                  </w:pPr>
                </w:p>
              </w:tc>
              <w:tc>
                <w:tcPr>
                  <w:tcW w:w="1109" w:type="pct"/>
                  <w:tcBorders>
                    <w:tl2br w:val="nil"/>
                    <w:tr2bl w:val="nil"/>
                  </w:tcBorders>
                  <w:vAlign w:val="center"/>
                </w:tcPr>
                <w:p>
                  <w:pPr>
                    <w:spacing w:line="240" w:lineRule="auto"/>
                    <w:jc w:val="center"/>
                    <w:rPr>
                      <w:rFonts w:hint="eastAsia"/>
                      <w:color w:val="auto"/>
                      <w:sz w:val="21"/>
                      <w:szCs w:val="21"/>
                      <w:lang w:eastAsia="zh-CN"/>
                    </w:rPr>
                  </w:pPr>
                  <w:r>
                    <w:rPr>
                      <w:rFonts w:hint="eastAsia"/>
                      <w:color w:val="auto"/>
                      <w:sz w:val="21"/>
                      <w:szCs w:val="21"/>
                      <w:lang w:val="en-US" w:eastAsia="zh-CN"/>
                    </w:rPr>
                    <w:t>Western Blot检测转膜过程</w:t>
                  </w:r>
                </w:p>
              </w:tc>
              <w:tc>
                <w:tcPr>
                  <w:tcW w:w="498"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361"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859"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357"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451"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420"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c>
                <w:tcPr>
                  <w:tcW w:w="629" w:type="pct"/>
                  <w:vMerge w:val="continue"/>
                  <w:tcBorders>
                    <w:tl2br w:val="nil"/>
                    <w:tr2bl w:val="nil"/>
                  </w:tcBorders>
                  <w:vAlign w:val="center"/>
                </w:tcPr>
                <w:p>
                  <w:pPr>
                    <w:snapToGrid w:val="0"/>
                    <w:spacing w:line="240" w:lineRule="auto"/>
                    <w:ind w:firstLine="0" w:firstLineChars="0"/>
                    <w:jc w:val="center"/>
                    <w:rPr>
                      <w:rFonts w:hint="eastAsia"/>
                      <w:color w:val="auto"/>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6" w:hRule="atLeast"/>
              </w:trPr>
              <w:tc>
                <w:tcPr>
                  <w:tcW w:w="312" w:type="pct"/>
                  <w:tcBorders>
                    <w:tl2br w:val="nil"/>
                    <w:tr2bl w:val="nil"/>
                  </w:tcBorders>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val="en-US" w:eastAsia="zh-CN"/>
                    </w:rPr>
                    <w:t>鼠饲养间</w:t>
                  </w:r>
                  <w:r>
                    <w:rPr>
                      <w:color w:val="auto"/>
                      <w:sz w:val="21"/>
                      <w:szCs w:val="21"/>
                    </w:rPr>
                    <w:t>(P1)</w:t>
                  </w:r>
                </w:p>
              </w:tc>
              <w:tc>
                <w:tcPr>
                  <w:tcW w:w="1109"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消毒、饲养异味</w:t>
                  </w:r>
                </w:p>
              </w:tc>
              <w:tc>
                <w:tcPr>
                  <w:tcW w:w="498" w:type="pct"/>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61" w:type="pct"/>
                  <w:vMerge w:val="continue"/>
                  <w:tcBorders>
                    <w:tl2br w:val="nil"/>
                    <w:tr2bl w:val="nil"/>
                  </w:tcBorders>
                  <w:vAlign w:val="center"/>
                </w:tcPr>
                <w:p>
                  <w:pPr>
                    <w:spacing w:line="240" w:lineRule="auto"/>
                    <w:jc w:val="center"/>
                    <w:rPr>
                      <w:rFonts w:hint="eastAsia" w:eastAsia="宋体"/>
                      <w:color w:val="auto"/>
                      <w:sz w:val="21"/>
                      <w:szCs w:val="21"/>
                      <w:lang w:eastAsia="zh-CN"/>
                    </w:rPr>
                  </w:pPr>
                </w:p>
              </w:tc>
              <w:tc>
                <w:tcPr>
                  <w:tcW w:w="859" w:type="pct"/>
                  <w:tcBorders>
                    <w:tl2br w:val="nil"/>
                    <w:tr2bl w:val="nil"/>
                  </w:tcBorders>
                  <w:vAlign w:val="center"/>
                </w:tcPr>
                <w:p>
                  <w:pPr>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洁净车间排风系统，收集效率</w:t>
                  </w:r>
                  <w:r>
                    <w:rPr>
                      <w:rFonts w:hint="eastAsia"/>
                      <w:color w:val="auto"/>
                      <w:sz w:val="21"/>
                      <w:szCs w:val="21"/>
                      <w:lang w:val="en-US" w:eastAsia="zh-CN"/>
                    </w:rPr>
                    <w:t>100%</w:t>
                  </w:r>
                </w:p>
              </w:tc>
              <w:tc>
                <w:tcPr>
                  <w:tcW w:w="357" w:type="pct"/>
                  <w:vMerge w:val="continue"/>
                  <w:tcBorders>
                    <w:tl2br w:val="nil"/>
                    <w:tr2bl w:val="nil"/>
                  </w:tcBorders>
                  <w:vAlign w:val="center"/>
                </w:tcPr>
                <w:p>
                  <w:pPr>
                    <w:spacing w:line="240" w:lineRule="auto"/>
                    <w:ind w:firstLine="0" w:firstLineChars="0"/>
                    <w:jc w:val="center"/>
                    <w:rPr>
                      <w:rFonts w:hint="eastAsia"/>
                      <w:color w:val="auto"/>
                      <w:sz w:val="21"/>
                      <w:szCs w:val="21"/>
                      <w:lang w:eastAsia="zh-CN"/>
                    </w:rPr>
                  </w:pPr>
                </w:p>
              </w:tc>
              <w:tc>
                <w:tcPr>
                  <w:tcW w:w="451" w:type="pct"/>
                  <w:vMerge w:val="continue"/>
                  <w:tcBorders>
                    <w:tl2br w:val="nil"/>
                    <w:tr2bl w:val="nil"/>
                  </w:tcBorders>
                  <w:vAlign w:val="center"/>
                </w:tcPr>
                <w:p>
                  <w:pPr>
                    <w:spacing w:line="240" w:lineRule="auto"/>
                    <w:jc w:val="center"/>
                    <w:rPr>
                      <w:color w:val="auto"/>
                      <w:sz w:val="21"/>
                      <w:szCs w:val="21"/>
                    </w:rPr>
                  </w:pPr>
                </w:p>
              </w:tc>
              <w:tc>
                <w:tcPr>
                  <w:tcW w:w="420" w:type="pct"/>
                  <w:vMerge w:val="continue"/>
                  <w:tcBorders>
                    <w:tl2br w:val="nil"/>
                    <w:tr2bl w:val="nil"/>
                  </w:tcBorders>
                  <w:vAlign w:val="center"/>
                </w:tcPr>
                <w:p>
                  <w:pPr>
                    <w:spacing w:line="240" w:lineRule="auto"/>
                    <w:jc w:val="center"/>
                    <w:rPr>
                      <w:color w:val="auto"/>
                      <w:sz w:val="21"/>
                      <w:szCs w:val="21"/>
                    </w:rPr>
                  </w:pPr>
                </w:p>
              </w:tc>
              <w:tc>
                <w:tcPr>
                  <w:tcW w:w="629" w:type="pct"/>
                  <w:vMerge w:val="restart"/>
                  <w:tcBorders>
                    <w:tl2br w:val="nil"/>
                    <w:tr2bl w:val="nil"/>
                  </w:tcBorders>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6000h/a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6" w:hRule="atLeast"/>
              </w:trPr>
              <w:tc>
                <w:tcPr>
                  <w:tcW w:w="312" w:type="pct"/>
                  <w:tcBorders>
                    <w:tl2br w:val="nil"/>
                    <w:tr2bl w:val="nil"/>
                  </w:tcBorders>
                  <w:vAlign w:val="center"/>
                </w:tcPr>
                <w:p>
                  <w:pPr>
                    <w:spacing w:line="240" w:lineRule="auto"/>
                    <w:ind w:firstLine="0" w:firstLineChars="0"/>
                    <w:jc w:val="center"/>
                    <w:rPr>
                      <w:rFonts w:hint="eastAsia"/>
                      <w:color w:val="auto"/>
                      <w:sz w:val="21"/>
                      <w:szCs w:val="21"/>
                      <w:lang w:eastAsia="zh-CN"/>
                    </w:rPr>
                  </w:pPr>
                  <w:r>
                    <w:rPr>
                      <w:rFonts w:hint="eastAsia"/>
                      <w:color w:val="auto"/>
                      <w:sz w:val="21"/>
                      <w:szCs w:val="21"/>
                      <w:lang w:val="en-US" w:eastAsia="zh-CN"/>
                    </w:rPr>
                    <w:t>兔饲养间</w:t>
                  </w:r>
                </w:p>
              </w:tc>
              <w:tc>
                <w:tcPr>
                  <w:tcW w:w="1109" w:type="pct"/>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饲养异味</w:t>
                  </w:r>
                </w:p>
              </w:tc>
              <w:tc>
                <w:tcPr>
                  <w:tcW w:w="498" w:type="pct"/>
                  <w:vMerge w:val="continue"/>
                  <w:tcBorders>
                    <w:tl2br w:val="nil"/>
                    <w:tr2bl w:val="nil"/>
                  </w:tcBorders>
                  <w:vAlign w:val="center"/>
                </w:tcPr>
                <w:p>
                  <w:pPr>
                    <w:spacing w:line="240" w:lineRule="auto"/>
                    <w:ind w:firstLine="0" w:firstLineChars="0"/>
                    <w:jc w:val="center"/>
                    <w:rPr>
                      <w:rFonts w:ascii="Times New Roman" w:hAnsi="Times New Roman" w:eastAsia="宋体" w:cs="Times New Roman"/>
                      <w:color w:val="auto"/>
                      <w:kern w:val="2"/>
                      <w:sz w:val="21"/>
                      <w:szCs w:val="21"/>
                      <w:lang w:val="en-US" w:eastAsia="zh-CN" w:bidi="ar-SA"/>
                    </w:rPr>
                  </w:pPr>
                </w:p>
              </w:tc>
              <w:tc>
                <w:tcPr>
                  <w:tcW w:w="361" w:type="pc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无组织</w:t>
                  </w:r>
                </w:p>
              </w:tc>
              <w:tc>
                <w:tcPr>
                  <w:tcW w:w="859" w:type="pct"/>
                  <w:tcBorders>
                    <w:tl2br w:val="nil"/>
                    <w:tr2bl w:val="nil"/>
                  </w:tcBorders>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357" w:type="pct"/>
                  <w:tcBorders>
                    <w:tl2br w:val="nil"/>
                    <w:tr2bl w:val="nil"/>
                  </w:tcBorders>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w:t>
                  </w:r>
                </w:p>
              </w:tc>
              <w:tc>
                <w:tcPr>
                  <w:tcW w:w="451" w:type="pct"/>
                  <w:tcBorders>
                    <w:tl2br w:val="nil"/>
                    <w:tr2bl w:val="nil"/>
                  </w:tcBorders>
                  <w:vAlign w:val="center"/>
                </w:tcPr>
                <w:p>
                  <w:pPr>
                    <w:spacing w:line="240" w:lineRule="auto"/>
                    <w:jc w:val="center"/>
                    <w:rPr>
                      <w:rFonts w:hint="eastAsia" w:eastAsia="宋体"/>
                      <w:color w:val="auto"/>
                      <w:sz w:val="21"/>
                      <w:szCs w:val="21"/>
                      <w:lang w:eastAsia="zh-CN"/>
                    </w:rPr>
                  </w:pPr>
                  <w:r>
                    <w:rPr>
                      <w:rFonts w:hint="eastAsia"/>
                      <w:color w:val="auto"/>
                      <w:sz w:val="21"/>
                      <w:szCs w:val="21"/>
                      <w:lang w:eastAsia="zh-CN"/>
                    </w:rPr>
                    <w:t>喷洒植物型除臭剂</w:t>
                  </w:r>
                </w:p>
              </w:tc>
              <w:tc>
                <w:tcPr>
                  <w:tcW w:w="420" w:type="pct"/>
                  <w:tcBorders>
                    <w:tl2br w:val="nil"/>
                    <w:tr2bl w:val="nil"/>
                  </w:tcBorders>
                  <w:vAlign w:val="center"/>
                </w:tcPr>
                <w:p>
                  <w:pPr>
                    <w:spacing w:line="240" w:lineRule="auto"/>
                    <w:jc w:val="center"/>
                    <w:rPr>
                      <w:color w:val="auto"/>
                      <w:sz w:val="21"/>
                      <w:szCs w:val="21"/>
                    </w:rPr>
                  </w:pPr>
                  <w:r>
                    <w:rPr>
                      <w:color w:val="auto"/>
                      <w:sz w:val="21"/>
                      <w:szCs w:val="21"/>
                    </w:rPr>
                    <w:t>是</w:t>
                  </w:r>
                </w:p>
              </w:tc>
              <w:tc>
                <w:tcPr>
                  <w:tcW w:w="629" w:type="pct"/>
                  <w:vMerge w:val="continue"/>
                  <w:tcBorders>
                    <w:tl2br w:val="nil"/>
                    <w:tr2bl w:val="nil"/>
                  </w:tcBorders>
                  <w:vAlign w:val="center"/>
                </w:tcPr>
                <w:p>
                  <w:pPr>
                    <w:spacing w:line="240" w:lineRule="auto"/>
                    <w:jc w:val="center"/>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36" w:hRule="atLeast"/>
              </w:trPr>
              <w:tc>
                <w:tcPr>
                  <w:tcW w:w="5000" w:type="pct"/>
                  <w:gridSpan w:val="9"/>
                  <w:tcBorders>
                    <w:tl2br w:val="nil"/>
                    <w:tr2bl w:val="nil"/>
                  </w:tcBorders>
                  <w:vAlign w:val="center"/>
                </w:tcPr>
                <w:p>
                  <w:pPr>
                    <w:spacing w:line="240" w:lineRule="auto"/>
                    <w:jc w:val="left"/>
                    <w:rPr>
                      <w:rFonts w:hint="eastAsia"/>
                      <w:color w:val="auto"/>
                      <w:sz w:val="21"/>
                      <w:szCs w:val="21"/>
                      <w:lang w:eastAsia="zh-CN"/>
                    </w:rPr>
                  </w:pPr>
                  <w:r>
                    <w:rPr>
                      <w:rFonts w:hint="eastAsia"/>
                      <w:color w:val="auto"/>
                      <w:sz w:val="21"/>
                      <w:szCs w:val="21"/>
                      <w:lang w:eastAsia="zh-CN"/>
                    </w:rPr>
                    <w:t>注：本项目病理实验室设置</w:t>
                  </w:r>
                  <w:r>
                    <w:rPr>
                      <w:rFonts w:hint="eastAsia"/>
                      <w:color w:val="auto"/>
                      <w:sz w:val="21"/>
                      <w:szCs w:val="21"/>
                      <w:lang w:val="en-US" w:eastAsia="zh-CN"/>
                    </w:rPr>
                    <w:t>5台</w:t>
                  </w:r>
                  <w:r>
                    <w:rPr>
                      <w:rFonts w:hint="eastAsia"/>
                      <w:color w:val="auto"/>
                      <w:sz w:val="21"/>
                      <w:szCs w:val="21"/>
                      <w:lang w:eastAsia="zh-CN"/>
                    </w:rPr>
                    <w:t>通风橱，</w:t>
                  </w:r>
                  <w:r>
                    <w:rPr>
                      <w:rFonts w:hint="eastAsia"/>
                      <w:color w:val="auto"/>
                      <w:sz w:val="21"/>
                      <w:szCs w:val="21"/>
                      <w:lang w:val="en-US" w:eastAsia="zh-CN"/>
                    </w:rPr>
                    <w:t>合计风机风量9250m</w:t>
                  </w:r>
                  <w:r>
                    <w:rPr>
                      <w:rFonts w:hint="eastAsia"/>
                      <w:color w:val="auto"/>
                      <w:sz w:val="21"/>
                      <w:szCs w:val="21"/>
                      <w:vertAlign w:val="superscript"/>
                      <w:lang w:val="en-US" w:eastAsia="zh-CN"/>
                    </w:rPr>
                    <w:t>3</w:t>
                  </w:r>
                  <w:r>
                    <w:rPr>
                      <w:rFonts w:hint="eastAsia"/>
                      <w:color w:val="auto"/>
                      <w:sz w:val="21"/>
                      <w:szCs w:val="21"/>
                      <w:lang w:val="en-US" w:eastAsia="zh-CN"/>
                    </w:rPr>
                    <w:t>/h；本项目病理实验室面积设置整体排风机1700m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万级</w:t>
                  </w:r>
                  <w:r>
                    <w:rPr>
                      <w:rFonts w:hint="eastAsia"/>
                      <w:color w:val="auto"/>
                      <w:sz w:val="21"/>
                      <w:szCs w:val="21"/>
                      <w:lang w:val="en-US" w:eastAsia="zh-CN"/>
                    </w:rPr>
                    <w:t>洁净车间风机</w:t>
                  </w:r>
                  <w:r>
                    <w:rPr>
                      <w:rFonts w:hint="eastAsia"/>
                      <w:color w:val="auto"/>
                      <w:sz w:val="21"/>
                      <w:szCs w:val="21"/>
                      <w:lang w:eastAsia="zh-CN"/>
                    </w:rPr>
                    <w:t>风量为</w:t>
                  </w:r>
                  <w:r>
                    <w:rPr>
                      <w:rFonts w:hint="eastAsia"/>
                      <w:color w:val="auto"/>
                      <w:sz w:val="21"/>
                      <w:szCs w:val="21"/>
                      <w:lang w:val="en-US" w:eastAsia="zh-CN"/>
                    </w:rPr>
                    <w:t>6870m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lang w:eastAsia="zh-CN"/>
                    </w:rPr>
                    <w:t>十万级洁净车间</w:t>
                  </w:r>
                  <w:r>
                    <w:rPr>
                      <w:rFonts w:hint="eastAsia"/>
                      <w:color w:val="auto"/>
                      <w:sz w:val="21"/>
                      <w:szCs w:val="21"/>
                      <w:lang w:val="en-US" w:eastAsia="zh-CN"/>
                    </w:rPr>
                    <w:t>排风风机</w:t>
                  </w:r>
                  <w:r>
                    <w:rPr>
                      <w:rFonts w:hint="eastAsia"/>
                      <w:color w:val="auto"/>
                      <w:sz w:val="21"/>
                      <w:szCs w:val="21"/>
                      <w:lang w:eastAsia="zh-CN"/>
                    </w:rPr>
                    <w:t>风量为</w:t>
                  </w:r>
                  <w:r>
                    <w:rPr>
                      <w:rFonts w:hint="eastAsia"/>
                      <w:color w:val="auto"/>
                      <w:sz w:val="21"/>
                      <w:szCs w:val="21"/>
                      <w:lang w:val="en-US" w:eastAsia="zh-CN"/>
                    </w:rPr>
                    <w:t>4060m</w:t>
                  </w:r>
                  <w:r>
                    <w:rPr>
                      <w:rFonts w:hint="eastAsia"/>
                      <w:color w:val="auto"/>
                      <w:sz w:val="21"/>
                      <w:szCs w:val="21"/>
                      <w:vertAlign w:val="superscript"/>
                      <w:lang w:val="en-US" w:eastAsia="zh-CN"/>
                    </w:rPr>
                    <w:t>3</w:t>
                  </w:r>
                  <w:r>
                    <w:rPr>
                      <w:rFonts w:hint="eastAsia"/>
                      <w:color w:val="auto"/>
                      <w:sz w:val="21"/>
                      <w:szCs w:val="21"/>
                      <w:lang w:val="en-US" w:eastAsia="zh-CN"/>
                    </w:rPr>
                    <w:t>/h，</w:t>
                  </w:r>
                  <w:r>
                    <w:rPr>
                      <w:rFonts w:hint="eastAsia"/>
                      <w:color w:val="auto"/>
                      <w:sz w:val="21"/>
                      <w:szCs w:val="21"/>
                    </w:rPr>
                    <w:t>综上合计，本次评价风量为</w:t>
                  </w:r>
                  <w:r>
                    <w:rPr>
                      <w:rFonts w:hint="eastAsia"/>
                      <w:color w:val="auto"/>
                      <w:sz w:val="21"/>
                      <w:szCs w:val="21"/>
                      <w:lang w:val="en-US" w:eastAsia="zh-CN"/>
                    </w:rPr>
                    <w:t>23000</w:t>
                  </w:r>
                  <w:r>
                    <w:rPr>
                      <w:rFonts w:hint="eastAsia"/>
                      <w:color w:val="auto"/>
                      <w:sz w:val="21"/>
                      <w:szCs w:val="21"/>
                    </w:rPr>
                    <w:t>m</w:t>
                  </w:r>
                  <w:r>
                    <w:rPr>
                      <w:rFonts w:hint="eastAsia"/>
                      <w:color w:val="auto"/>
                      <w:sz w:val="21"/>
                      <w:szCs w:val="21"/>
                      <w:vertAlign w:val="superscript"/>
                    </w:rPr>
                    <w:t>3</w:t>
                  </w:r>
                  <w:r>
                    <w:rPr>
                      <w:rFonts w:hint="eastAsia"/>
                      <w:color w:val="auto"/>
                      <w:sz w:val="21"/>
                      <w:szCs w:val="21"/>
                    </w:rPr>
                    <w:t>/h</w:t>
                  </w:r>
                  <w:r>
                    <w:rPr>
                      <w:rFonts w:hint="eastAsia"/>
                      <w:color w:val="auto"/>
                      <w:sz w:val="21"/>
                      <w:szCs w:val="21"/>
                      <w:lang w:eastAsia="zh-CN"/>
                    </w:rPr>
                    <w:t>。</w:t>
                  </w:r>
                </w:p>
              </w:tc>
            </w:tr>
          </w:tbl>
          <w:p>
            <w:pPr>
              <w:rPr>
                <w:rFonts w:hint="eastAsia" w:ascii="黑体" w:hAnsi="黑体" w:eastAsia="黑体"/>
                <w:snapToGrid w:val="0"/>
                <w:color w:val="auto"/>
                <w:sz w:val="30"/>
                <w:szCs w:val="30"/>
                <w:vertAlign w:val="baseline"/>
              </w:rPr>
            </w:pP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91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6"/>
        <w:gridCol w:w="8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9" w:hRule="atLeast"/>
        </w:trPr>
        <w:tc>
          <w:tcPr>
            <w:tcW w:w="386" w:type="dxa"/>
            <w:vAlign w:val="center"/>
          </w:tcPr>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运营</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期环</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境影</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响和</w:t>
            </w:r>
          </w:p>
          <w:p>
            <w:pPr>
              <w:adjustRightInd w:val="0"/>
              <w:snapToGrid w:val="0"/>
              <w:jc w:val="center"/>
              <w:rPr>
                <w:rFonts w:hint="eastAsia" w:ascii="Times New Roman" w:hAnsi="Times New Roman" w:eastAsia="宋体" w:cs="宋体"/>
                <w:bCs/>
                <w:caps w:val="0"/>
                <w:color w:val="auto"/>
                <w:szCs w:val="21"/>
              </w:rPr>
            </w:pPr>
            <w:r>
              <w:rPr>
                <w:rFonts w:hint="eastAsia" w:ascii="Times New Roman" w:hAnsi="Times New Roman" w:eastAsia="宋体" w:cs="宋体"/>
                <w:bCs/>
                <w:caps w:val="0"/>
                <w:color w:val="auto"/>
                <w:szCs w:val="21"/>
              </w:rPr>
              <w:t>保护</w:t>
            </w:r>
          </w:p>
          <w:p>
            <w:pPr>
              <w:rPr>
                <w:color w:val="auto"/>
              </w:rPr>
            </w:pPr>
            <w:r>
              <w:rPr>
                <w:rFonts w:hint="eastAsia" w:ascii="Times New Roman" w:hAnsi="Times New Roman" w:eastAsia="宋体" w:cs="宋体"/>
                <w:bCs/>
                <w:caps w:val="0"/>
                <w:color w:val="auto"/>
                <w:szCs w:val="21"/>
              </w:rPr>
              <w:t>措施</w:t>
            </w:r>
          </w:p>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c>
          <w:tcPr>
            <w:tcW w:w="8793" w:type="dxa"/>
          </w:tcPr>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color w:val="auto"/>
                <w:lang w:val="en-US"/>
              </w:rPr>
            </w:pPr>
            <w:r>
              <w:rPr>
                <w:rFonts w:hint="eastAsia" w:ascii="宋体" w:hAnsi="宋体" w:cs="宋体"/>
                <w:color w:val="auto"/>
                <w:kern w:val="0"/>
                <w:sz w:val="24"/>
                <w:szCs w:val="24"/>
                <w:lang w:val="en-US" w:eastAsia="zh-CN" w:bidi="ar"/>
              </w:rPr>
              <w:t>实验室运行期间，各实验可能同时进行，实验和动物饲养间消毒不同时进行，</w:t>
            </w:r>
            <w:r>
              <w:rPr>
                <w:rFonts w:hint="eastAsia"/>
                <w:color w:val="auto"/>
                <w:lang w:val="en-US" w:eastAsia="zh-CN"/>
              </w:rPr>
              <w:t>本项目最大排放源为实验废气、饲养异味排放。</w:t>
            </w:r>
            <w:r>
              <w:rPr>
                <w:color w:val="auto"/>
              </w:rPr>
              <w:t>本项目各废气污染源污染物产生及排放情况详见表4-</w:t>
            </w:r>
            <w:r>
              <w:rPr>
                <w:rFonts w:hint="eastAsia"/>
                <w:color w:val="auto"/>
                <w:lang w:val="en-US" w:eastAsia="zh-CN"/>
              </w:rPr>
              <w:t>2</w:t>
            </w:r>
            <w:r>
              <w:rPr>
                <w:color w:val="auto"/>
              </w:rPr>
              <w:t>。</w:t>
            </w:r>
          </w:p>
          <w:p>
            <w:pPr>
              <w:pStyle w:val="10"/>
              <w:rPr>
                <w:color w:val="auto"/>
                <w:sz w:val="21"/>
                <w:szCs w:val="21"/>
              </w:rPr>
            </w:pPr>
            <w:r>
              <w:rPr>
                <w:color w:val="auto"/>
                <w:sz w:val="21"/>
                <w:szCs w:val="21"/>
              </w:rPr>
              <w:t>表4-</w:t>
            </w:r>
            <w:r>
              <w:rPr>
                <w:rFonts w:hint="eastAsia"/>
                <w:color w:val="auto"/>
                <w:sz w:val="21"/>
                <w:szCs w:val="21"/>
                <w:lang w:val="en-US" w:eastAsia="zh-CN"/>
              </w:rPr>
              <w:t>2</w:t>
            </w:r>
            <w:r>
              <w:rPr>
                <w:color w:val="auto"/>
                <w:sz w:val="21"/>
                <w:szCs w:val="21"/>
              </w:rPr>
              <w:t xml:space="preserve">  </w:t>
            </w:r>
            <w:r>
              <w:rPr>
                <w:color w:val="auto"/>
              </w:rPr>
              <w:t>废气污染源污染物产生及排放情况一览表</w:t>
            </w:r>
          </w:p>
          <w:tbl>
            <w:tblPr>
              <w:tblStyle w:val="29"/>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25"/>
              <w:gridCol w:w="1002"/>
              <w:gridCol w:w="1144"/>
              <w:gridCol w:w="1144"/>
              <w:gridCol w:w="1206"/>
              <w:gridCol w:w="1350"/>
              <w:gridCol w:w="12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vMerge w:val="restart"/>
                  <w:noWrap w:val="0"/>
                  <w:vAlign w:val="center"/>
                </w:tcPr>
                <w:p>
                  <w:pPr>
                    <w:spacing w:line="240" w:lineRule="auto"/>
                    <w:jc w:val="center"/>
                    <w:rPr>
                      <w:b/>
                      <w:color w:val="auto"/>
                      <w:sz w:val="21"/>
                      <w:szCs w:val="21"/>
                    </w:rPr>
                  </w:pPr>
                  <w:r>
                    <w:rPr>
                      <w:b/>
                      <w:color w:val="auto"/>
                      <w:sz w:val="21"/>
                      <w:szCs w:val="21"/>
                    </w:rPr>
                    <w:t>污染物种类</w:t>
                  </w:r>
                </w:p>
              </w:tc>
              <w:tc>
                <w:tcPr>
                  <w:tcW w:w="586" w:type="pct"/>
                  <w:vMerge w:val="restart"/>
                  <w:noWrap w:val="0"/>
                  <w:vAlign w:val="center"/>
                </w:tcPr>
                <w:p>
                  <w:pPr>
                    <w:spacing w:line="240" w:lineRule="auto"/>
                    <w:jc w:val="center"/>
                    <w:rPr>
                      <w:b/>
                      <w:color w:val="auto"/>
                      <w:sz w:val="21"/>
                      <w:szCs w:val="21"/>
                    </w:rPr>
                  </w:pPr>
                  <w:r>
                    <w:rPr>
                      <w:b/>
                      <w:color w:val="auto"/>
                      <w:sz w:val="21"/>
                      <w:szCs w:val="21"/>
                    </w:rPr>
                    <w:t>产生</w:t>
                  </w:r>
                  <w:r>
                    <w:rPr>
                      <w:rFonts w:hint="eastAsia"/>
                      <w:b/>
                      <w:color w:val="auto"/>
                      <w:sz w:val="21"/>
                      <w:szCs w:val="21"/>
                    </w:rPr>
                    <w:t>量</w:t>
                  </w:r>
                  <w:r>
                    <w:rPr>
                      <w:rFonts w:hint="eastAsia"/>
                      <w:b/>
                      <w:bCs/>
                      <w:color w:val="auto"/>
                      <w:sz w:val="21"/>
                      <w:szCs w:val="21"/>
                    </w:rPr>
                    <w:t>（</w:t>
                  </w:r>
                  <w:r>
                    <w:rPr>
                      <w:b/>
                      <w:color w:val="auto"/>
                      <w:spacing w:val="-10"/>
                      <w:sz w:val="21"/>
                      <w:szCs w:val="21"/>
                    </w:rPr>
                    <w:t>kg</w:t>
                  </w:r>
                  <w:r>
                    <w:rPr>
                      <w:rFonts w:hint="eastAsia"/>
                      <w:b/>
                      <w:bCs/>
                      <w:color w:val="auto"/>
                      <w:sz w:val="21"/>
                      <w:szCs w:val="21"/>
                    </w:rPr>
                    <w:t>/a）</w:t>
                  </w:r>
                </w:p>
              </w:tc>
              <w:tc>
                <w:tcPr>
                  <w:tcW w:w="669" w:type="pct"/>
                  <w:vMerge w:val="restart"/>
                  <w:noWrap w:val="0"/>
                  <w:vAlign w:val="center"/>
                </w:tcPr>
                <w:p>
                  <w:pPr>
                    <w:spacing w:line="240" w:lineRule="auto"/>
                    <w:jc w:val="center"/>
                    <w:rPr>
                      <w:b/>
                      <w:color w:val="auto"/>
                      <w:sz w:val="21"/>
                      <w:szCs w:val="21"/>
                    </w:rPr>
                  </w:pPr>
                  <w:r>
                    <w:rPr>
                      <w:b/>
                      <w:color w:val="auto"/>
                      <w:sz w:val="21"/>
                      <w:szCs w:val="21"/>
                    </w:rPr>
                    <w:t>产生速率</w:t>
                  </w:r>
                  <w:r>
                    <w:rPr>
                      <w:rFonts w:hint="eastAsia"/>
                      <w:b/>
                      <w:color w:val="auto"/>
                      <w:sz w:val="21"/>
                      <w:szCs w:val="21"/>
                    </w:rPr>
                    <w:t>(</w:t>
                  </w:r>
                  <w:r>
                    <w:rPr>
                      <w:b/>
                      <w:color w:val="auto"/>
                      <w:spacing w:val="-10"/>
                      <w:sz w:val="21"/>
                      <w:szCs w:val="21"/>
                    </w:rPr>
                    <w:t>kg/h</w:t>
                  </w:r>
                  <w:r>
                    <w:rPr>
                      <w:rFonts w:hint="eastAsia"/>
                      <w:b/>
                      <w:color w:val="auto"/>
                      <w:spacing w:val="-10"/>
                      <w:sz w:val="21"/>
                      <w:szCs w:val="21"/>
                    </w:rPr>
                    <w:t>)</w:t>
                  </w:r>
                </w:p>
              </w:tc>
              <w:tc>
                <w:tcPr>
                  <w:tcW w:w="2165" w:type="pct"/>
                  <w:gridSpan w:val="3"/>
                  <w:noWrap w:val="0"/>
                  <w:vAlign w:val="center"/>
                </w:tcPr>
                <w:p>
                  <w:pPr>
                    <w:spacing w:line="240" w:lineRule="auto"/>
                    <w:jc w:val="center"/>
                    <w:rPr>
                      <w:b/>
                      <w:color w:val="auto"/>
                      <w:sz w:val="21"/>
                      <w:szCs w:val="21"/>
                    </w:rPr>
                  </w:pPr>
                  <w:r>
                    <w:rPr>
                      <w:b/>
                      <w:color w:val="auto"/>
                      <w:sz w:val="21"/>
                      <w:szCs w:val="21"/>
                    </w:rPr>
                    <w:t>有组织</w:t>
                  </w:r>
                </w:p>
              </w:tc>
              <w:tc>
                <w:tcPr>
                  <w:tcW w:w="744" w:type="pct"/>
                  <w:vMerge w:val="restart"/>
                  <w:noWrap w:val="0"/>
                  <w:vAlign w:val="center"/>
                </w:tcPr>
                <w:p>
                  <w:pPr>
                    <w:spacing w:line="240" w:lineRule="auto"/>
                    <w:jc w:val="center"/>
                    <w:rPr>
                      <w:b/>
                      <w:color w:val="auto"/>
                      <w:sz w:val="21"/>
                      <w:szCs w:val="21"/>
                    </w:rPr>
                  </w:pPr>
                  <w:r>
                    <w:rPr>
                      <w:b/>
                      <w:color w:val="auto"/>
                      <w:sz w:val="21"/>
                      <w:szCs w:val="21"/>
                    </w:rPr>
                    <w:t>无组织排放</w:t>
                  </w:r>
                  <w:r>
                    <w:rPr>
                      <w:rFonts w:hint="eastAsia"/>
                      <w:b/>
                      <w:color w:val="auto"/>
                      <w:sz w:val="21"/>
                      <w:szCs w:val="21"/>
                      <w:lang w:eastAsia="zh-CN"/>
                    </w:rPr>
                    <w:t>浓度</w:t>
                  </w:r>
                  <w:r>
                    <w:rPr>
                      <w:rFonts w:hint="eastAsia"/>
                      <w:b/>
                      <w:color w:val="auto"/>
                      <w:sz w:val="21"/>
                      <w:szCs w:val="21"/>
                    </w:rPr>
                    <w:t>(</w:t>
                  </w:r>
                  <w:r>
                    <w:rPr>
                      <w:b/>
                      <w:color w:val="auto"/>
                      <w:spacing w:val="-10"/>
                      <w:sz w:val="21"/>
                      <w:szCs w:val="21"/>
                    </w:rPr>
                    <w:t>mg/m</w:t>
                  </w:r>
                  <w:r>
                    <w:rPr>
                      <w:b/>
                      <w:color w:val="auto"/>
                      <w:spacing w:val="-10"/>
                      <w:sz w:val="21"/>
                      <w:szCs w:val="21"/>
                      <w:vertAlign w:val="superscript"/>
                    </w:rPr>
                    <w:t>3</w:t>
                  </w:r>
                  <w:r>
                    <w:rPr>
                      <w:rFonts w:hint="eastAsia"/>
                      <w:b/>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vMerge w:val="continue"/>
                  <w:noWrap w:val="0"/>
                  <w:vAlign w:val="center"/>
                </w:tcPr>
                <w:p>
                  <w:pPr>
                    <w:spacing w:line="240" w:lineRule="auto"/>
                    <w:jc w:val="center"/>
                    <w:rPr>
                      <w:b/>
                      <w:color w:val="auto"/>
                      <w:sz w:val="21"/>
                      <w:szCs w:val="21"/>
                    </w:rPr>
                  </w:pPr>
                </w:p>
              </w:tc>
              <w:tc>
                <w:tcPr>
                  <w:tcW w:w="586" w:type="pct"/>
                  <w:vMerge w:val="continue"/>
                  <w:noWrap w:val="0"/>
                  <w:vAlign w:val="center"/>
                </w:tcPr>
                <w:p>
                  <w:pPr>
                    <w:spacing w:line="240" w:lineRule="auto"/>
                    <w:jc w:val="center"/>
                    <w:rPr>
                      <w:b/>
                      <w:color w:val="auto"/>
                      <w:sz w:val="21"/>
                      <w:szCs w:val="21"/>
                    </w:rPr>
                  </w:pPr>
                </w:p>
              </w:tc>
              <w:tc>
                <w:tcPr>
                  <w:tcW w:w="669" w:type="pct"/>
                  <w:vMerge w:val="continue"/>
                  <w:noWrap w:val="0"/>
                  <w:vAlign w:val="center"/>
                </w:tcPr>
                <w:p>
                  <w:pPr>
                    <w:spacing w:line="240" w:lineRule="auto"/>
                    <w:jc w:val="center"/>
                    <w:rPr>
                      <w:b/>
                      <w:color w:val="auto"/>
                      <w:sz w:val="21"/>
                      <w:szCs w:val="21"/>
                    </w:rPr>
                  </w:pPr>
                </w:p>
              </w:tc>
              <w:tc>
                <w:tcPr>
                  <w:tcW w:w="669" w:type="pct"/>
                  <w:noWrap w:val="0"/>
                  <w:vAlign w:val="top"/>
                </w:tcPr>
                <w:p>
                  <w:pPr>
                    <w:spacing w:line="240" w:lineRule="auto"/>
                    <w:jc w:val="center"/>
                    <w:rPr>
                      <w:b/>
                      <w:color w:val="auto"/>
                      <w:sz w:val="21"/>
                      <w:szCs w:val="21"/>
                    </w:rPr>
                  </w:pPr>
                  <w:r>
                    <w:rPr>
                      <w:b/>
                      <w:color w:val="auto"/>
                      <w:sz w:val="21"/>
                      <w:szCs w:val="21"/>
                    </w:rPr>
                    <w:t>排放量</w:t>
                  </w:r>
                  <w:r>
                    <w:rPr>
                      <w:rFonts w:hint="eastAsia"/>
                      <w:b/>
                      <w:bCs/>
                      <w:color w:val="auto"/>
                      <w:sz w:val="21"/>
                      <w:szCs w:val="21"/>
                    </w:rPr>
                    <w:t>（</w:t>
                  </w:r>
                  <w:r>
                    <w:rPr>
                      <w:b/>
                      <w:color w:val="auto"/>
                      <w:spacing w:val="-10"/>
                      <w:sz w:val="21"/>
                      <w:szCs w:val="21"/>
                    </w:rPr>
                    <w:t>kg</w:t>
                  </w:r>
                  <w:r>
                    <w:rPr>
                      <w:rFonts w:hint="eastAsia"/>
                      <w:b/>
                      <w:bCs/>
                      <w:color w:val="auto"/>
                      <w:sz w:val="21"/>
                      <w:szCs w:val="21"/>
                    </w:rPr>
                    <w:t>/a）</w:t>
                  </w:r>
                </w:p>
              </w:tc>
              <w:tc>
                <w:tcPr>
                  <w:tcW w:w="705" w:type="pct"/>
                  <w:noWrap w:val="0"/>
                  <w:vAlign w:val="center"/>
                </w:tcPr>
                <w:p>
                  <w:pPr>
                    <w:spacing w:line="240" w:lineRule="auto"/>
                    <w:jc w:val="center"/>
                    <w:rPr>
                      <w:b/>
                      <w:color w:val="auto"/>
                      <w:sz w:val="21"/>
                      <w:szCs w:val="21"/>
                    </w:rPr>
                  </w:pPr>
                  <w:r>
                    <w:rPr>
                      <w:b/>
                      <w:color w:val="auto"/>
                      <w:sz w:val="21"/>
                      <w:szCs w:val="21"/>
                    </w:rPr>
                    <w:t>排放速率</w:t>
                  </w:r>
                  <w:r>
                    <w:rPr>
                      <w:rFonts w:hint="eastAsia"/>
                      <w:b/>
                      <w:color w:val="auto"/>
                      <w:sz w:val="21"/>
                      <w:szCs w:val="21"/>
                    </w:rPr>
                    <w:t>(</w:t>
                  </w:r>
                  <w:r>
                    <w:rPr>
                      <w:b/>
                      <w:color w:val="auto"/>
                      <w:spacing w:val="-10"/>
                      <w:sz w:val="21"/>
                      <w:szCs w:val="21"/>
                    </w:rPr>
                    <w:t>kg/h</w:t>
                  </w:r>
                  <w:r>
                    <w:rPr>
                      <w:rFonts w:hint="eastAsia"/>
                      <w:b/>
                      <w:color w:val="auto"/>
                      <w:spacing w:val="-10"/>
                      <w:sz w:val="21"/>
                      <w:szCs w:val="21"/>
                    </w:rPr>
                    <w:t>)</w:t>
                  </w:r>
                </w:p>
              </w:tc>
              <w:tc>
                <w:tcPr>
                  <w:tcW w:w="790" w:type="pct"/>
                  <w:noWrap w:val="0"/>
                  <w:vAlign w:val="center"/>
                </w:tcPr>
                <w:p>
                  <w:pPr>
                    <w:spacing w:line="240" w:lineRule="auto"/>
                    <w:jc w:val="center"/>
                    <w:rPr>
                      <w:b/>
                      <w:color w:val="auto"/>
                      <w:sz w:val="21"/>
                      <w:szCs w:val="21"/>
                    </w:rPr>
                  </w:pPr>
                  <w:r>
                    <w:rPr>
                      <w:b/>
                      <w:color w:val="auto"/>
                      <w:sz w:val="21"/>
                      <w:szCs w:val="21"/>
                    </w:rPr>
                    <w:t>排放浓度</w:t>
                  </w:r>
                  <w:r>
                    <w:rPr>
                      <w:rFonts w:hint="eastAsia"/>
                      <w:b/>
                      <w:color w:val="auto"/>
                      <w:sz w:val="21"/>
                      <w:szCs w:val="21"/>
                    </w:rPr>
                    <w:t>(</w:t>
                  </w:r>
                  <w:r>
                    <w:rPr>
                      <w:b/>
                      <w:color w:val="auto"/>
                      <w:spacing w:val="-10"/>
                      <w:sz w:val="21"/>
                      <w:szCs w:val="21"/>
                    </w:rPr>
                    <w:t>mg/m</w:t>
                  </w:r>
                  <w:r>
                    <w:rPr>
                      <w:b/>
                      <w:color w:val="auto"/>
                      <w:spacing w:val="-10"/>
                      <w:sz w:val="21"/>
                      <w:szCs w:val="21"/>
                      <w:vertAlign w:val="superscript"/>
                    </w:rPr>
                    <w:t>3</w:t>
                  </w:r>
                  <w:r>
                    <w:rPr>
                      <w:rFonts w:hint="eastAsia"/>
                      <w:b/>
                      <w:color w:val="auto"/>
                      <w:spacing w:val="-10"/>
                      <w:sz w:val="21"/>
                      <w:szCs w:val="21"/>
                    </w:rPr>
                    <w:t>)</w:t>
                  </w:r>
                </w:p>
              </w:tc>
              <w:tc>
                <w:tcPr>
                  <w:tcW w:w="744" w:type="pct"/>
                  <w:vMerge w:val="continue"/>
                  <w:noWrap w:val="0"/>
                  <w:vAlign w:val="top"/>
                </w:tcPr>
                <w:p>
                  <w:pPr>
                    <w:spacing w:line="240" w:lineRule="auto"/>
                    <w:jc w:val="center"/>
                    <w:rPr>
                      <w:b/>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6" w:hRule="atLeast"/>
              </w:trPr>
              <w:tc>
                <w:tcPr>
                  <w:tcW w:w="833" w:type="pct"/>
                  <w:noWrap w:val="0"/>
                  <w:vAlign w:val="center"/>
                </w:tcPr>
                <w:p>
                  <w:pPr>
                    <w:spacing w:line="240" w:lineRule="auto"/>
                    <w:jc w:val="center"/>
                    <w:rPr>
                      <w:bCs/>
                      <w:caps/>
                      <w:color w:val="auto"/>
                      <w:sz w:val="21"/>
                      <w:szCs w:val="21"/>
                    </w:rPr>
                  </w:pPr>
                  <w:r>
                    <w:rPr>
                      <w:bCs/>
                      <w:caps/>
                      <w:color w:val="auto"/>
                      <w:sz w:val="21"/>
                      <w:szCs w:val="21"/>
                    </w:rPr>
                    <w:t>非甲烷总烃</w:t>
                  </w:r>
                </w:p>
              </w:tc>
              <w:tc>
                <w:tcPr>
                  <w:tcW w:w="586" w:type="pct"/>
                  <w:noWrap w:val="0"/>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475.6242</w:t>
                  </w:r>
                </w:p>
              </w:tc>
              <w:tc>
                <w:tcPr>
                  <w:tcW w:w="669" w:type="pct"/>
                  <w:noWrap w:val="0"/>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0.3811</w:t>
                  </w:r>
                </w:p>
              </w:tc>
              <w:tc>
                <w:tcPr>
                  <w:tcW w:w="669" w:type="pct"/>
                  <w:noWrap w:val="0"/>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198.14</w:t>
                  </w:r>
                </w:p>
              </w:tc>
              <w:tc>
                <w:tcPr>
                  <w:tcW w:w="705" w:type="pct"/>
                  <w:noWrap w:val="0"/>
                  <w:vAlign w:val="center"/>
                </w:tcPr>
                <w:p>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0.1524</w:t>
                  </w:r>
                </w:p>
              </w:tc>
              <w:tc>
                <w:tcPr>
                  <w:tcW w:w="790" w:type="pct"/>
                  <w:noWrap w:val="0"/>
                  <w:vAlign w:val="center"/>
                </w:tcPr>
                <w:p>
                  <w:pPr>
                    <w:spacing w:line="240" w:lineRule="auto"/>
                    <w:ind w:firstLine="0" w:firstLineChars="0"/>
                    <w:jc w:val="center"/>
                    <w:rPr>
                      <w:rFonts w:hint="default" w:eastAsia="宋体"/>
                      <w:bCs/>
                      <w:color w:val="auto"/>
                      <w:sz w:val="21"/>
                      <w:szCs w:val="21"/>
                      <w:lang w:val="en-US" w:eastAsia="zh-CN"/>
                    </w:rPr>
                  </w:pPr>
                  <w:r>
                    <w:rPr>
                      <w:rFonts w:hint="eastAsia"/>
                      <w:color w:val="auto"/>
                      <w:sz w:val="21"/>
                      <w:szCs w:val="21"/>
                      <w:lang w:val="en-US" w:eastAsia="zh-CN"/>
                    </w:rPr>
                    <w:t>6.6272</w:t>
                  </w:r>
                </w:p>
              </w:tc>
              <w:tc>
                <w:tcPr>
                  <w:tcW w:w="744" w:type="pct"/>
                  <w:noWrap w:val="0"/>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bCs/>
                      <w:caps/>
                      <w:color w:val="auto"/>
                      <w:sz w:val="21"/>
                      <w:szCs w:val="21"/>
                    </w:rPr>
                    <w:t>TRVOC</w:t>
                  </w:r>
                </w:p>
              </w:tc>
              <w:tc>
                <w:tcPr>
                  <w:tcW w:w="586" w:type="pct"/>
                  <w:noWrap w:val="0"/>
                  <w:vAlign w:val="center"/>
                </w:tcPr>
                <w:p>
                  <w:pPr>
                    <w:spacing w:line="240" w:lineRule="auto"/>
                    <w:ind w:firstLine="0" w:firstLineChars="0"/>
                    <w:jc w:val="center"/>
                    <w:rPr>
                      <w:rFonts w:hint="default"/>
                      <w:bCs/>
                      <w:color w:val="auto"/>
                      <w:spacing w:val="-10"/>
                      <w:sz w:val="21"/>
                      <w:szCs w:val="21"/>
                      <w:lang w:val="en-US"/>
                    </w:rPr>
                  </w:pPr>
                  <w:r>
                    <w:rPr>
                      <w:rFonts w:hint="eastAsia"/>
                      <w:bCs/>
                      <w:color w:val="auto"/>
                      <w:sz w:val="21"/>
                      <w:szCs w:val="21"/>
                      <w:lang w:val="en-US" w:eastAsia="zh-CN"/>
                    </w:rPr>
                    <w:t>475.6242</w:t>
                  </w:r>
                </w:p>
              </w:tc>
              <w:tc>
                <w:tcPr>
                  <w:tcW w:w="669" w:type="pct"/>
                  <w:noWrap w:val="0"/>
                  <w:vAlign w:val="center"/>
                </w:tcPr>
                <w:p>
                  <w:pPr>
                    <w:spacing w:line="240" w:lineRule="auto"/>
                    <w:ind w:firstLine="0" w:firstLineChars="0"/>
                    <w:jc w:val="center"/>
                    <w:rPr>
                      <w:bCs/>
                      <w:color w:val="auto"/>
                      <w:spacing w:val="-10"/>
                      <w:sz w:val="21"/>
                      <w:szCs w:val="21"/>
                    </w:rPr>
                  </w:pPr>
                  <w:r>
                    <w:rPr>
                      <w:rFonts w:hint="eastAsia"/>
                      <w:bCs/>
                      <w:color w:val="auto"/>
                      <w:sz w:val="21"/>
                      <w:szCs w:val="21"/>
                      <w:lang w:val="en-US" w:eastAsia="zh-CN"/>
                    </w:rPr>
                    <w:t>0.3811</w:t>
                  </w:r>
                </w:p>
              </w:tc>
              <w:tc>
                <w:tcPr>
                  <w:tcW w:w="669" w:type="pct"/>
                  <w:noWrap w:val="0"/>
                  <w:vAlign w:val="center"/>
                </w:tcPr>
                <w:p>
                  <w:pPr>
                    <w:spacing w:line="240" w:lineRule="auto"/>
                    <w:ind w:firstLine="0" w:firstLineChars="0"/>
                    <w:jc w:val="center"/>
                    <w:rPr>
                      <w:rFonts w:hint="default" w:eastAsia="宋体"/>
                      <w:bCs/>
                      <w:caps/>
                      <w:color w:val="auto"/>
                      <w:sz w:val="21"/>
                      <w:szCs w:val="21"/>
                      <w:lang w:val="en-US" w:eastAsia="zh-CN"/>
                    </w:rPr>
                  </w:pPr>
                  <w:r>
                    <w:rPr>
                      <w:rFonts w:hint="eastAsia"/>
                      <w:bCs/>
                      <w:color w:val="auto"/>
                      <w:sz w:val="21"/>
                      <w:szCs w:val="21"/>
                      <w:lang w:val="en-US" w:eastAsia="zh-CN"/>
                    </w:rPr>
                    <w:t>198.14</w:t>
                  </w:r>
                </w:p>
              </w:tc>
              <w:tc>
                <w:tcPr>
                  <w:tcW w:w="705" w:type="pct"/>
                  <w:noWrap w:val="0"/>
                  <w:vAlign w:val="center"/>
                </w:tcPr>
                <w:p>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0.1524</w:t>
                  </w:r>
                </w:p>
              </w:tc>
              <w:tc>
                <w:tcPr>
                  <w:tcW w:w="790" w:type="pct"/>
                  <w:noWrap w:val="0"/>
                  <w:vAlign w:val="center"/>
                </w:tcPr>
                <w:p>
                  <w:pPr>
                    <w:spacing w:line="240" w:lineRule="auto"/>
                    <w:ind w:firstLine="0" w:firstLineChars="0"/>
                    <w:jc w:val="center"/>
                    <w:rPr>
                      <w:rFonts w:hint="default" w:eastAsia="宋体"/>
                      <w:bCs/>
                      <w:color w:val="auto"/>
                      <w:sz w:val="21"/>
                      <w:szCs w:val="21"/>
                      <w:lang w:val="en-US" w:eastAsia="zh-CN"/>
                    </w:rPr>
                  </w:pPr>
                  <w:r>
                    <w:rPr>
                      <w:rFonts w:hint="eastAsia"/>
                      <w:color w:val="auto"/>
                      <w:sz w:val="21"/>
                      <w:szCs w:val="21"/>
                      <w:lang w:val="en-US" w:eastAsia="zh-CN"/>
                    </w:rPr>
                    <w:t>6.6272</w:t>
                  </w:r>
                </w:p>
              </w:tc>
              <w:tc>
                <w:tcPr>
                  <w:tcW w:w="744" w:type="pct"/>
                  <w:noWrap w:val="0"/>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rFonts w:hint="eastAsia"/>
                      <w:color w:val="auto"/>
                      <w:sz w:val="21"/>
                      <w:szCs w:val="21"/>
                      <w:lang w:eastAsia="zh-CN"/>
                    </w:rPr>
                    <w:t>甲醇</w:t>
                  </w:r>
                </w:p>
              </w:tc>
              <w:tc>
                <w:tcPr>
                  <w:tcW w:w="586"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177.975</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0.1424</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71.19</w:t>
                  </w:r>
                </w:p>
              </w:tc>
              <w:tc>
                <w:tcPr>
                  <w:tcW w:w="705" w:type="pct"/>
                  <w:noWrap w:val="0"/>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0.0570</w:t>
                  </w:r>
                </w:p>
              </w:tc>
              <w:tc>
                <w:tcPr>
                  <w:tcW w:w="790" w:type="pct"/>
                  <w:noWrap w:val="0"/>
                  <w:vAlign w:val="center"/>
                </w:tcPr>
                <w:p>
                  <w:pPr>
                    <w:spacing w:line="240" w:lineRule="auto"/>
                    <w:ind w:firstLine="0" w:firstLineChars="0"/>
                    <w:jc w:val="center"/>
                    <w:rPr>
                      <w:rFonts w:hint="default"/>
                      <w:bCs/>
                      <w:color w:val="auto"/>
                      <w:sz w:val="21"/>
                      <w:szCs w:val="21"/>
                      <w:lang w:val="en-US" w:eastAsia="zh-CN"/>
                    </w:rPr>
                  </w:pPr>
                  <w:r>
                    <w:rPr>
                      <w:rFonts w:hint="eastAsia" w:cs="Times New Roman"/>
                      <w:color w:val="auto"/>
                      <w:kern w:val="2"/>
                      <w:sz w:val="21"/>
                      <w:szCs w:val="21"/>
                      <w:lang w:val="en-US" w:eastAsia="zh-CN" w:bidi="ar-SA"/>
                    </w:rPr>
                    <w:t>2.4762</w:t>
                  </w:r>
                </w:p>
              </w:tc>
              <w:tc>
                <w:tcPr>
                  <w:tcW w:w="744" w:type="pct"/>
                  <w:noWrap w:val="0"/>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rFonts w:hint="eastAsia"/>
                      <w:color w:val="auto"/>
                      <w:sz w:val="21"/>
                      <w:szCs w:val="21"/>
                      <w:lang w:eastAsia="zh-CN"/>
                    </w:rPr>
                    <w:t>二甲苯</w:t>
                  </w:r>
                </w:p>
              </w:tc>
              <w:tc>
                <w:tcPr>
                  <w:tcW w:w="586" w:type="pct"/>
                  <w:noWrap w:val="0"/>
                  <w:vAlign w:val="center"/>
                </w:tcPr>
                <w:p>
                  <w:pPr>
                    <w:spacing w:line="240" w:lineRule="auto"/>
                    <w:jc w:val="center"/>
                    <w:rPr>
                      <w:rFonts w:hint="eastAsia"/>
                      <w:bCs/>
                      <w:color w:val="auto"/>
                      <w:sz w:val="21"/>
                      <w:szCs w:val="21"/>
                      <w:lang w:val="en-US" w:eastAsia="zh-CN"/>
                    </w:rPr>
                  </w:pPr>
                  <w:r>
                    <w:rPr>
                      <w:rFonts w:hint="eastAsia"/>
                      <w:bCs/>
                      <w:color w:val="auto"/>
                      <w:sz w:val="21"/>
                      <w:szCs w:val="21"/>
                      <w:lang w:val="en-US" w:eastAsia="zh-CN"/>
                    </w:rPr>
                    <w:t xml:space="preserve">19.35 </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0.0155</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7.74</w:t>
                  </w:r>
                </w:p>
              </w:tc>
              <w:tc>
                <w:tcPr>
                  <w:tcW w:w="705" w:type="pct"/>
                  <w:noWrap w:val="0"/>
                  <w:vAlign w:val="center"/>
                </w:tcPr>
                <w:p>
                  <w:pPr>
                    <w:spacing w:line="240" w:lineRule="auto"/>
                    <w:ind w:firstLine="0" w:firstLineChars="0"/>
                    <w:jc w:val="center"/>
                    <w:rPr>
                      <w:rFonts w:hint="default"/>
                      <w:bCs/>
                      <w:color w:val="auto"/>
                      <w:sz w:val="21"/>
                      <w:szCs w:val="21"/>
                      <w:lang w:val="en-US" w:eastAsia="zh-CN"/>
                    </w:rPr>
                  </w:pPr>
                  <w:r>
                    <w:rPr>
                      <w:rFonts w:hint="eastAsia"/>
                      <w:color w:val="auto"/>
                      <w:sz w:val="21"/>
                      <w:szCs w:val="21"/>
                      <w:lang w:val="en-US" w:eastAsia="zh-CN"/>
                    </w:rPr>
                    <w:t>6.19×</w:t>
                  </w:r>
                  <w:r>
                    <w:rPr>
                      <w:rFonts w:hint="eastAsia" w:cs="Times New Roman" w:eastAsiaTheme="minorEastAsia"/>
                      <w:color w:val="auto"/>
                      <w:kern w:val="0"/>
                      <w:sz w:val="21"/>
                      <w:szCs w:val="21"/>
                      <w:lang w:val="en-US" w:eastAsia="zh-CN"/>
                    </w:rPr>
                    <w:t>10</w:t>
                  </w:r>
                  <w:r>
                    <w:rPr>
                      <w:rFonts w:hint="eastAsia" w:cs="Times New Roman" w:eastAsiaTheme="minorEastAsia"/>
                      <w:color w:val="auto"/>
                      <w:kern w:val="0"/>
                      <w:sz w:val="21"/>
                      <w:szCs w:val="21"/>
                      <w:vertAlign w:val="superscript"/>
                      <w:lang w:val="en-US" w:eastAsia="zh-CN"/>
                    </w:rPr>
                    <w:t>-3</w:t>
                  </w:r>
                </w:p>
              </w:tc>
              <w:tc>
                <w:tcPr>
                  <w:tcW w:w="790" w:type="pct"/>
                  <w:noWrap w:val="0"/>
                  <w:vAlign w:val="center"/>
                </w:tcPr>
                <w:p>
                  <w:pPr>
                    <w:spacing w:line="240" w:lineRule="auto"/>
                    <w:ind w:firstLine="0" w:firstLineChars="0"/>
                    <w:jc w:val="center"/>
                    <w:rPr>
                      <w:rFonts w:hint="default"/>
                      <w:bCs/>
                      <w:color w:val="auto"/>
                      <w:sz w:val="21"/>
                      <w:szCs w:val="21"/>
                      <w:lang w:val="en-US" w:eastAsia="zh-CN"/>
                    </w:rPr>
                  </w:pPr>
                  <w:r>
                    <w:rPr>
                      <w:rFonts w:hint="eastAsia"/>
                      <w:color w:val="auto"/>
                      <w:sz w:val="21"/>
                      <w:szCs w:val="21"/>
                      <w:lang w:val="en-US" w:eastAsia="zh-CN"/>
                    </w:rPr>
                    <w:t>0.0269</w:t>
                  </w:r>
                </w:p>
              </w:tc>
              <w:tc>
                <w:tcPr>
                  <w:tcW w:w="744" w:type="pct"/>
                  <w:noWrap w:val="0"/>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rFonts w:hint="eastAsia" w:ascii="Times New Roman" w:hAnsi="Times New Roman" w:cs="Times New Roman"/>
                      <w:color w:val="auto"/>
                      <w:sz w:val="21"/>
                      <w:szCs w:val="21"/>
                      <w:lang w:eastAsia="zh-CN"/>
                    </w:rPr>
                    <w:t>氯化氢</w:t>
                  </w:r>
                </w:p>
              </w:tc>
              <w:tc>
                <w:tcPr>
                  <w:tcW w:w="586" w:type="pct"/>
                  <w:noWrap w:val="0"/>
                  <w:vAlign w:val="center"/>
                </w:tcPr>
                <w:p>
                  <w:pPr>
                    <w:spacing w:line="240" w:lineRule="auto"/>
                    <w:jc w:val="center"/>
                    <w:rPr>
                      <w:rFonts w:hint="eastAsia"/>
                      <w:bCs/>
                      <w:color w:val="auto"/>
                      <w:sz w:val="21"/>
                      <w:szCs w:val="21"/>
                      <w:lang w:val="en-US" w:eastAsia="zh-CN"/>
                    </w:rPr>
                  </w:pPr>
                  <w:r>
                    <w:rPr>
                      <w:rFonts w:hint="eastAsia"/>
                      <w:bCs/>
                      <w:color w:val="auto"/>
                      <w:sz w:val="21"/>
                      <w:szCs w:val="21"/>
                      <w:lang w:val="en-US" w:eastAsia="zh-CN"/>
                    </w:rPr>
                    <w:t xml:space="preserve">0.12 </w:t>
                  </w:r>
                </w:p>
              </w:tc>
              <w:tc>
                <w:tcPr>
                  <w:tcW w:w="669" w:type="pct"/>
                  <w:noWrap w:val="0"/>
                  <w:vAlign w:val="center"/>
                </w:tcPr>
                <w:p>
                  <w:pPr>
                    <w:spacing w:line="240" w:lineRule="auto"/>
                    <w:jc w:val="center"/>
                    <w:rPr>
                      <w:rFonts w:hint="eastAsia"/>
                      <w:bCs/>
                      <w:color w:val="auto"/>
                      <w:sz w:val="21"/>
                      <w:szCs w:val="21"/>
                      <w:lang w:val="en-US" w:eastAsia="zh-CN"/>
                    </w:rPr>
                  </w:pPr>
                  <w:r>
                    <w:rPr>
                      <w:rFonts w:hint="eastAsia"/>
                      <w:bCs/>
                      <w:color w:val="auto"/>
                      <w:sz w:val="21"/>
                      <w:szCs w:val="21"/>
                      <w:lang w:val="en-US" w:eastAsia="zh-CN"/>
                    </w:rPr>
                    <w:t xml:space="preserve">0.0005 </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 xml:space="preserve">0.1153 </w:t>
                  </w:r>
                </w:p>
              </w:tc>
              <w:tc>
                <w:tcPr>
                  <w:tcW w:w="705" w:type="pct"/>
                  <w:noWrap w:val="0"/>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 xml:space="preserve">0.0005 </w:t>
                  </w:r>
                </w:p>
              </w:tc>
              <w:tc>
                <w:tcPr>
                  <w:tcW w:w="790" w:type="pct"/>
                  <w:noWrap w:val="0"/>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 xml:space="preserve">0.0200 </w:t>
                  </w:r>
                </w:p>
              </w:tc>
              <w:tc>
                <w:tcPr>
                  <w:tcW w:w="744" w:type="pct"/>
                  <w:noWrap w:val="0"/>
                  <w:vAlign w:val="center"/>
                </w:tcPr>
                <w:p>
                  <w:pPr>
                    <w:spacing w:line="240" w:lineRule="auto"/>
                    <w:jc w:val="center"/>
                    <w:rPr>
                      <w:rFonts w:hint="eastAsia" w:eastAsia="宋体"/>
                      <w:bCs/>
                      <w:color w:val="auto"/>
                      <w:sz w:val="21"/>
                      <w:szCs w:val="21"/>
                      <w:lang w:val="en-US" w:eastAsia="zh-CN"/>
                    </w:rPr>
                  </w:pPr>
                  <w:r>
                    <w:rPr>
                      <w:rFonts w:hint="eastAsia"/>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24" w:hRule="atLeast"/>
              </w:trPr>
              <w:tc>
                <w:tcPr>
                  <w:tcW w:w="833" w:type="pct"/>
                  <w:noWrap w:val="0"/>
                  <w:vAlign w:val="center"/>
                </w:tcPr>
                <w:p>
                  <w:pPr>
                    <w:spacing w:line="240" w:lineRule="auto"/>
                    <w:jc w:val="center"/>
                    <w:rPr>
                      <w:bCs/>
                      <w:caps/>
                      <w:color w:val="auto"/>
                      <w:sz w:val="21"/>
                      <w:szCs w:val="21"/>
                    </w:rPr>
                  </w:pPr>
                  <w:r>
                    <w:rPr>
                      <w:rFonts w:hint="eastAsia" w:ascii="Times New Roman" w:hAnsi="Times New Roman" w:cs="Times New Roman"/>
                      <w:color w:val="auto"/>
                      <w:sz w:val="21"/>
                      <w:szCs w:val="21"/>
                      <w:lang w:val="en-US" w:eastAsia="zh-CN"/>
                    </w:rPr>
                    <w:t>氨</w:t>
                  </w:r>
                </w:p>
              </w:tc>
              <w:tc>
                <w:tcPr>
                  <w:tcW w:w="586"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w:t>
                  </w:r>
                </w:p>
              </w:tc>
              <w:tc>
                <w:tcPr>
                  <w:tcW w:w="669" w:type="pct"/>
                  <w:noWrap w:val="0"/>
                  <w:vAlign w:val="center"/>
                </w:tcPr>
                <w:p>
                  <w:pPr>
                    <w:spacing w:line="240" w:lineRule="auto"/>
                    <w:jc w:val="center"/>
                    <w:rPr>
                      <w:rFonts w:hint="default"/>
                      <w:bCs/>
                      <w:color w:val="auto"/>
                      <w:sz w:val="21"/>
                      <w:szCs w:val="21"/>
                      <w:lang w:val="en-US" w:eastAsia="zh-CN"/>
                    </w:rPr>
                  </w:pPr>
                  <w:r>
                    <w:rPr>
                      <w:rFonts w:hint="eastAsia"/>
                      <w:bCs/>
                      <w:color w:val="auto"/>
                      <w:sz w:val="21"/>
                      <w:szCs w:val="21"/>
                      <w:lang w:val="en-US" w:eastAsia="zh-CN"/>
                    </w:rPr>
                    <w:t>/</w:t>
                  </w:r>
                </w:p>
              </w:tc>
              <w:tc>
                <w:tcPr>
                  <w:tcW w:w="705" w:type="pct"/>
                  <w:noWrap w:val="0"/>
                  <w:vAlign w:val="center"/>
                </w:tcPr>
                <w:p>
                  <w:pPr>
                    <w:spacing w:line="240" w:lineRule="auto"/>
                    <w:ind w:firstLine="0" w:firstLineChars="0"/>
                    <w:jc w:val="center"/>
                    <w:rPr>
                      <w:rFonts w:hint="default"/>
                      <w:bCs/>
                      <w:color w:val="auto"/>
                      <w:sz w:val="21"/>
                      <w:szCs w:val="21"/>
                      <w:lang w:val="en-US" w:eastAsia="zh-CN"/>
                    </w:rPr>
                  </w:pPr>
                  <w:r>
                    <w:rPr>
                      <w:rFonts w:hint="eastAsia"/>
                      <w:bCs/>
                      <w:color w:val="auto"/>
                      <w:sz w:val="21"/>
                      <w:szCs w:val="21"/>
                      <w:lang w:val="en-US" w:eastAsia="zh-CN"/>
                    </w:rPr>
                    <w:t>0.0179</w:t>
                  </w:r>
                </w:p>
              </w:tc>
              <w:tc>
                <w:tcPr>
                  <w:tcW w:w="790" w:type="pct"/>
                  <w:noWrap w:val="0"/>
                  <w:vAlign w:val="center"/>
                </w:tcPr>
                <w:p>
                  <w:pPr>
                    <w:spacing w:line="240" w:lineRule="auto"/>
                    <w:ind w:firstLine="0" w:firstLineChars="0"/>
                    <w:jc w:val="center"/>
                    <w:rPr>
                      <w:rFonts w:hint="default"/>
                      <w:bCs/>
                      <w:color w:val="auto"/>
                      <w:sz w:val="21"/>
                      <w:szCs w:val="21"/>
                      <w:lang w:val="en-US" w:eastAsia="zh-CN"/>
                    </w:rPr>
                  </w:pPr>
                  <w:r>
                    <w:rPr>
                      <w:rFonts w:hint="eastAsia"/>
                      <w:color w:val="auto"/>
                      <w:sz w:val="21"/>
                      <w:szCs w:val="21"/>
                      <w:lang w:val="en-US" w:eastAsia="zh-CN"/>
                    </w:rPr>
                    <w:t>0.6422</w:t>
                  </w:r>
                </w:p>
              </w:tc>
              <w:tc>
                <w:tcPr>
                  <w:tcW w:w="744" w:type="pct"/>
                  <w:noWrap w:val="0"/>
                  <w:vAlign w:val="center"/>
                </w:tcPr>
                <w:p>
                  <w:pPr>
                    <w:spacing w:line="240" w:lineRule="auto"/>
                    <w:jc w:val="center"/>
                    <w:rPr>
                      <w:rFonts w:hint="default" w:eastAsia="宋体"/>
                      <w:bCs/>
                      <w:color w:val="auto"/>
                      <w:sz w:val="21"/>
                      <w:szCs w:val="21"/>
                      <w:lang w:val="en-US" w:eastAsia="zh-CN"/>
                    </w:rPr>
                  </w:pPr>
                  <w:r>
                    <w:rPr>
                      <w:rFonts w:hint="eastAsia"/>
                      <w:bCs/>
                      <w:color w:val="auto"/>
                      <w:sz w:val="21"/>
                      <w:szCs w:val="21"/>
                      <w:lang w:val="en-US" w:eastAsia="zh-CN"/>
                    </w:rPr>
                    <w:t>0.0026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rFonts w:hint="eastAsia" w:ascii="Times New Roman" w:hAnsi="Times New Roman" w:cs="Times New Roman"/>
                      <w:color w:val="auto"/>
                      <w:sz w:val="21"/>
                      <w:szCs w:val="21"/>
                      <w:lang w:val="en-US" w:eastAsia="zh-CN"/>
                    </w:rPr>
                    <w:t>硫化氢</w:t>
                  </w:r>
                </w:p>
              </w:tc>
              <w:tc>
                <w:tcPr>
                  <w:tcW w:w="586" w:type="pct"/>
                  <w:noWrap w:val="0"/>
                  <w:vAlign w:val="center"/>
                </w:tcPr>
                <w:p>
                  <w:pPr>
                    <w:spacing w:line="240" w:lineRule="auto"/>
                    <w:jc w:val="center"/>
                    <w:rPr>
                      <w:rFonts w:hint="default" w:eastAsia="宋体"/>
                      <w:bCs/>
                      <w:color w:val="auto"/>
                      <w:spacing w:val="-10"/>
                      <w:sz w:val="21"/>
                      <w:szCs w:val="21"/>
                      <w:lang w:val="en-US" w:eastAsia="zh-CN"/>
                    </w:rPr>
                  </w:pPr>
                  <w:r>
                    <w:rPr>
                      <w:rFonts w:hint="eastAsia"/>
                      <w:bCs/>
                      <w:color w:val="auto"/>
                      <w:spacing w:val="-10"/>
                      <w:sz w:val="21"/>
                      <w:szCs w:val="21"/>
                      <w:lang w:val="en-US" w:eastAsia="zh-CN"/>
                    </w:rPr>
                    <w:t>/</w:t>
                  </w:r>
                </w:p>
              </w:tc>
              <w:tc>
                <w:tcPr>
                  <w:tcW w:w="669" w:type="pct"/>
                  <w:noWrap w:val="0"/>
                  <w:vAlign w:val="center"/>
                </w:tcPr>
                <w:p>
                  <w:pPr>
                    <w:spacing w:line="240" w:lineRule="auto"/>
                    <w:jc w:val="center"/>
                    <w:rPr>
                      <w:rFonts w:hint="default" w:eastAsia="宋体"/>
                      <w:bCs/>
                      <w:color w:val="auto"/>
                      <w:spacing w:val="-10"/>
                      <w:sz w:val="21"/>
                      <w:szCs w:val="21"/>
                      <w:lang w:val="en-US" w:eastAsia="zh-CN"/>
                    </w:rPr>
                  </w:pPr>
                  <w:r>
                    <w:rPr>
                      <w:rFonts w:hint="eastAsia"/>
                      <w:bCs/>
                      <w:color w:val="auto"/>
                      <w:spacing w:val="-10"/>
                      <w:sz w:val="21"/>
                      <w:szCs w:val="21"/>
                      <w:lang w:val="en-US" w:eastAsia="zh-CN"/>
                    </w:rPr>
                    <w:t>/</w:t>
                  </w:r>
                </w:p>
              </w:tc>
              <w:tc>
                <w:tcPr>
                  <w:tcW w:w="669" w:type="pct"/>
                  <w:noWrap w:val="0"/>
                  <w:vAlign w:val="center"/>
                </w:tcPr>
                <w:p>
                  <w:pPr>
                    <w:spacing w:line="240" w:lineRule="auto"/>
                    <w:ind w:firstLine="0" w:firstLineChars="0"/>
                    <w:jc w:val="center"/>
                    <w:rPr>
                      <w:rFonts w:hint="default" w:eastAsia="宋体"/>
                      <w:bCs/>
                      <w:caps/>
                      <w:color w:val="auto"/>
                      <w:sz w:val="21"/>
                      <w:szCs w:val="21"/>
                      <w:lang w:val="en-US" w:eastAsia="zh-CN"/>
                    </w:rPr>
                  </w:pPr>
                  <w:r>
                    <w:rPr>
                      <w:rFonts w:hint="eastAsia"/>
                      <w:bCs/>
                      <w:caps/>
                      <w:color w:val="auto"/>
                      <w:sz w:val="21"/>
                      <w:szCs w:val="21"/>
                      <w:lang w:val="en-US" w:eastAsia="zh-CN"/>
                    </w:rPr>
                    <w:t>/</w:t>
                  </w:r>
                </w:p>
              </w:tc>
              <w:tc>
                <w:tcPr>
                  <w:tcW w:w="705" w:type="pct"/>
                  <w:noWrap w:val="0"/>
                  <w:vAlign w:val="center"/>
                </w:tcPr>
                <w:p>
                  <w:pPr>
                    <w:spacing w:line="240" w:lineRule="auto"/>
                    <w:ind w:firstLine="0" w:firstLineChars="0"/>
                    <w:jc w:val="center"/>
                    <w:rPr>
                      <w:rFonts w:hint="default" w:eastAsia="宋体"/>
                      <w:bCs/>
                      <w:color w:val="auto"/>
                      <w:sz w:val="21"/>
                      <w:szCs w:val="21"/>
                      <w:vertAlign w:val="superscript"/>
                      <w:lang w:val="en-US" w:eastAsia="zh-CN"/>
                    </w:rPr>
                  </w:pPr>
                  <w:r>
                    <w:rPr>
                      <w:rFonts w:hint="eastAsia"/>
                      <w:color w:val="auto"/>
                      <w:sz w:val="21"/>
                      <w:szCs w:val="21"/>
                      <w:lang w:val="en-US" w:eastAsia="zh-CN"/>
                    </w:rPr>
                    <w:t>5.81×10</w:t>
                  </w:r>
                  <w:r>
                    <w:rPr>
                      <w:rFonts w:hint="eastAsia"/>
                      <w:color w:val="auto"/>
                      <w:sz w:val="21"/>
                      <w:szCs w:val="21"/>
                      <w:vertAlign w:val="superscript"/>
                      <w:lang w:val="en-US" w:eastAsia="zh-CN"/>
                    </w:rPr>
                    <w:t>-4</w:t>
                  </w:r>
                </w:p>
              </w:tc>
              <w:tc>
                <w:tcPr>
                  <w:tcW w:w="790" w:type="pct"/>
                  <w:noWrap w:val="0"/>
                  <w:vAlign w:val="center"/>
                </w:tcPr>
                <w:p>
                  <w:pPr>
                    <w:spacing w:line="240" w:lineRule="auto"/>
                    <w:ind w:firstLine="0" w:firstLineChars="0"/>
                    <w:jc w:val="center"/>
                    <w:rPr>
                      <w:rFonts w:hint="default" w:eastAsia="宋体"/>
                      <w:bCs/>
                      <w:color w:val="auto"/>
                      <w:sz w:val="21"/>
                      <w:szCs w:val="21"/>
                      <w:lang w:val="en-US" w:eastAsia="zh-CN"/>
                    </w:rPr>
                  </w:pPr>
                  <w:r>
                    <w:rPr>
                      <w:rFonts w:hint="eastAsia"/>
                      <w:bCs/>
                      <w:color w:val="auto"/>
                      <w:sz w:val="21"/>
                      <w:szCs w:val="21"/>
                      <w:lang w:val="en-US" w:eastAsia="zh-CN"/>
                    </w:rPr>
                    <w:t>0.02</w:t>
                  </w:r>
                </w:p>
              </w:tc>
              <w:tc>
                <w:tcPr>
                  <w:tcW w:w="744" w:type="pct"/>
                  <w:noWrap w:val="0"/>
                  <w:vAlign w:val="center"/>
                </w:tcPr>
                <w:p>
                  <w:pPr>
                    <w:spacing w:line="240" w:lineRule="auto"/>
                    <w:jc w:val="center"/>
                    <w:rPr>
                      <w:rFonts w:hint="default"/>
                      <w:bCs/>
                      <w:color w:val="auto"/>
                      <w:sz w:val="21"/>
                      <w:szCs w:val="21"/>
                      <w:lang w:val="en-US"/>
                    </w:rPr>
                  </w:pPr>
                  <w:r>
                    <w:rPr>
                      <w:rFonts w:hint="eastAsia"/>
                      <w:color w:val="auto"/>
                      <w:sz w:val="21"/>
                      <w:szCs w:val="21"/>
                      <w:lang w:val="en-US" w:eastAsia="zh-CN"/>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833" w:type="pct"/>
                  <w:noWrap w:val="0"/>
                  <w:vAlign w:val="center"/>
                </w:tcPr>
                <w:p>
                  <w:pPr>
                    <w:spacing w:line="240" w:lineRule="auto"/>
                    <w:jc w:val="center"/>
                    <w:rPr>
                      <w:bCs/>
                      <w:caps/>
                      <w:color w:val="auto"/>
                      <w:sz w:val="21"/>
                      <w:szCs w:val="21"/>
                    </w:rPr>
                  </w:pPr>
                  <w:r>
                    <w:rPr>
                      <w:bCs/>
                      <w:caps/>
                      <w:color w:val="auto"/>
                      <w:sz w:val="21"/>
                      <w:szCs w:val="21"/>
                    </w:rPr>
                    <w:t>臭气浓度</w:t>
                  </w:r>
                </w:p>
              </w:tc>
              <w:tc>
                <w:tcPr>
                  <w:tcW w:w="3421" w:type="pct"/>
                  <w:gridSpan w:val="5"/>
                  <w:noWrap w:val="0"/>
                  <w:vAlign w:val="center"/>
                </w:tcPr>
                <w:p>
                  <w:pPr>
                    <w:spacing w:line="240" w:lineRule="auto"/>
                    <w:jc w:val="center"/>
                    <w:rPr>
                      <w:bCs/>
                      <w:color w:val="auto"/>
                      <w:sz w:val="21"/>
                      <w:szCs w:val="21"/>
                    </w:rPr>
                  </w:pPr>
                  <w:r>
                    <w:rPr>
                      <w:rFonts w:hint="eastAsia"/>
                      <w:bCs/>
                      <w:caps/>
                      <w:color w:val="auto"/>
                      <w:sz w:val="21"/>
                      <w:szCs w:val="21"/>
                      <w:lang w:val="en-US" w:eastAsia="zh-CN"/>
                    </w:rPr>
                    <w:t>＜1000</w:t>
                  </w:r>
                  <w:r>
                    <w:rPr>
                      <w:bCs/>
                      <w:caps/>
                      <w:color w:val="auto"/>
                      <w:sz w:val="21"/>
                      <w:szCs w:val="21"/>
                    </w:rPr>
                    <w:t>(无量纲)</w:t>
                  </w:r>
                </w:p>
              </w:tc>
              <w:tc>
                <w:tcPr>
                  <w:tcW w:w="744" w:type="pct"/>
                  <w:noWrap w:val="0"/>
                  <w:vAlign w:val="center"/>
                </w:tcPr>
                <w:p>
                  <w:pPr>
                    <w:spacing w:line="240" w:lineRule="auto"/>
                    <w:jc w:val="center"/>
                    <w:rPr>
                      <w:bCs/>
                      <w:color w:val="auto"/>
                      <w:sz w:val="21"/>
                      <w:szCs w:val="21"/>
                    </w:rPr>
                  </w:pPr>
                  <w:r>
                    <w:rPr>
                      <w:rFonts w:hint="eastAsia"/>
                      <w:bCs/>
                      <w:caps/>
                      <w:color w:val="auto"/>
                      <w:sz w:val="21"/>
                      <w:szCs w:val="21"/>
                      <w:lang w:val="en-US" w:eastAsia="zh-CN"/>
                    </w:rPr>
                    <w:t>＜20</w:t>
                  </w:r>
                  <w:r>
                    <w:rPr>
                      <w:bCs/>
                      <w:caps/>
                      <w:color w:val="auto"/>
                      <w:sz w:val="21"/>
                      <w:szCs w:val="21"/>
                    </w:rPr>
                    <w:t>(无量纲)</w:t>
                  </w:r>
                </w:p>
              </w:tc>
            </w:tr>
          </w:tbl>
          <w:p>
            <w:pPr>
              <w:pStyle w:val="8"/>
              <w:bidi w:val="0"/>
              <w:rPr>
                <w:rFonts w:hint="eastAsia"/>
                <w:color w:val="auto"/>
                <w:lang w:val="en-US" w:eastAsia="zh-CN"/>
              </w:rPr>
            </w:pPr>
            <w:r>
              <w:rPr>
                <w:rFonts w:hint="eastAsia"/>
                <w:color w:val="auto"/>
                <w:lang w:val="en-US" w:eastAsia="zh-CN"/>
              </w:rPr>
              <w:t>（1）</w:t>
            </w:r>
            <w:r>
              <w:rPr>
                <w:rFonts w:hint="eastAsia"/>
                <w:color w:val="auto"/>
              </w:rPr>
              <w:t>非甲烷总烃</w:t>
            </w:r>
            <w:r>
              <w:rPr>
                <w:rFonts w:hint="eastAsia"/>
                <w:color w:val="auto"/>
                <w:lang w:eastAsia="zh-CN"/>
              </w:rPr>
              <w:t>、</w:t>
            </w:r>
            <w:r>
              <w:rPr>
                <w:rFonts w:hint="default"/>
                <w:color w:val="auto"/>
                <w:lang w:val="en-US" w:eastAsia="zh-CN"/>
              </w:rPr>
              <w:t>TRVOC</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eastAsia="宋体"/>
                <w:color w:val="auto"/>
                <w:lang w:eastAsia="zh-CN"/>
              </w:rPr>
            </w:pPr>
            <w:r>
              <w:rPr>
                <w:rFonts w:hint="eastAsia"/>
                <w:color w:val="auto"/>
                <w:lang w:val="en-US" w:eastAsia="zh-CN"/>
              </w:rPr>
              <w:t>本项目实验过程、溶液配制过程用到部分挥发性有机溶剂和无机试剂，</w:t>
            </w:r>
            <w:r>
              <w:rPr>
                <w:rFonts w:hint="eastAsia"/>
                <w:color w:val="auto"/>
              </w:rPr>
              <w:t>根据中华环保联合会发布的《实验室挥发性有机物污染防治技术指南》（T/ACEF001-2020）编制说明中P26</w:t>
            </w:r>
            <w:r>
              <w:rPr>
                <w:rFonts w:hint="eastAsia"/>
                <w:color w:val="auto"/>
                <w:lang w:eastAsia="zh-CN"/>
              </w:rPr>
              <w:t>，该指南在估算有机溶剂使用过程中有机废气的量时，按照30%挥发进入大气中进行计算，故评价有机溶剂使用过程产生有机废气按照30%计；33%盐酸水溶液、1%氨水溶液根据物质浓度计算纯物质量，挥发系数按</w:t>
            </w:r>
            <w:r>
              <w:rPr>
                <w:rFonts w:hint="eastAsia"/>
                <w:color w:val="auto"/>
                <w:lang w:val="en-US" w:eastAsia="zh-CN"/>
              </w:rPr>
              <w:t>10%</w:t>
            </w:r>
            <w:r>
              <w:rPr>
                <w:rFonts w:hint="eastAsia"/>
                <w:color w:val="auto"/>
                <w:lang w:eastAsia="zh-CN"/>
              </w:rPr>
              <w:t>计</w:t>
            </w:r>
            <w:r>
              <w:rPr>
                <w:rFonts w:hint="eastAsia"/>
                <w:color w:val="auto"/>
                <w:lang w:val="en-US" w:eastAsia="zh-CN"/>
              </w:rPr>
              <w:t>，</w:t>
            </w:r>
            <w:r>
              <w:rPr>
                <w:rFonts w:hint="eastAsia"/>
                <w:color w:val="auto"/>
              </w:rPr>
              <w:t>根据本项目原辅材料消耗情况一览表，废气产生情况见下表。</w:t>
            </w:r>
          </w:p>
          <w:p>
            <w:pPr>
              <w:pStyle w:val="83"/>
              <w:bidi w:val="0"/>
              <w:rPr>
                <w:rFonts w:hint="default"/>
                <w:color w:val="auto"/>
              </w:rPr>
            </w:pPr>
            <w:r>
              <w:rPr>
                <w:rFonts w:hint="eastAsia"/>
                <w:color w:val="auto"/>
                <w:lang w:val="en-US" w:eastAsia="zh-CN"/>
              </w:rPr>
              <w:t>表4-3  本项目污染物产生情况</w:t>
            </w:r>
            <w:r>
              <w:rPr>
                <w:rFonts w:hint="default"/>
                <w:color w:val="auto"/>
              </w:rPr>
              <w:t>一览表</w:t>
            </w:r>
          </w:p>
          <w:tbl>
            <w:tblPr>
              <w:tblStyle w:val="29"/>
              <w:tblW w:w="839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092"/>
              <w:gridCol w:w="1007"/>
              <w:gridCol w:w="1086"/>
              <w:gridCol w:w="1104"/>
              <w:gridCol w:w="1123"/>
              <w:gridCol w:w="1222"/>
              <w:gridCol w:w="13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b/>
                      <w:bCs/>
                      <w:color w:val="auto"/>
                      <w:sz w:val="21"/>
                      <w:szCs w:val="21"/>
                    </w:rPr>
                  </w:pPr>
                  <w:r>
                    <w:rPr>
                      <w:b/>
                      <w:bCs/>
                      <w:color w:val="auto"/>
                      <w:sz w:val="21"/>
                      <w:szCs w:val="21"/>
                    </w:rPr>
                    <w:t>序号</w:t>
                  </w:r>
                </w:p>
              </w:tc>
              <w:tc>
                <w:tcPr>
                  <w:tcW w:w="6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名称</w:t>
                  </w:r>
                </w:p>
              </w:tc>
              <w:tc>
                <w:tcPr>
                  <w:tcW w:w="599"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年用量（kg/a）</w:t>
                  </w:r>
                </w:p>
              </w:tc>
              <w:tc>
                <w:tcPr>
                  <w:tcW w:w="646"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b/>
                      <w:bCs/>
                      <w:color w:val="auto"/>
                      <w:sz w:val="21"/>
                      <w:szCs w:val="21"/>
                      <w:lang w:val="en-US" w:eastAsia="zh-CN"/>
                    </w:rPr>
                  </w:pPr>
                  <w:r>
                    <w:rPr>
                      <w:rFonts w:hint="eastAsia"/>
                      <w:b/>
                      <w:bCs/>
                      <w:color w:val="auto"/>
                      <w:sz w:val="21"/>
                      <w:szCs w:val="21"/>
                      <w:lang w:val="en-US" w:eastAsia="zh-CN"/>
                    </w:rPr>
                    <w:t>挥发系数</w:t>
                  </w:r>
                </w:p>
              </w:tc>
              <w:tc>
                <w:tcPr>
                  <w:tcW w:w="657"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产生量（kg/a）</w:t>
                  </w:r>
                </w:p>
              </w:tc>
              <w:tc>
                <w:tcPr>
                  <w:tcW w:w="66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年使用时间（h/a）</w:t>
                  </w:r>
                </w:p>
              </w:tc>
              <w:tc>
                <w:tcPr>
                  <w:tcW w:w="727"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产生速率（kg/h）</w:t>
                  </w:r>
                </w:p>
              </w:tc>
              <w:tc>
                <w:tcPr>
                  <w:tcW w:w="798"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b/>
                      <w:bCs/>
                      <w:color w:val="auto"/>
                      <w:sz w:val="21"/>
                      <w:szCs w:val="21"/>
                      <w:lang w:val="en-US" w:eastAsia="zh-CN"/>
                    </w:rPr>
                  </w:pPr>
                  <w:r>
                    <w:rPr>
                      <w:rFonts w:hint="eastAsia"/>
                      <w:b/>
                      <w:bCs/>
                      <w:color w:val="auto"/>
                      <w:sz w:val="21"/>
                      <w:szCs w:val="21"/>
                      <w:lang w:val="en-US" w:eastAsia="zh-CN"/>
                    </w:rPr>
                    <w:t>产污单元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1</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eastAsiaTheme="minorEastAsia"/>
                      <w:color w:val="auto"/>
                      <w:sz w:val="21"/>
                      <w:szCs w:val="21"/>
                    </w:rPr>
                    <w:t>无水乙醇</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927.075</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278.1225</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b w:val="0"/>
                      <w:bCs/>
                      <w:color w:val="auto"/>
                      <w:sz w:val="21"/>
                      <w:szCs w:val="21"/>
                      <w:lang w:val="en-US" w:eastAsia="zh-CN"/>
                    </w:rPr>
                    <w:t>1250</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0.2225</w:t>
                  </w:r>
                </w:p>
              </w:tc>
              <w:tc>
                <w:tcPr>
                  <w:tcW w:w="798" w:type="pct"/>
                  <w:vMerge w:val="restart"/>
                  <w:tcBorders>
                    <w:tl2br w:val="nil"/>
                    <w:tr2bl w:val="nil"/>
                  </w:tcBorders>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病理实验室风橱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color w:val="auto"/>
                      <w:sz w:val="21"/>
                      <w:szCs w:val="21"/>
                    </w:rPr>
                  </w:pPr>
                  <w:r>
                    <w:rPr>
                      <w:color w:val="auto"/>
                      <w:sz w:val="21"/>
                      <w:szCs w:val="21"/>
                    </w:rPr>
                    <w:t>2</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olor w:val="auto"/>
                      <w:sz w:val="21"/>
                      <w:szCs w:val="21"/>
                      <w:lang w:val="en-US" w:eastAsia="zh-CN"/>
                    </w:rPr>
                  </w:pPr>
                  <w:r>
                    <w:rPr>
                      <w:rFonts w:hint="default" w:ascii="Times New Roman" w:hAnsi="Times New Roman" w:cs="Times New Roman" w:eastAsiaTheme="minorEastAsia"/>
                      <w:color w:val="auto"/>
                      <w:sz w:val="21"/>
                      <w:szCs w:val="21"/>
                    </w:rPr>
                    <w:t>二甲苯</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64.5</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19.35</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b w:val="0"/>
                      <w:bCs/>
                      <w:color w:val="auto"/>
                      <w:sz w:val="21"/>
                      <w:szCs w:val="21"/>
                      <w:lang w:val="en-US" w:eastAsia="zh-CN"/>
                    </w:rPr>
                    <w:t>1250</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vertAlign w:val="superscript"/>
                      <w:lang w:val="en-US" w:eastAsia="zh-CN"/>
                    </w:rPr>
                  </w:pPr>
                  <w:r>
                    <w:rPr>
                      <w:rFonts w:hint="eastAsia" w:cs="Times New Roman" w:eastAsiaTheme="minorEastAsia"/>
                      <w:color w:val="auto"/>
                      <w:kern w:val="0"/>
                      <w:sz w:val="21"/>
                      <w:szCs w:val="21"/>
                      <w:lang w:val="en-US" w:eastAsia="zh-CN"/>
                    </w:rPr>
                    <w:t>1.55×10</w:t>
                  </w:r>
                  <w:r>
                    <w:rPr>
                      <w:rFonts w:hint="eastAsia" w:cs="Times New Roman" w:eastAsiaTheme="minorEastAsia"/>
                      <w:color w:val="auto"/>
                      <w:kern w:val="0"/>
                      <w:sz w:val="21"/>
                      <w:szCs w:val="21"/>
                      <w:vertAlign w:val="superscript"/>
                      <w:lang w:val="en-US" w:eastAsia="zh-CN"/>
                    </w:rPr>
                    <w:t>-2</w:t>
                  </w:r>
                </w:p>
              </w:tc>
              <w:tc>
                <w:tcPr>
                  <w:tcW w:w="798"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eastAsia" w:eastAsia="宋体"/>
                      <w:color w:val="auto"/>
                      <w:sz w:val="21"/>
                      <w:szCs w:val="21"/>
                      <w:lang w:val="en-US" w:eastAsia="zh-CN"/>
                    </w:rPr>
                  </w:pPr>
                  <w:r>
                    <w:rPr>
                      <w:rFonts w:hint="eastAsia"/>
                      <w:color w:val="auto"/>
                      <w:sz w:val="21"/>
                      <w:szCs w:val="21"/>
                      <w:lang w:val="en-US" w:eastAsia="zh-CN"/>
                    </w:rPr>
                    <w:t>3</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shd w:val="clear" w:color="auto" w:fill="FFFFFF"/>
                    </w:rPr>
                    <w:t>异丙醇</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0.5891</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0.1767</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b w:val="0"/>
                      <w:bCs/>
                      <w:color w:val="auto"/>
                      <w:sz w:val="21"/>
                      <w:szCs w:val="21"/>
                      <w:lang w:val="en-US" w:eastAsia="zh-CN"/>
                    </w:rPr>
                    <w:t>250</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7.07×10</w:t>
                  </w:r>
                  <w:r>
                    <w:rPr>
                      <w:rFonts w:hint="eastAsia" w:cs="Times New Roman" w:eastAsiaTheme="minorEastAsia"/>
                      <w:color w:val="auto"/>
                      <w:kern w:val="0"/>
                      <w:sz w:val="21"/>
                      <w:szCs w:val="21"/>
                      <w:vertAlign w:val="superscript"/>
                      <w:lang w:val="en-US" w:eastAsia="zh-CN"/>
                    </w:rPr>
                    <w:t>-4</w:t>
                  </w:r>
                </w:p>
              </w:tc>
              <w:tc>
                <w:tcPr>
                  <w:tcW w:w="7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4</w:t>
                  </w:r>
                </w:p>
              </w:tc>
              <w:tc>
                <w:tcPr>
                  <w:tcW w:w="650"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eastAsiaTheme="minorEastAsia"/>
                      <w:color w:val="auto"/>
                      <w:sz w:val="21"/>
                      <w:szCs w:val="21"/>
                      <w:shd w:val="clear" w:color="auto" w:fill="FFFFFF"/>
                      <w:lang w:val="en-US" w:eastAsia="zh-CN"/>
                    </w:rPr>
                    <w:t>无水甲醇</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593.25</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177.975</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0.1424</w:t>
                  </w:r>
                </w:p>
              </w:tc>
              <w:tc>
                <w:tcPr>
                  <w:tcW w:w="7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5</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Times New Roman" w:hAnsi="Times New Roman" w:cs="Times New Roman" w:eastAsiaTheme="minorEastAsia"/>
                      <w:b w:val="0"/>
                      <w:bCs w:val="0"/>
                      <w:color w:val="auto"/>
                      <w:kern w:val="2"/>
                      <w:sz w:val="21"/>
                      <w:szCs w:val="21"/>
                      <w:vertAlign w:val="baseline"/>
                      <w:lang w:val="en-US" w:eastAsia="zh-CN" w:bidi="ar-SA"/>
                    </w:rPr>
                  </w:pPr>
                  <w:r>
                    <w:rPr>
                      <w:rFonts w:hint="eastAsia" w:cs="Times New Roman" w:eastAsiaTheme="minorEastAsia"/>
                      <w:color w:val="auto"/>
                      <w:sz w:val="21"/>
                      <w:szCs w:val="21"/>
                      <w:lang w:val="en-US" w:eastAsia="zh-CN"/>
                    </w:rPr>
                    <w:t>33%</w:t>
                  </w:r>
                  <w:r>
                    <w:rPr>
                      <w:rFonts w:hint="default" w:ascii="Times New Roman" w:hAnsi="Times New Roman" w:cs="Times New Roman" w:eastAsiaTheme="minorEastAsia"/>
                      <w:color w:val="auto"/>
                      <w:sz w:val="21"/>
                      <w:szCs w:val="21"/>
                    </w:rPr>
                    <w:t>盐酸水溶液</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3.4926</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b w:val="0"/>
                      <w:bCs w:val="0"/>
                      <w:color w:val="auto"/>
                      <w:kern w:val="0"/>
                      <w:sz w:val="21"/>
                      <w:szCs w:val="21"/>
                      <w:lang w:val="en-US" w:eastAsia="zh-CN"/>
                    </w:rPr>
                  </w:pPr>
                  <w:r>
                    <w:rPr>
                      <w:rFonts w:hint="eastAsia"/>
                      <w:b w:val="0"/>
                      <w:bCs w:val="0"/>
                      <w:color w:val="auto"/>
                      <w:sz w:val="21"/>
                      <w:szCs w:val="21"/>
                      <w:lang w:val="en-US" w:eastAsia="zh-CN"/>
                    </w:rPr>
                    <w:t>10%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0.12</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250</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0.0005</w:t>
                  </w:r>
                </w:p>
              </w:tc>
              <w:tc>
                <w:tcPr>
                  <w:tcW w:w="7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6</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val="0"/>
                      <w:bCs w:val="0"/>
                      <w:color w:val="auto"/>
                      <w:kern w:val="2"/>
                      <w:sz w:val="21"/>
                      <w:szCs w:val="21"/>
                      <w:vertAlign w:val="baseline"/>
                      <w:lang w:val="en-US" w:eastAsia="zh-CN" w:bidi="ar-SA"/>
                    </w:rPr>
                  </w:pPr>
                  <w:r>
                    <w:rPr>
                      <w:rFonts w:hint="eastAsia" w:cs="Times New Roman" w:eastAsiaTheme="minorEastAsia"/>
                      <w:bCs/>
                      <w:color w:val="auto"/>
                      <w:sz w:val="21"/>
                      <w:szCs w:val="21"/>
                      <w:lang w:val="en-US" w:eastAsia="zh-CN"/>
                    </w:rPr>
                    <w:t>1%</w:t>
                  </w:r>
                  <w:r>
                    <w:rPr>
                      <w:rFonts w:hint="default" w:ascii="Times New Roman" w:hAnsi="Times New Roman" w:cs="Times New Roman" w:eastAsiaTheme="minorEastAsia"/>
                      <w:bCs/>
                      <w:color w:val="auto"/>
                      <w:sz w:val="21"/>
                      <w:szCs w:val="21"/>
                    </w:rPr>
                    <w:t>氨水溶液</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0.48</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b w:val="0"/>
                      <w:bCs w:val="0"/>
                      <w:color w:val="auto"/>
                      <w:kern w:val="0"/>
                      <w:sz w:val="21"/>
                      <w:szCs w:val="21"/>
                      <w:lang w:val="en-US" w:eastAsia="zh-CN"/>
                    </w:rPr>
                  </w:pPr>
                  <w:r>
                    <w:rPr>
                      <w:rFonts w:hint="eastAsia" w:cs="Times New Roman" w:eastAsiaTheme="minorEastAsia"/>
                      <w:b w:val="0"/>
                      <w:bCs w:val="0"/>
                      <w:color w:val="auto"/>
                      <w:kern w:val="0"/>
                      <w:sz w:val="21"/>
                      <w:szCs w:val="21"/>
                      <w:lang w:val="en-US" w:eastAsia="zh-CN"/>
                    </w:rPr>
                    <w:t>10</w:t>
                  </w:r>
                  <w:r>
                    <w:rPr>
                      <w:rFonts w:hint="eastAsia"/>
                      <w:b w:val="0"/>
                      <w:bCs w:val="0"/>
                      <w:color w:val="auto"/>
                      <w:sz w:val="21"/>
                      <w:szCs w:val="21"/>
                      <w:lang w:val="en-US" w:eastAsia="zh-CN"/>
                    </w:rPr>
                    <w:t>%</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0.0048</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4</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0.0012</w:t>
                  </w:r>
                </w:p>
              </w:tc>
              <w:tc>
                <w:tcPr>
                  <w:tcW w:w="79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tcBorders>
                    <w:tl2br w:val="nil"/>
                    <w:tr2bl w:val="nil"/>
                  </w:tcBorders>
                  <w:noWrap w:val="0"/>
                  <w:vAlign w:val="center"/>
                </w:tcPr>
                <w:p>
                  <w:pPr>
                    <w:pStyle w:val="84"/>
                    <w:keepNext w:val="0"/>
                    <w:keepLines w:val="0"/>
                    <w:pageBreakBefore w:val="0"/>
                    <w:widowControl w:val="0"/>
                    <w:kinsoku/>
                    <w:wordWrap/>
                    <w:overflowPunct/>
                    <w:topLinePunct w:val="0"/>
                    <w:autoSpaceDE/>
                    <w:autoSpaceDN/>
                    <w:bidi w:val="0"/>
                    <w:adjustRightInd/>
                    <w:spacing w:line="240" w:lineRule="auto"/>
                    <w:textAlignment w:val="auto"/>
                    <w:rPr>
                      <w:rFonts w:hint="default"/>
                      <w:color w:val="auto"/>
                      <w:sz w:val="21"/>
                      <w:szCs w:val="21"/>
                      <w:lang w:val="en-US" w:eastAsia="zh-CN"/>
                    </w:rPr>
                  </w:pPr>
                  <w:r>
                    <w:rPr>
                      <w:rFonts w:hint="eastAsia"/>
                      <w:color w:val="auto"/>
                      <w:sz w:val="21"/>
                      <w:szCs w:val="21"/>
                      <w:lang w:val="en-US" w:eastAsia="zh-CN"/>
                    </w:rPr>
                    <w:t>7</w:t>
                  </w:r>
                </w:p>
              </w:tc>
              <w:tc>
                <w:tcPr>
                  <w:tcW w:w="650"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bCs/>
                      <w:color w:val="auto"/>
                      <w:sz w:val="21"/>
                      <w:szCs w:val="21"/>
                      <w:lang w:val="en-US" w:eastAsia="zh-CN"/>
                    </w:rPr>
                  </w:pPr>
                  <w:r>
                    <w:rPr>
                      <w:rFonts w:hint="eastAsia" w:cs="Times New Roman" w:eastAsiaTheme="minorEastAsia"/>
                      <w:bCs/>
                      <w:color w:val="auto"/>
                      <w:sz w:val="21"/>
                      <w:szCs w:val="21"/>
                      <w:lang w:val="en-US" w:eastAsia="zh-CN"/>
                    </w:rPr>
                    <w:t>酒精消毒</w:t>
                  </w:r>
                </w:p>
              </w:tc>
              <w:tc>
                <w:tcPr>
                  <w:tcW w:w="599"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19.725</w:t>
                  </w:r>
                </w:p>
              </w:tc>
              <w:tc>
                <w:tcPr>
                  <w:tcW w:w="646"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100%</w:t>
                  </w:r>
                </w:p>
              </w:tc>
              <w:tc>
                <w:tcPr>
                  <w:tcW w:w="65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19.725</w:t>
                  </w:r>
                </w:p>
              </w:tc>
              <w:tc>
                <w:tcPr>
                  <w:tcW w:w="66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36</w:t>
                  </w:r>
                </w:p>
              </w:tc>
              <w:tc>
                <w:tcPr>
                  <w:tcW w:w="727"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0.5479</w:t>
                  </w:r>
                </w:p>
              </w:tc>
              <w:tc>
                <w:tcPr>
                  <w:tcW w:w="798" w:type="pct"/>
                  <w:tcBorders>
                    <w:tl2br w:val="nil"/>
                    <w:tr2bl w:val="nil"/>
                  </w:tcBorders>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动物饲养间</w:t>
                  </w:r>
                </w:p>
              </w:tc>
            </w:tr>
          </w:tbl>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本项目实验预计挥发出的非甲烷总烃的量为475.6242kg/a（0.3811kg/h）、TRVOC的量为475.6242kg/a（0.3811kg/h）。</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根据建设单位提供资料，动物饲养间每周清洁一次，鼠饲养间使用酒精消毒，兔饲养间使用84消毒液消毒。消毒酒精使用无水乙醇和水进行配置，</w:t>
            </w:r>
            <w:r>
              <w:rPr>
                <w:rFonts w:hint="eastAsia"/>
                <w:b w:val="0"/>
                <w:bCs/>
                <w:color w:val="auto"/>
                <w:lang w:val="en-US" w:eastAsia="zh-CN"/>
              </w:rPr>
              <w:t>年用量25</w:t>
            </w:r>
            <w:r>
              <w:rPr>
                <w:rFonts w:hint="eastAsia"/>
                <w:color w:val="auto"/>
                <w:lang w:val="en-US" w:eastAsia="zh-CN"/>
              </w:rPr>
              <w:t>L/a</w:t>
            </w:r>
            <w:r>
              <w:rPr>
                <w:rFonts w:hint="eastAsia"/>
                <w:b w:val="0"/>
                <w:bCs/>
                <w:color w:val="auto"/>
                <w:lang w:val="en-US" w:eastAsia="zh-CN"/>
              </w:rPr>
              <w:t>，密度0.789</w:t>
            </w:r>
            <w:r>
              <w:rPr>
                <w:rFonts w:hint="eastAsia"/>
                <w:color w:val="auto"/>
                <w:lang w:val="en-US" w:eastAsia="zh-CN"/>
              </w:rPr>
              <w:t>g/ml，年使用时间36h/a，使用酒精消毒过程等待其自然挥发，挥发后变成非甲烷总烃、TRVOC，挥发系数按100%计。则消毒过程产生的非甲烷总烃的量为19.725kg/a（0.5479kg/h）、TRVOC的量为19.725kg/a（0.5479kg/h）。</w:t>
            </w:r>
          </w:p>
          <w:p>
            <w:pPr>
              <w:pStyle w:val="8"/>
              <w:numPr>
                <w:ilvl w:val="0"/>
                <w:numId w:val="0"/>
              </w:numPr>
              <w:ind w:leftChars="200"/>
              <w:rPr>
                <w:rFonts w:hint="eastAsia"/>
                <w:color w:val="auto"/>
                <w:lang w:val="en-US" w:eastAsia="zh-CN"/>
              </w:rPr>
            </w:pPr>
            <w:r>
              <w:rPr>
                <w:rFonts w:hint="eastAsia"/>
                <w:color w:val="auto"/>
                <w:lang w:val="en-US" w:eastAsia="zh-CN"/>
              </w:rPr>
              <w:t>（2）二甲苯</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本项目HE染色实验、石蜡切片免疫组化实验、细胞滴片免疫组化实验使用二甲苯进行组织脱水、脱蜡至水、染色等过程，二甲苯</w:t>
            </w:r>
            <w:r>
              <w:rPr>
                <w:rFonts w:hint="eastAsia"/>
                <w:b w:val="0"/>
                <w:bCs/>
                <w:color w:val="auto"/>
                <w:lang w:val="en-US" w:eastAsia="zh-CN"/>
              </w:rPr>
              <w:t>年用量75</w:t>
            </w:r>
            <w:r>
              <w:rPr>
                <w:rFonts w:hint="eastAsia"/>
                <w:color w:val="auto"/>
                <w:lang w:val="en-US" w:eastAsia="zh-CN"/>
              </w:rPr>
              <w:t>L/a</w:t>
            </w:r>
            <w:r>
              <w:rPr>
                <w:rFonts w:hint="eastAsia"/>
                <w:b w:val="0"/>
                <w:bCs/>
                <w:color w:val="auto"/>
                <w:lang w:val="en-US" w:eastAsia="zh-CN"/>
              </w:rPr>
              <w:t>，密度0.86</w:t>
            </w:r>
            <w:r>
              <w:rPr>
                <w:rFonts w:hint="eastAsia"/>
                <w:color w:val="auto"/>
                <w:lang w:val="en-US" w:eastAsia="zh-CN"/>
              </w:rPr>
              <w:t>g/ml，</w:t>
            </w:r>
            <w:r>
              <w:rPr>
                <w:rFonts w:hint="eastAsia"/>
                <w:b w:val="0"/>
                <w:bCs/>
                <w:color w:val="auto"/>
                <w:lang w:val="en-US" w:eastAsia="zh-CN"/>
              </w:rPr>
              <w:t>年使用时间1250h/a；根据《实验室挥发性有机物污染防治技术指南》（T/ACEF001-2020）编制说明中P26，该指南在估算有机溶剂使用过程中有机废气的量时，按照30%挥发进入大气中进行计算，则实验过程产生</w:t>
            </w:r>
            <w:r>
              <w:rPr>
                <w:rFonts w:hint="eastAsia"/>
                <w:color w:val="auto"/>
                <w:lang w:val="en-US" w:eastAsia="zh-CN"/>
              </w:rPr>
              <w:t>二甲苯的量为19.35kg/a</w:t>
            </w:r>
            <w:r>
              <w:rPr>
                <w:rFonts w:hint="eastAsia"/>
                <w:color w:val="auto"/>
                <w:sz w:val="24"/>
                <w:szCs w:val="24"/>
                <w:lang w:val="en-US" w:eastAsia="zh-CN"/>
              </w:rPr>
              <w:t>（</w:t>
            </w:r>
            <w:r>
              <w:rPr>
                <w:rFonts w:hint="eastAsia" w:cs="Times New Roman" w:eastAsiaTheme="minorEastAsia"/>
                <w:color w:val="auto"/>
                <w:kern w:val="0"/>
                <w:sz w:val="24"/>
                <w:szCs w:val="24"/>
                <w:lang w:val="en-US" w:eastAsia="zh-CN"/>
              </w:rPr>
              <w:t>0.0155</w:t>
            </w:r>
            <w:r>
              <w:rPr>
                <w:rFonts w:hint="eastAsia"/>
                <w:color w:val="auto"/>
                <w:sz w:val="24"/>
                <w:szCs w:val="24"/>
                <w:lang w:val="en-US" w:eastAsia="zh-CN"/>
              </w:rPr>
              <w:t>k</w:t>
            </w:r>
            <w:r>
              <w:rPr>
                <w:rFonts w:hint="eastAsia"/>
                <w:color w:val="auto"/>
                <w:lang w:val="en-US" w:eastAsia="zh-CN"/>
              </w:rPr>
              <w:t>g/h）。实验过程位于病理实验室通风橱内染色机进行。</w:t>
            </w:r>
          </w:p>
          <w:p>
            <w:pPr>
              <w:pStyle w:val="8"/>
              <w:numPr>
                <w:ilvl w:val="0"/>
                <w:numId w:val="0"/>
              </w:numPr>
              <w:ind w:leftChars="200"/>
              <w:rPr>
                <w:rFonts w:hint="default"/>
                <w:color w:val="auto"/>
                <w:lang w:val="en-US" w:eastAsia="zh-CN"/>
              </w:rPr>
            </w:pPr>
            <w:r>
              <w:rPr>
                <w:rFonts w:hint="eastAsia"/>
                <w:color w:val="auto"/>
                <w:lang w:val="en-US" w:eastAsia="zh-CN"/>
              </w:rPr>
              <w:t>（3）甲醇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本项目</w:t>
            </w:r>
            <w:r>
              <w:rPr>
                <w:rFonts w:hint="eastAsia"/>
                <w:color w:val="auto"/>
                <w:highlight w:val="none"/>
                <w:lang w:val="en-US" w:eastAsia="zh-CN"/>
              </w:rPr>
              <w:t>Western Blot检测转膜实验过程使用无水甲醇激活PVDF膜，浸泡15~30s，实验过程在常温下进行，</w:t>
            </w:r>
            <w:r>
              <w:rPr>
                <w:rFonts w:hint="eastAsia"/>
                <w:b w:val="0"/>
                <w:bCs/>
                <w:color w:val="auto"/>
                <w:highlight w:val="none"/>
                <w:lang w:val="en-US" w:eastAsia="zh-CN"/>
              </w:rPr>
              <w:t>年使用时间250h/a。</w:t>
            </w:r>
            <w:r>
              <w:rPr>
                <w:rFonts w:hint="eastAsia"/>
                <w:color w:val="auto"/>
                <w:highlight w:val="none"/>
                <w:lang w:val="en-US" w:eastAsia="zh-CN"/>
              </w:rPr>
              <w:t>无水甲醇</w:t>
            </w:r>
            <w:r>
              <w:rPr>
                <w:rFonts w:hint="eastAsia"/>
                <w:b w:val="0"/>
                <w:bCs/>
                <w:color w:val="auto"/>
                <w:highlight w:val="none"/>
                <w:lang w:val="en-US" w:eastAsia="zh-CN"/>
              </w:rPr>
              <w:t>年用量750L</w:t>
            </w:r>
            <w:r>
              <w:rPr>
                <w:rFonts w:hint="eastAsia"/>
                <w:color w:val="auto"/>
                <w:highlight w:val="none"/>
                <w:lang w:val="en-US" w:eastAsia="zh-CN"/>
              </w:rPr>
              <w:t>/a</w:t>
            </w:r>
            <w:r>
              <w:rPr>
                <w:rFonts w:hint="eastAsia"/>
                <w:b w:val="0"/>
                <w:bCs/>
                <w:color w:val="auto"/>
                <w:highlight w:val="none"/>
                <w:lang w:val="en-US" w:eastAsia="zh-CN"/>
              </w:rPr>
              <w:t>，密度0.791</w:t>
            </w:r>
            <w:r>
              <w:rPr>
                <w:rFonts w:hint="eastAsia"/>
                <w:color w:val="auto"/>
                <w:highlight w:val="none"/>
                <w:lang w:val="en-US" w:eastAsia="zh-CN"/>
              </w:rPr>
              <w:t>g/ml，</w:t>
            </w:r>
            <w:r>
              <w:rPr>
                <w:rFonts w:hint="eastAsia"/>
                <w:b w:val="0"/>
                <w:bCs/>
                <w:color w:val="auto"/>
                <w:lang w:val="en-US" w:eastAsia="zh-CN"/>
              </w:rPr>
              <w:t>根据《实验室挥发性有机物污染防治技术指南》（T/ACEF001-2020）编制说明中P26，该指南在估算有机溶剂使用过程中有机废气的量时，按照30%挥发进入大气中进行计算，则</w:t>
            </w:r>
            <w:r>
              <w:rPr>
                <w:rFonts w:hint="eastAsia"/>
                <w:b w:val="0"/>
                <w:bCs/>
                <w:color w:val="auto"/>
                <w:highlight w:val="none"/>
                <w:lang w:val="en-US" w:eastAsia="zh-CN"/>
              </w:rPr>
              <w:t>实验过程中会产生甲醇</w:t>
            </w:r>
            <w:r>
              <w:rPr>
                <w:rFonts w:hint="eastAsia"/>
                <w:color w:val="auto"/>
                <w:lang w:val="en-US" w:eastAsia="zh-CN"/>
              </w:rPr>
              <w:t>的量为177.975kg/a（0.1424kg/h）。</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lang w:val="en-US" w:eastAsia="zh-CN"/>
              </w:rPr>
            </w:pPr>
            <w:r>
              <w:rPr>
                <w:rFonts w:hint="eastAsia"/>
                <w:color w:val="auto"/>
                <w:lang w:val="en-US" w:eastAsia="zh-CN"/>
              </w:rPr>
              <w:t>（4）氯化氢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lang w:val="en-US" w:eastAsia="zh-CN"/>
              </w:rPr>
              <w:t>本项目石蜡切片免疫组化实验</w:t>
            </w:r>
            <w:r>
              <w:rPr>
                <w:rFonts w:hint="eastAsia"/>
                <w:color w:val="auto"/>
                <w:lang w:eastAsia="zh-CN"/>
              </w:rPr>
              <w:t>复染细胞核过程使用</w:t>
            </w:r>
            <w:r>
              <w:rPr>
                <w:rFonts w:hint="eastAsia"/>
                <w:color w:val="auto"/>
                <w:lang w:val="en-US" w:eastAsia="zh-CN"/>
              </w:rPr>
              <w:t>盐酸酒精</w:t>
            </w:r>
            <w:r>
              <w:rPr>
                <w:rFonts w:hint="eastAsia"/>
                <w:color w:val="auto"/>
                <w:lang w:eastAsia="zh-CN"/>
              </w:rPr>
              <w:t>分化液，</w:t>
            </w:r>
            <w:r>
              <w:rPr>
                <w:rFonts w:hint="eastAsia"/>
                <w:color w:val="auto"/>
                <w:lang w:val="en-US" w:eastAsia="zh-CN"/>
              </w:rPr>
              <w:t>盐酸酒精分化液配置使用无水乙醇、33%盐酸进行配置，实验过程中盐酸会挥发产生废气氯化氢。33%盐酸年用量为3000ml/a，溶液配制在常温进行，实验过程及溶液配制时间约1h/d，年工作时间250h/a，盐酸计算纯物质量后挥发系数按10%计，密度为1.1642g/ml，则实验预计挥发出的氯化氢的量为0.12kg/a（0.0005kg/h）。</w:t>
            </w:r>
          </w:p>
          <w:p>
            <w:pPr>
              <w:numPr>
                <w:ilvl w:val="0"/>
                <w:numId w:val="0"/>
              </w:numPr>
              <w:ind w:leftChars="200"/>
              <w:rPr>
                <w:rFonts w:hint="default"/>
                <w:color w:val="auto"/>
                <w:lang w:val="en-US" w:eastAsia="zh-CN"/>
              </w:rPr>
            </w:pPr>
            <w:r>
              <w:rPr>
                <w:rFonts w:hint="eastAsia"/>
                <w:color w:val="auto"/>
                <w:lang w:val="en-US" w:eastAsia="zh-CN"/>
              </w:rPr>
              <w:t>（5）氨</w:t>
            </w:r>
          </w:p>
          <w:p>
            <w:pPr>
              <w:pStyle w:val="2"/>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本项目HE染色实验中石蜡切片染色后使用</w:t>
            </w:r>
            <w:r>
              <w:rPr>
                <w:rFonts w:hint="eastAsia"/>
                <w:b w:val="0"/>
                <w:bCs/>
                <w:color w:val="auto"/>
                <w:lang w:val="en-US" w:eastAsia="zh-CN"/>
              </w:rPr>
              <w:t>1%氨水水溶液返蓝1min，年使用时间4h/a，实验过程中会产生氨。1%氨水水溶液年用量500ml</w:t>
            </w:r>
            <w:r>
              <w:rPr>
                <w:rFonts w:hint="eastAsia"/>
                <w:color w:val="auto"/>
                <w:lang w:val="en-US" w:eastAsia="zh-CN"/>
              </w:rPr>
              <w:t>/a</w:t>
            </w:r>
            <w:r>
              <w:rPr>
                <w:rFonts w:hint="eastAsia"/>
                <w:b w:val="0"/>
                <w:bCs/>
                <w:color w:val="auto"/>
                <w:lang w:val="en-US" w:eastAsia="zh-CN"/>
              </w:rPr>
              <w:t>，密度0.96</w:t>
            </w:r>
            <w:r>
              <w:rPr>
                <w:rFonts w:hint="eastAsia"/>
                <w:color w:val="auto"/>
                <w:lang w:val="en-US" w:eastAsia="zh-CN"/>
              </w:rPr>
              <w:t>g/ml，氨水计算纯物质量后挥发系数按10%计，则实验预计挥发出的氨的量为0.0048kg/a（0.0012kg/h）。</w:t>
            </w:r>
          </w:p>
          <w:p>
            <w:pPr>
              <w:pStyle w:val="8"/>
              <w:bidi w:val="0"/>
              <w:rPr>
                <w:rFonts w:hint="eastAsia"/>
                <w:color w:val="auto"/>
                <w:lang w:val="en-US" w:eastAsia="zh-CN"/>
              </w:rPr>
            </w:pPr>
            <w:r>
              <w:rPr>
                <w:rFonts w:hint="eastAsia"/>
                <w:color w:val="auto"/>
                <w:highlight w:val="none"/>
                <w:lang w:val="en-US" w:eastAsia="zh-CN"/>
              </w:rPr>
              <w:t>以上实验过程均位于病理实验室通风橱内进行，</w:t>
            </w:r>
            <w:r>
              <w:rPr>
                <w:rFonts w:hint="eastAsia"/>
                <w:color w:val="auto"/>
                <w:lang w:val="en-US" w:eastAsia="zh-CN"/>
              </w:rPr>
              <w:t>废气通过病理实验室通风橱收集后经1套活性炭设施处理后通过1根20m高排气筒P1排放。</w:t>
            </w:r>
          </w:p>
          <w:p>
            <w:pPr>
              <w:pStyle w:val="8"/>
              <w:keepNext w:val="0"/>
              <w:keepLines w:val="0"/>
              <w:pageBreakBefore w:val="0"/>
              <w:widowControl w:val="0"/>
              <w:numPr>
                <w:ilvl w:val="0"/>
                <w:numId w:val="9"/>
              </w:numPr>
              <w:kinsoku/>
              <w:wordWrap/>
              <w:overflowPunct/>
              <w:topLinePunct w:val="0"/>
              <w:autoSpaceDE/>
              <w:autoSpaceDN/>
              <w:bidi w:val="0"/>
              <w:adjustRightInd/>
              <w:ind w:leftChars="0" w:firstLine="480" w:firstLineChars="200"/>
              <w:textAlignment w:val="auto"/>
              <w:rPr>
                <w:rFonts w:hint="eastAsia"/>
                <w:color w:val="auto"/>
                <w:lang w:val="en-US" w:eastAsia="zh-CN"/>
              </w:rPr>
            </w:pPr>
            <w:r>
              <w:rPr>
                <w:rFonts w:hint="eastAsia"/>
                <w:color w:val="auto"/>
                <w:lang w:val="en-US" w:eastAsia="zh-CN"/>
              </w:rPr>
              <w:t>异味分析</w:t>
            </w:r>
          </w:p>
          <w:p>
            <w:pPr>
              <w:pStyle w:val="8"/>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w:t>
            </w:r>
            <w:r>
              <w:rPr>
                <w:rFonts w:hint="eastAsia" w:ascii="Times New Roman" w:hAnsi="Times New Roman" w:cs="Times New Roman"/>
                <w:color w:val="auto"/>
                <w:lang w:val="en-US" w:eastAsia="zh-CN"/>
              </w:rPr>
              <w:t>外购健康的</w:t>
            </w:r>
            <w:r>
              <w:rPr>
                <w:rFonts w:hint="default" w:ascii="Times New Roman" w:hAnsi="Times New Roman" w:cs="Times New Roman"/>
                <w:color w:val="auto"/>
                <w:lang w:val="en-US" w:eastAsia="zh-CN"/>
              </w:rPr>
              <w:t>动物</w:t>
            </w:r>
            <w:r>
              <w:rPr>
                <w:rFonts w:hint="eastAsia" w:ascii="Times New Roman" w:hAnsi="Times New Roman" w:cs="Times New Roman"/>
                <w:color w:val="auto"/>
                <w:lang w:val="en-US" w:eastAsia="zh-CN"/>
              </w:rPr>
              <w:t>鼠、兔子</w:t>
            </w:r>
            <w:r>
              <w:rPr>
                <w:rFonts w:hint="default" w:ascii="Times New Roman" w:hAnsi="Times New Roman" w:cs="Times New Roman"/>
                <w:color w:val="auto"/>
                <w:lang w:val="en-US" w:eastAsia="zh-CN"/>
              </w:rPr>
              <w:t>在动物饲养间进行适应性饲养</w:t>
            </w:r>
            <w:r>
              <w:rPr>
                <w:rFonts w:hint="eastAsia" w:ascii="Times New Roman" w:hAnsi="Times New Roman" w:cs="Times New Roman"/>
                <w:color w:val="auto"/>
                <w:lang w:val="en-US" w:eastAsia="zh-CN"/>
              </w:rPr>
              <w:t>，饲养期为3~10天，</w:t>
            </w:r>
            <w:r>
              <w:rPr>
                <w:rFonts w:hint="default" w:ascii="Times New Roman" w:hAnsi="Times New Roman" w:cs="Times New Roman"/>
                <w:color w:val="auto"/>
                <w:lang w:val="en-US" w:eastAsia="zh-CN"/>
              </w:rPr>
              <w:t>期间会产生恶臭气体，主要为氨、硫化氢、臭气浓度。</w:t>
            </w:r>
            <w:r>
              <w:rPr>
                <w:rFonts w:hint="eastAsia" w:cs="Times New Roman"/>
                <w:color w:val="auto"/>
                <w:lang w:val="en-US" w:eastAsia="zh-CN"/>
              </w:rPr>
              <w:t>本项目动物饲养异味分析类比</w:t>
            </w:r>
            <w:r>
              <w:rPr>
                <w:rFonts w:hint="default" w:ascii="Times New Roman" w:hAnsi="Times New Roman" w:cs="Times New Roman"/>
                <w:color w:val="auto"/>
                <w:lang w:val="en-US" w:eastAsia="zh-CN"/>
              </w:rPr>
              <w:t>《天津天诚新药评价有限公司废气检测报告》（报告编号：[环]检202209-JC-057Q，2022年9月19日）</w:t>
            </w:r>
            <w:r>
              <w:rPr>
                <w:rFonts w:hint="eastAsia" w:cs="Times New Roman"/>
                <w:color w:val="auto"/>
                <w:lang w:val="en-US" w:eastAsia="zh-CN"/>
              </w:rPr>
              <w:t>。</w:t>
            </w:r>
          </w:p>
          <w:p>
            <w:pPr>
              <w:pStyle w:val="83"/>
              <w:keepNext w:val="0"/>
              <w:keepLines w:val="0"/>
              <w:pageBreakBefore w:val="0"/>
              <w:widowControl w:val="0"/>
              <w:kinsoku/>
              <w:wordWrap/>
              <w:overflowPunct/>
              <w:topLinePunct w:val="0"/>
              <w:autoSpaceDE/>
              <w:autoSpaceDN/>
              <w:bidi w:val="0"/>
              <w:adjustRightInd w:val="0"/>
              <w:snapToGrid w:val="0"/>
              <w:spacing w:before="0" w:beforeLines="0"/>
              <w:ind w:firstLine="0"/>
              <w:textAlignment w:val="auto"/>
              <w:rPr>
                <w:color w:val="auto"/>
              </w:rPr>
            </w:pPr>
            <w:r>
              <w:rPr>
                <w:rFonts w:hint="eastAsia"/>
                <w:color w:val="auto"/>
              </w:rPr>
              <w:t>表4-</w:t>
            </w:r>
            <w:r>
              <w:rPr>
                <w:rFonts w:hint="eastAsia"/>
                <w:color w:val="auto"/>
                <w:lang w:val="en-US" w:eastAsia="zh-CN"/>
              </w:rPr>
              <w:t>8</w:t>
            </w:r>
            <w:r>
              <w:rPr>
                <w:rFonts w:hint="eastAsia"/>
                <w:color w:val="auto"/>
              </w:rPr>
              <w:t xml:space="preserve">   本项目臭气浓度类比分析一览表</w:t>
            </w:r>
          </w:p>
          <w:tbl>
            <w:tblPr>
              <w:tblStyle w:val="30"/>
              <w:tblW w:w="85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2460"/>
              <w:gridCol w:w="3480"/>
              <w:gridCol w:w="15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141" w:type="dxa"/>
                  <w:tcBorders>
                    <w:tl2br w:val="nil"/>
                    <w:tr2bl w:val="nil"/>
                  </w:tcBorders>
                  <w:vAlign w:val="center"/>
                </w:tcPr>
                <w:p>
                  <w:pPr>
                    <w:pStyle w:val="10"/>
                    <w:spacing w:line="240" w:lineRule="auto"/>
                    <w:rPr>
                      <w:color w:val="auto"/>
                    </w:rPr>
                  </w:pPr>
                  <w:r>
                    <w:rPr>
                      <w:color w:val="auto"/>
                    </w:rPr>
                    <w:t>项目</w:t>
                  </w:r>
                </w:p>
              </w:tc>
              <w:tc>
                <w:tcPr>
                  <w:tcW w:w="2460" w:type="dxa"/>
                  <w:tcBorders>
                    <w:tl2br w:val="nil"/>
                    <w:tr2bl w:val="nil"/>
                  </w:tcBorders>
                  <w:vAlign w:val="center"/>
                </w:tcPr>
                <w:p>
                  <w:pPr>
                    <w:pStyle w:val="10"/>
                    <w:spacing w:line="240" w:lineRule="auto"/>
                    <w:rPr>
                      <w:color w:val="auto"/>
                    </w:rPr>
                  </w:pPr>
                  <w:r>
                    <w:rPr>
                      <w:color w:val="auto"/>
                    </w:rPr>
                    <w:t>本项目</w:t>
                  </w:r>
                </w:p>
              </w:tc>
              <w:tc>
                <w:tcPr>
                  <w:tcW w:w="3480" w:type="dxa"/>
                  <w:tcBorders>
                    <w:tl2br w:val="nil"/>
                    <w:tr2bl w:val="nil"/>
                  </w:tcBorders>
                  <w:vAlign w:val="center"/>
                </w:tcPr>
                <w:p>
                  <w:pPr>
                    <w:pStyle w:val="10"/>
                    <w:spacing w:line="240" w:lineRule="auto"/>
                    <w:rPr>
                      <w:color w:val="auto"/>
                    </w:rPr>
                  </w:pPr>
                  <w:r>
                    <w:rPr>
                      <w:rFonts w:hint="default" w:ascii="Times New Roman" w:hAnsi="Times New Roman" w:cs="Times New Roman"/>
                      <w:color w:val="auto"/>
                      <w:lang w:val="en-US" w:eastAsia="zh-CN"/>
                    </w:rPr>
                    <w:t>天津天诚新药评价有限公司</w:t>
                  </w:r>
                </w:p>
              </w:tc>
              <w:tc>
                <w:tcPr>
                  <w:tcW w:w="1517" w:type="dxa"/>
                  <w:tcBorders>
                    <w:tl2br w:val="nil"/>
                    <w:tr2bl w:val="nil"/>
                  </w:tcBorders>
                  <w:vAlign w:val="center"/>
                </w:tcPr>
                <w:p>
                  <w:pPr>
                    <w:pStyle w:val="10"/>
                    <w:spacing w:line="240" w:lineRule="auto"/>
                    <w:rPr>
                      <w:rFonts w:hint="eastAsia" w:eastAsia="宋体"/>
                      <w:color w:val="auto"/>
                      <w:lang w:eastAsia="zh-CN"/>
                    </w:rPr>
                  </w:pPr>
                  <w:r>
                    <w:rPr>
                      <w:rFonts w:hint="eastAsia"/>
                      <w:color w:val="auto"/>
                      <w:lang w:eastAsia="zh-CN"/>
                    </w:rPr>
                    <w:t>类比性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141" w:type="dxa"/>
                  <w:tcBorders>
                    <w:tl2br w:val="nil"/>
                    <w:tr2bl w:val="nil"/>
                  </w:tcBorders>
                  <w:vAlign w:val="center"/>
                </w:tcPr>
                <w:p>
                  <w:pPr>
                    <w:pStyle w:val="10"/>
                    <w:spacing w:line="240" w:lineRule="auto"/>
                    <w:rPr>
                      <w:rFonts w:hint="eastAsia" w:eastAsia="宋体"/>
                      <w:b w:val="0"/>
                      <w:bCs/>
                      <w:color w:val="auto"/>
                      <w:lang w:eastAsia="zh-CN"/>
                    </w:rPr>
                  </w:pPr>
                  <w:r>
                    <w:rPr>
                      <w:rFonts w:hint="eastAsia"/>
                      <w:b w:val="0"/>
                      <w:bCs/>
                      <w:color w:val="auto"/>
                      <w:lang w:eastAsia="zh-CN"/>
                    </w:rPr>
                    <w:t>饲养动物种类</w:t>
                  </w:r>
                </w:p>
              </w:tc>
              <w:tc>
                <w:tcPr>
                  <w:tcW w:w="2460"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鼠、兔</w:t>
                  </w:r>
                </w:p>
              </w:tc>
              <w:tc>
                <w:tcPr>
                  <w:tcW w:w="3480" w:type="dxa"/>
                  <w:tcBorders>
                    <w:tl2br w:val="nil"/>
                    <w:tr2bl w:val="nil"/>
                  </w:tcBorders>
                  <w:vAlign w:val="center"/>
                </w:tcPr>
                <w:p>
                  <w:pPr>
                    <w:pStyle w:val="10"/>
                    <w:spacing w:line="240" w:lineRule="auto"/>
                    <w:rPr>
                      <w:rFonts w:hint="default"/>
                      <w:b w:val="0"/>
                      <w:bCs/>
                      <w:color w:val="auto"/>
                      <w:lang w:val="en-US" w:eastAsia="zh-CN"/>
                    </w:rPr>
                  </w:pPr>
                  <w:r>
                    <w:rPr>
                      <w:rFonts w:hint="default"/>
                      <w:b w:val="0"/>
                      <w:bCs/>
                      <w:color w:val="auto"/>
                      <w:lang w:val="en-US" w:eastAsia="zh-CN"/>
                    </w:rPr>
                    <w:t>啮齿类：大鼠、小鼠、豚鼠、地鼠；</w:t>
                  </w:r>
                </w:p>
                <w:p>
                  <w:pPr>
                    <w:pStyle w:val="10"/>
                    <w:spacing w:line="240" w:lineRule="auto"/>
                    <w:rPr>
                      <w:rFonts w:hint="default"/>
                      <w:b w:val="0"/>
                      <w:bCs/>
                      <w:color w:val="auto"/>
                      <w:lang w:val="en-US" w:eastAsia="zh-CN"/>
                    </w:rPr>
                  </w:pPr>
                  <w:r>
                    <w:rPr>
                      <w:rFonts w:hint="default"/>
                      <w:b w:val="0"/>
                      <w:bCs/>
                      <w:color w:val="auto"/>
                      <w:lang w:val="en-US" w:eastAsia="zh-CN"/>
                    </w:rPr>
                    <w:t>非啮齿类：犬、猴、小型猪、兔、猫</w:t>
                  </w:r>
                  <w:r>
                    <w:rPr>
                      <w:rFonts w:hint="eastAsia"/>
                      <w:b w:val="0"/>
                      <w:bCs/>
                      <w:color w:val="auto"/>
                      <w:lang w:val="en-US" w:eastAsia="zh-CN"/>
                    </w:rPr>
                    <w:t>。</w:t>
                  </w:r>
                </w:p>
              </w:tc>
              <w:tc>
                <w:tcPr>
                  <w:tcW w:w="1517"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本项目动物饲养种类少于类比项目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141" w:type="dxa"/>
                  <w:tcBorders>
                    <w:tl2br w:val="nil"/>
                    <w:tr2bl w:val="nil"/>
                  </w:tcBorders>
                  <w:vAlign w:val="center"/>
                </w:tcPr>
                <w:p>
                  <w:pPr>
                    <w:pStyle w:val="10"/>
                    <w:spacing w:line="240" w:lineRule="auto"/>
                    <w:rPr>
                      <w:rFonts w:hint="eastAsia" w:eastAsia="宋体"/>
                      <w:b w:val="0"/>
                      <w:bCs/>
                      <w:color w:val="auto"/>
                      <w:lang w:eastAsia="zh-CN"/>
                    </w:rPr>
                  </w:pPr>
                  <w:r>
                    <w:rPr>
                      <w:rFonts w:hint="eastAsia"/>
                      <w:b w:val="0"/>
                      <w:bCs/>
                      <w:color w:val="auto"/>
                      <w:lang w:eastAsia="zh-CN"/>
                    </w:rPr>
                    <w:t>建设规模</w:t>
                  </w:r>
                </w:p>
              </w:tc>
              <w:tc>
                <w:tcPr>
                  <w:tcW w:w="2460" w:type="dxa"/>
                  <w:tcBorders>
                    <w:tl2br w:val="nil"/>
                    <w:tr2bl w:val="nil"/>
                  </w:tcBorders>
                  <w:vAlign w:val="center"/>
                </w:tcPr>
                <w:p>
                  <w:pPr>
                    <w:pStyle w:val="10"/>
                    <w:spacing w:line="240" w:lineRule="auto"/>
                    <w:rPr>
                      <w:rFonts w:hint="eastAsia"/>
                      <w:b w:val="0"/>
                      <w:bCs/>
                      <w:color w:val="auto"/>
                      <w:lang w:eastAsia="zh-CN"/>
                    </w:rPr>
                  </w:pPr>
                  <w:r>
                    <w:rPr>
                      <w:rFonts w:hint="eastAsia"/>
                      <w:b w:val="0"/>
                      <w:bCs/>
                      <w:color w:val="auto"/>
                      <w:lang w:eastAsia="zh-CN"/>
                    </w:rPr>
                    <w:t>动物房</w:t>
                  </w:r>
                  <w:r>
                    <w:rPr>
                      <w:rFonts w:hint="eastAsia"/>
                      <w:b w:val="0"/>
                      <w:bCs/>
                      <w:color w:val="auto"/>
                      <w:lang w:val="en-US" w:eastAsia="zh-CN"/>
                    </w:rPr>
                    <w:t>建筑面积255m</w:t>
                  </w:r>
                  <w:r>
                    <w:rPr>
                      <w:rFonts w:hint="eastAsia"/>
                      <w:b w:val="0"/>
                      <w:bCs/>
                      <w:color w:val="auto"/>
                      <w:vertAlign w:val="superscript"/>
                      <w:lang w:val="en-US" w:eastAsia="zh-CN"/>
                    </w:rPr>
                    <w:t>2</w:t>
                  </w:r>
                  <w:r>
                    <w:rPr>
                      <w:rFonts w:hint="eastAsia"/>
                      <w:b w:val="0"/>
                      <w:bCs/>
                      <w:color w:val="auto"/>
                      <w:lang w:val="en-US" w:eastAsia="zh-CN"/>
                    </w:rPr>
                    <w:t>，</w:t>
                  </w:r>
                  <w:r>
                    <w:rPr>
                      <w:rFonts w:hint="eastAsia"/>
                      <w:b w:val="0"/>
                      <w:bCs/>
                      <w:color w:val="auto"/>
                      <w:lang w:eastAsia="zh-CN"/>
                    </w:rPr>
                    <w:t>饲设有鼠饲养间、兔饲养间、前室、手术室、观察室、更衣间、洗刷间、取材室等。</w:t>
                  </w:r>
                </w:p>
              </w:tc>
              <w:tc>
                <w:tcPr>
                  <w:tcW w:w="3480"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动物房建筑面积7562m</w:t>
                  </w:r>
                  <w:r>
                    <w:rPr>
                      <w:rFonts w:hint="eastAsia"/>
                      <w:b w:val="0"/>
                      <w:bCs/>
                      <w:color w:val="auto"/>
                      <w:vertAlign w:val="superscript"/>
                      <w:lang w:val="en-US" w:eastAsia="zh-CN"/>
                    </w:rPr>
                    <w:t>2</w:t>
                  </w:r>
                  <w:r>
                    <w:rPr>
                      <w:rFonts w:hint="eastAsia"/>
                      <w:b w:val="0"/>
                      <w:bCs/>
                      <w:color w:val="auto"/>
                      <w:lang w:val="en-US" w:eastAsia="zh-CN"/>
                    </w:rPr>
                    <w:t>，设置动物饲养间、手术、化验、检验、消毒灭菌、淋浴、更衣、缓冲间、洗手间等。</w:t>
                  </w:r>
                </w:p>
              </w:tc>
              <w:tc>
                <w:tcPr>
                  <w:tcW w:w="1517"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本项目动物房建设规模远小于类比项目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141"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废气收集、处理、排放方式</w:t>
                  </w:r>
                </w:p>
              </w:tc>
              <w:tc>
                <w:tcPr>
                  <w:tcW w:w="2460" w:type="dxa"/>
                  <w:tcBorders>
                    <w:tl2br w:val="nil"/>
                    <w:tr2bl w:val="nil"/>
                  </w:tcBorders>
                  <w:vAlign w:val="center"/>
                </w:tcPr>
                <w:p>
                  <w:pPr>
                    <w:pStyle w:val="10"/>
                    <w:spacing w:line="240" w:lineRule="auto"/>
                    <w:rPr>
                      <w:b w:val="0"/>
                      <w:bCs/>
                      <w:color w:val="auto"/>
                    </w:rPr>
                  </w:pPr>
                  <w:r>
                    <w:rPr>
                      <w:rFonts w:hint="eastAsia"/>
                      <w:b w:val="0"/>
                      <w:bCs/>
                      <w:color w:val="auto"/>
                      <w:lang w:val="en-US" w:eastAsia="zh-CN"/>
                    </w:rPr>
                    <w:t>动物房洁净车间整体换风收集废气，经</w:t>
                  </w:r>
                  <w:r>
                    <w:rPr>
                      <w:rFonts w:hint="eastAsia"/>
                      <w:b w:val="0"/>
                      <w:bCs/>
                      <w:color w:val="auto"/>
                    </w:rPr>
                    <w:t>活性炭</w:t>
                  </w:r>
                  <w:r>
                    <w:rPr>
                      <w:b w:val="0"/>
                      <w:bCs/>
                      <w:color w:val="auto"/>
                    </w:rPr>
                    <w:t>净化处理</w:t>
                  </w:r>
                  <w:r>
                    <w:rPr>
                      <w:rFonts w:hint="eastAsia"/>
                      <w:b w:val="0"/>
                      <w:bCs/>
                      <w:color w:val="auto"/>
                      <w:lang w:eastAsia="zh-CN"/>
                    </w:rPr>
                    <w:t>后，通过排气筒</w:t>
                  </w:r>
                  <w:r>
                    <w:rPr>
                      <w:rFonts w:hint="eastAsia"/>
                      <w:b w:val="0"/>
                      <w:bCs/>
                      <w:color w:val="auto"/>
                      <w:lang w:val="en-US" w:eastAsia="zh-CN"/>
                    </w:rPr>
                    <w:t>P1排放。</w:t>
                  </w:r>
                </w:p>
              </w:tc>
              <w:tc>
                <w:tcPr>
                  <w:tcW w:w="3480"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动物房洁净车间整体换风收集废气，经</w:t>
                  </w:r>
                  <w:r>
                    <w:rPr>
                      <w:rFonts w:hint="eastAsia"/>
                      <w:b w:val="0"/>
                      <w:bCs/>
                      <w:color w:val="auto"/>
                    </w:rPr>
                    <w:t>活性炭</w:t>
                  </w:r>
                  <w:r>
                    <w:rPr>
                      <w:b w:val="0"/>
                      <w:bCs/>
                      <w:color w:val="auto"/>
                    </w:rPr>
                    <w:t>净化处理</w:t>
                  </w:r>
                  <w:r>
                    <w:rPr>
                      <w:rFonts w:hint="eastAsia"/>
                      <w:b w:val="0"/>
                      <w:bCs/>
                      <w:color w:val="auto"/>
                      <w:lang w:eastAsia="zh-CN"/>
                    </w:rPr>
                    <w:t>后，通过排气筒</w:t>
                  </w:r>
                  <w:r>
                    <w:rPr>
                      <w:rFonts w:hint="eastAsia"/>
                      <w:b w:val="0"/>
                      <w:bCs/>
                      <w:color w:val="auto"/>
                      <w:lang w:val="en-US" w:eastAsia="zh-CN"/>
                    </w:rPr>
                    <w:t>P16排放。</w:t>
                  </w:r>
                </w:p>
              </w:tc>
              <w:tc>
                <w:tcPr>
                  <w:tcW w:w="1517"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相似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41" w:type="dxa"/>
                  <w:tcBorders>
                    <w:tl2br w:val="nil"/>
                    <w:tr2bl w:val="nil"/>
                  </w:tcBorders>
                  <w:vAlign w:val="center"/>
                </w:tcPr>
                <w:p>
                  <w:pPr>
                    <w:pStyle w:val="10"/>
                    <w:spacing w:line="240" w:lineRule="auto"/>
                    <w:rPr>
                      <w:rFonts w:hint="eastAsia" w:eastAsia="宋体"/>
                      <w:b w:val="0"/>
                      <w:bCs/>
                      <w:color w:val="auto"/>
                      <w:lang w:eastAsia="zh-CN"/>
                    </w:rPr>
                  </w:pPr>
                  <w:r>
                    <w:rPr>
                      <w:b w:val="0"/>
                      <w:bCs/>
                      <w:color w:val="auto"/>
                    </w:rPr>
                    <w:t>有组织</w:t>
                  </w:r>
                  <w:r>
                    <w:rPr>
                      <w:rFonts w:hint="eastAsia"/>
                      <w:b w:val="0"/>
                      <w:bCs/>
                      <w:color w:val="auto"/>
                      <w:lang w:eastAsia="zh-CN"/>
                    </w:rPr>
                    <w:t>排放</w:t>
                  </w:r>
                </w:p>
              </w:tc>
              <w:tc>
                <w:tcPr>
                  <w:tcW w:w="2460" w:type="dxa"/>
                  <w:tcBorders>
                    <w:tl2br w:val="nil"/>
                    <w:tr2bl w:val="nil"/>
                  </w:tcBorders>
                  <w:vAlign w:val="center"/>
                </w:tcPr>
                <w:p>
                  <w:pPr>
                    <w:pStyle w:val="10"/>
                    <w:spacing w:line="240" w:lineRule="auto"/>
                    <w:rPr>
                      <w:b w:val="0"/>
                      <w:bCs/>
                      <w:color w:val="auto"/>
                    </w:rPr>
                  </w:pPr>
                  <w:r>
                    <w:rPr>
                      <w:b w:val="0"/>
                      <w:bCs/>
                      <w:color w:val="auto"/>
                    </w:rPr>
                    <w:t>/</w:t>
                  </w:r>
                </w:p>
              </w:tc>
              <w:tc>
                <w:tcPr>
                  <w:tcW w:w="3480" w:type="dxa"/>
                  <w:tcBorders>
                    <w:tl2br w:val="nil"/>
                    <w:tr2bl w:val="nil"/>
                  </w:tcBorders>
                  <w:vAlign w:val="center"/>
                </w:tcPr>
                <w:p>
                  <w:pPr>
                    <w:pStyle w:val="10"/>
                    <w:spacing w:line="240" w:lineRule="auto"/>
                    <w:rPr>
                      <w:rFonts w:hint="eastAsia" w:eastAsia="宋体"/>
                      <w:b w:val="0"/>
                      <w:bCs/>
                      <w:color w:val="auto"/>
                      <w:lang w:val="en-US" w:eastAsia="zh-CN"/>
                    </w:rPr>
                  </w:pPr>
                  <w:r>
                    <w:rPr>
                      <w:rFonts w:hint="eastAsia"/>
                      <w:b w:val="0"/>
                      <w:bCs/>
                      <w:color w:val="auto"/>
                      <w:lang w:val="en-US" w:eastAsia="zh-CN"/>
                    </w:rPr>
                    <w:t>氨排放浓度0.59</w:t>
                  </w:r>
                  <w:r>
                    <w:rPr>
                      <w:b w:val="0"/>
                      <w:bCs w:val="0"/>
                      <w:color w:val="auto"/>
                      <w:sz w:val="21"/>
                      <w:szCs w:val="21"/>
                    </w:rPr>
                    <w:t>mg/m</w:t>
                  </w:r>
                  <w:r>
                    <w:rPr>
                      <w:rFonts w:hint="eastAsia"/>
                      <w:b w:val="0"/>
                      <w:bCs w:val="0"/>
                      <w:color w:val="auto"/>
                      <w:sz w:val="21"/>
                      <w:szCs w:val="21"/>
                      <w:vertAlign w:val="superscript"/>
                      <w:lang w:val="en-US" w:eastAsia="zh-CN"/>
                    </w:rPr>
                    <w:t>3</w:t>
                  </w:r>
                  <w:r>
                    <w:rPr>
                      <w:rFonts w:hint="eastAsia"/>
                      <w:b w:val="0"/>
                      <w:bCs/>
                      <w:color w:val="auto"/>
                      <w:lang w:val="en-US" w:eastAsia="zh-CN"/>
                    </w:rPr>
                    <w:t>、排放速率0.0167kg/h、硫化氢排放浓度0.02</w:t>
                  </w:r>
                  <w:r>
                    <w:rPr>
                      <w:b w:val="0"/>
                      <w:bCs w:val="0"/>
                      <w:color w:val="auto"/>
                      <w:sz w:val="21"/>
                      <w:szCs w:val="21"/>
                    </w:rPr>
                    <w:t>mg/m</w:t>
                  </w:r>
                  <w:r>
                    <w:rPr>
                      <w:rFonts w:hint="eastAsia"/>
                      <w:b w:val="0"/>
                      <w:bCs w:val="0"/>
                      <w:color w:val="auto"/>
                      <w:sz w:val="21"/>
                      <w:szCs w:val="21"/>
                      <w:vertAlign w:val="superscript"/>
                      <w:lang w:val="en-US" w:eastAsia="zh-CN"/>
                    </w:rPr>
                    <w:t>3</w:t>
                  </w:r>
                  <w:r>
                    <w:rPr>
                      <w:rFonts w:hint="eastAsia"/>
                      <w:b w:val="0"/>
                      <w:bCs/>
                      <w:color w:val="auto"/>
                      <w:lang w:val="en-US" w:eastAsia="zh-CN"/>
                    </w:rPr>
                    <w:t>、排放速率5.81</w:t>
                  </w:r>
                  <w:r>
                    <w:rPr>
                      <w:rFonts w:hint="eastAsia"/>
                      <w:b w:val="0"/>
                      <w:bCs/>
                      <w:color w:val="auto"/>
                      <w:sz w:val="21"/>
                      <w:szCs w:val="21"/>
                      <w:lang w:val="en-US" w:eastAsia="zh-CN"/>
                    </w:rPr>
                    <w:t>×</w:t>
                  </w:r>
                  <w:r>
                    <w:rPr>
                      <w:rFonts w:hint="eastAsia" w:cs="Times New Roman" w:eastAsiaTheme="minorEastAsia"/>
                      <w:b w:val="0"/>
                      <w:bCs/>
                      <w:color w:val="auto"/>
                      <w:kern w:val="0"/>
                      <w:sz w:val="21"/>
                      <w:szCs w:val="21"/>
                      <w:lang w:val="en-US" w:eastAsia="zh-CN"/>
                    </w:rPr>
                    <w:t>10</w:t>
                  </w:r>
                  <w:r>
                    <w:rPr>
                      <w:rFonts w:hint="eastAsia" w:cs="Times New Roman" w:eastAsiaTheme="minorEastAsia"/>
                      <w:b w:val="0"/>
                      <w:bCs/>
                      <w:color w:val="auto"/>
                      <w:kern w:val="0"/>
                      <w:sz w:val="21"/>
                      <w:szCs w:val="21"/>
                      <w:vertAlign w:val="superscript"/>
                      <w:lang w:val="en-US" w:eastAsia="zh-CN"/>
                    </w:rPr>
                    <w:t>-4</w:t>
                  </w:r>
                  <w:r>
                    <w:rPr>
                      <w:rFonts w:hint="eastAsia"/>
                      <w:b w:val="0"/>
                      <w:bCs/>
                      <w:color w:val="auto"/>
                      <w:lang w:val="en-US" w:eastAsia="zh-CN"/>
                    </w:rPr>
                    <w:t>kg/h、臭气浓度550</w:t>
                  </w:r>
                  <w:r>
                    <w:rPr>
                      <w:b w:val="0"/>
                      <w:bCs/>
                      <w:color w:val="auto"/>
                    </w:rPr>
                    <w:t>（无量纲）</w:t>
                  </w:r>
                  <w:r>
                    <w:rPr>
                      <w:rFonts w:hint="eastAsia"/>
                      <w:b w:val="0"/>
                      <w:bCs/>
                      <w:color w:val="auto"/>
                      <w:lang w:eastAsia="zh-CN"/>
                    </w:rPr>
                    <w:t>。</w:t>
                  </w:r>
                </w:p>
              </w:tc>
              <w:tc>
                <w:tcPr>
                  <w:tcW w:w="1517" w:type="dxa"/>
                  <w:tcBorders>
                    <w:tl2br w:val="nil"/>
                    <w:tr2bl w:val="nil"/>
                  </w:tcBorders>
                  <w:vAlign w:val="center"/>
                </w:tcPr>
                <w:p>
                  <w:pPr>
                    <w:pStyle w:val="10"/>
                    <w:spacing w:line="240" w:lineRule="auto"/>
                    <w:rPr>
                      <w:rFonts w:hint="default"/>
                      <w:b w:val="0"/>
                      <w:bCs/>
                      <w:color w:val="auto"/>
                      <w:lang w:val="en-US" w:eastAsia="zh-CN"/>
                    </w:rPr>
                  </w:pPr>
                  <w:r>
                    <w:rPr>
                      <w:rFonts w:hint="eastAsia"/>
                      <w:b w:val="0"/>
                      <w:bCs/>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141" w:type="dxa"/>
                  <w:tcBorders>
                    <w:tl2br w:val="nil"/>
                    <w:tr2bl w:val="nil"/>
                  </w:tcBorders>
                  <w:vAlign w:val="center"/>
                </w:tcPr>
                <w:p>
                  <w:pPr>
                    <w:pStyle w:val="10"/>
                    <w:spacing w:line="240" w:lineRule="auto"/>
                    <w:rPr>
                      <w:rFonts w:hint="eastAsia" w:eastAsia="宋体"/>
                      <w:b w:val="0"/>
                      <w:bCs/>
                      <w:color w:val="auto"/>
                      <w:lang w:eastAsia="zh-CN"/>
                    </w:rPr>
                  </w:pPr>
                  <w:r>
                    <w:rPr>
                      <w:rFonts w:hint="eastAsia"/>
                      <w:b w:val="0"/>
                      <w:bCs/>
                      <w:color w:val="auto"/>
                      <w:lang w:eastAsia="zh-CN"/>
                    </w:rPr>
                    <w:t>无组织排放</w:t>
                  </w:r>
                </w:p>
              </w:tc>
              <w:tc>
                <w:tcPr>
                  <w:tcW w:w="2460" w:type="dxa"/>
                  <w:tcBorders>
                    <w:tl2br w:val="nil"/>
                    <w:tr2bl w:val="nil"/>
                  </w:tcBorders>
                  <w:vAlign w:val="center"/>
                </w:tcPr>
                <w:p>
                  <w:pPr>
                    <w:pStyle w:val="10"/>
                    <w:spacing w:line="240" w:lineRule="auto"/>
                    <w:rPr>
                      <w:rFonts w:hint="eastAsia" w:eastAsia="宋体"/>
                      <w:b w:val="0"/>
                      <w:bCs/>
                      <w:color w:val="auto"/>
                      <w:lang w:val="en-US" w:eastAsia="zh-CN"/>
                    </w:rPr>
                  </w:pPr>
                  <w:r>
                    <w:rPr>
                      <w:rFonts w:hint="eastAsia"/>
                      <w:b w:val="0"/>
                      <w:bCs/>
                      <w:color w:val="auto"/>
                      <w:lang w:val="en-US" w:eastAsia="zh-CN"/>
                    </w:rPr>
                    <w:t>/</w:t>
                  </w:r>
                </w:p>
              </w:tc>
              <w:tc>
                <w:tcPr>
                  <w:tcW w:w="3480" w:type="dxa"/>
                  <w:tcBorders>
                    <w:tl2br w:val="nil"/>
                    <w:tr2bl w:val="nil"/>
                  </w:tcBorders>
                  <w:vAlign w:val="center"/>
                </w:tcPr>
                <w:p>
                  <w:pPr>
                    <w:pStyle w:val="10"/>
                    <w:spacing w:line="240" w:lineRule="auto"/>
                    <w:rPr>
                      <w:rFonts w:hint="eastAsia" w:eastAsia="宋体"/>
                      <w:b w:val="0"/>
                      <w:bCs/>
                      <w:color w:val="auto"/>
                      <w:lang w:val="en-US" w:eastAsia="zh-CN"/>
                    </w:rPr>
                  </w:pPr>
                  <w:r>
                    <w:rPr>
                      <w:rFonts w:hint="eastAsia"/>
                      <w:b w:val="0"/>
                      <w:bCs/>
                      <w:color w:val="auto"/>
                      <w:lang w:val="en-US" w:eastAsia="zh-CN"/>
                    </w:rPr>
                    <w:t>无组织监测点位位于动物房北侧，氨排放浓度0.0026</w:t>
                  </w:r>
                  <w:r>
                    <w:rPr>
                      <w:b w:val="0"/>
                      <w:bCs w:val="0"/>
                      <w:color w:val="auto"/>
                      <w:sz w:val="21"/>
                      <w:szCs w:val="21"/>
                    </w:rPr>
                    <w:t>mg/m</w:t>
                  </w:r>
                  <w:r>
                    <w:rPr>
                      <w:rFonts w:hint="eastAsia"/>
                      <w:b w:val="0"/>
                      <w:bCs w:val="0"/>
                      <w:color w:val="auto"/>
                      <w:sz w:val="21"/>
                      <w:szCs w:val="21"/>
                      <w:vertAlign w:val="superscript"/>
                      <w:lang w:val="en-US" w:eastAsia="zh-CN"/>
                    </w:rPr>
                    <w:t>3</w:t>
                  </w:r>
                  <w:r>
                    <w:rPr>
                      <w:rFonts w:hint="eastAsia"/>
                      <w:b w:val="0"/>
                      <w:bCs/>
                      <w:color w:val="auto"/>
                      <w:lang w:val="en-US" w:eastAsia="zh-CN"/>
                    </w:rPr>
                    <w:t>、硫化氢未检出、臭气浓度14</w:t>
                  </w:r>
                  <w:r>
                    <w:rPr>
                      <w:b w:val="0"/>
                      <w:bCs/>
                      <w:color w:val="auto"/>
                    </w:rPr>
                    <w:t>（无量纲）</w:t>
                  </w:r>
                  <w:r>
                    <w:rPr>
                      <w:rFonts w:hint="eastAsia"/>
                      <w:b w:val="0"/>
                      <w:bCs/>
                      <w:color w:val="auto"/>
                      <w:lang w:eastAsia="zh-CN"/>
                    </w:rPr>
                    <w:t>。</w:t>
                  </w:r>
                </w:p>
              </w:tc>
              <w:tc>
                <w:tcPr>
                  <w:tcW w:w="1517"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w:t>
                  </w:r>
                </w:p>
              </w:tc>
            </w:tr>
          </w:tbl>
          <w:p>
            <w:pPr>
              <w:pStyle w:val="8"/>
              <w:keepNext w:val="0"/>
              <w:keepLines w:val="0"/>
              <w:pageBreakBefore w:val="0"/>
              <w:widowControl w:val="0"/>
              <w:kinsoku/>
              <w:wordWrap/>
              <w:overflowPunct/>
              <w:topLinePunct w:val="0"/>
              <w:autoSpaceDE/>
              <w:autoSpaceDN/>
              <w:bidi w:val="0"/>
              <w:adjustRightInd/>
              <w:snapToGrid w:val="0"/>
              <w:textAlignment w:val="auto"/>
              <w:rPr>
                <w:color w:val="auto"/>
              </w:rPr>
            </w:pPr>
            <w:r>
              <w:rPr>
                <w:rFonts w:hint="eastAsia"/>
                <w:color w:val="auto"/>
                <w:lang w:val="en-US" w:eastAsia="zh-CN"/>
              </w:rPr>
              <w:t>由上表可知，</w:t>
            </w:r>
            <w:r>
              <w:rPr>
                <w:rFonts w:hint="eastAsia"/>
                <w:color w:val="auto"/>
              </w:rPr>
              <w:t>本项目</w:t>
            </w:r>
            <w:r>
              <w:rPr>
                <w:rFonts w:hint="eastAsia"/>
                <w:b w:val="0"/>
                <w:bCs/>
                <w:color w:val="auto"/>
                <w:lang w:val="en-US" w:eastAsia="zh-CN"/>
              </w:rPr>
              <w:t>动物饲养种类少于类比项目，动物房建设规模远小于类比项目，废气收集、处理、排放方式</w:t>
            </w:r>
            <w:r>
              <w:rPr>
                <w:rFonts w:hint="eastAsia"/>
                <w:color w:val="auto"/>
                <w:lang w:val="en-US" w:eastAsia="zh-CN"/>
              </w:rPr>
              <w:t>相似，具有可类比性</w:t>
            </w:r>
            <w:r>
              <w:rPr>
                <w:rFonts w:hint="eastAsia"/>
                <w:color w:val="auto"/>
                <w:lang w:eastAsia="zh-CN"/>
              </w:rPr>
              <w:t>。因此，本项目动物房废气排放的有组织臭气浓度＜</w:t>
            </w:r>
            <w:r>
              <w:rPr>
                <w:rFonts w:hint="eastAsia"/>
                <w:color w:val="auto"/>
                <w:lang w:val="en-US" w:eastAsia="zh-CN"/>
              </w:rPr>
              <w:t>550</w:t>
            </w:r>
            <w:r>
              <w:rPr>
                <w:rFonts w:hint="eastAsia"/>
                <w:color w:val="auto"/>
                <w:lang w:eastAsia="zh-CN"/>
              </w:rPr>
              <w:t xml:space="preserve"> (无量</w:t>
            </w:r>
            <w:r>
              <w:rPr>
                <w:rFonts w:hint="eastAsia"/>
                <w:color w:val="auto"/>
                <w:sz w:val="24"/>
                <w:szCs w:val="24"/>
                <w:lang w:eastAsia="zh-CN"/>
              </w:rPr>
              <w:t>纲)、</w:t>
            </w:r>
            <w:r>
              <w:rPr>
                <w:rFonts w:hint="eastAsia"/>
                <w:b w:val="0"/>
                <w:bCs/>
                <w:color w:val="auto"/>
                <w:sz w:val="24"/>
                <w:szCs w:val="24"/>
                <w:lang w:val="en-US" w:eastAsia="zh-CN"/>
              </w:rPr>
              <w:t>氨排放浓度0.59</w:t>
            </w:r>
            <w:r>
              <w:rPr>
                <w:b w:val="0"/>
                <w:bCs w:val="0"/>
                <w:color w:val="auto"/>
                <w:sz w:val="24"/>
                <w:szCs w:val="24"/>
              </w:rPr>
              <w:t>mg/m</w:t>
            </w:r>
            <w:r>
              <w:rPr>
                <w:rFonts w:hint="eastAsia"/>
                <w:b w:val="0"/>
                <w:bCs w:val="0"/>
                <w:color w:val="auto"/>
                <w:sz w:val="24"/>
                <w:szCs w:val="24"/>
                <w:vertAlign w:val="superscript"/>
                <w:lang w:val="en-US" w:eastAsia="zh-CN"/>
              </w:rPr>
              <w:t>3</w:t>
            </w:r>
            <w:r>
              <w:rPr>
                <w:rFonts w:hint="eastAsia"/>
                <w:b w:val="0"/>
                <w:bCs/>
                <w:color w:val="auto"/>
                <w:sz w:val="24"/>
                <w:szCs w:val="24"/>
                <w:lang w:val="en-US" w:eastAsia="zh-CN"/>
              </w:rPr>
              <w:t>、排放速率0.0167kg/h、硫化氢排放浓度0.02</w:t>
            </w:r>
            <w:r>
              <w:rPr>
                <w:b w:val="0"/>
                <w:bCs w:val="0"/>
                <w:color w:val="auto"/>
                <w:sz w:val="24"/>
                <w:szCs w:val="24"/>
              </w:rPr>
              <w:t>mg/m</w:t>
            </w:r>
            <w:r>
              <w:rPr>
                <w:rFonts w:hint="eastAsia"/>
                <w:b w:val="0"/>
                <w:bCs w:val="0"/>
                <w:color w:val="auto"/>
                <w:sz w:val="24"/>
                <w:szCs w:val="24"/>
                <w:vertAlign w:val="superscript"/>
                <w:lang w:val="en-US" w:eastAsia="zh-CN"/>
              </w:rPr>
              <w:t>3</w:t>
            </w:r>
            <w:r>
              <w:rPr>
                <w:rFonts w:hint="eastAsia"/>
                <w:b w:val="0"/>
                <w:bCs/>
                <w:color w:val="auto"/>
                <w:sz w:val="24"/>
                <w:szCs w:val="24"/>
                <w:lang w:val="en-US" w:eastAsia="zh-CN"/>
              </w:rPr>
              <w:t>、排放速率5.81×</w:t>
            </w:r>
            <w:r>
              <w:rPr>
                <w:rFonts w:hint="eastAsia" w:cs="Times New Roman" w:eastAsiaTheme="minorEastAsia"/>
                <w:b w:val="0"/>
                <w:bCs/>
                <w:color w:val="auto"/>
                <w:kern w:val="0"/>
                <w:sz w:val="24"/>
                <w:szCs w:val="24"/>
                <w:lang w:val="en-US" w:eastAsia="zh-CN"/>
              </w:rPr>
              <w:t>10</w:t>
            </w:r>
            <w:r>
              <w:rPr>
                <w:rFonts w:hint="eastAsia" w:cs="Times New Roman" w:eastAsiaTheme="minorEastAsia"/>
                <w:b w:val="0"/>
                <w:bCs/>
                <w:color w:val="auto"/>
                <w:kern w:val="0"/>
                <w:sz w:val="24"/>
                <w:szCs w:val="24"/>
                <w:vertAlign w:val="superscript"/>
                <w:lang w:val="en-US" w:eastAsia="zh-CN"/>
              </w:rPr>
              <w:t>-4</w:t>
            </w:r>
            <w:r>
              <w:rPr>
                <w:rFonts w:hint="eastAsia"/>
                <w:b w:val="0"/>
                <w:bCs/>
                <w:color w:val="auto"/>
                <w:sz w:val="24"/>
                <w:szCs w:val="24"/>
                <w:lang w:val="en-US" w:eastAsia="zh-CN"/>
              </w:rPr>
              <w:t>kg/h；</w:t>
            </w:r>
            <w:r>
              <w:rPr>
                <w:rFonts w:hint="eastAsia"/>
                <w:b w:val="0"/>
                <w:bCs/>
                <w:color w:val="auto"/>
                <w:lang w:val="en-US" w:eastAsia="zh-CN"/>
              </w:rPr>
              <w:t>无组织臭气</w:t>
            </w:r>
            <w:r>
              <w:rPr>
                <w:rFonts w:hint="eastAsia"/>
                <w:color w:val="auto"/>
                <w:lang w:eastAsia="zh-CN"/>
              </w:rPr>
              <w:t>浓度＜</w:t>
            </w:r>
            <w:r>
              <w:rPr>
                <w:rFonts w:hint="eastAsia"/>
                <w:color w:val="auto"/>
                <w:lang w:val="en-US" w:eastAsia="zh-CN"/>
              </w:rPr>
              <w:t>14</w:t>
            </w:r>
            <w:r>
              <w:rPr>
                <w:rFonts w:hint="eastAsia"/>
                <w:color w:val="auto"/>
                <w:lang w:eastAsia="zh-CN"/>
              </w:rPr>
              <w:t>(无量纲)、</w:t>
            </w:r>
            <w:r>
              <w:rPr>
                <w:rFonts w:hint="eastAsia"/>
                <w:b w:val="0"/>
                <w:bCs/>
                <w:color w:val="auto"/>
                <w:lang w:val="en-US" w:eastAsia="zh-CN"/>
              </w:rPr>
              <w:t>氨排放浓度0.0026</w:t>
            </w:r>
            <w:r>
              <w:rPr>
                <w:b w:val="0"/>
                <w:bCs w:val="0"/>
                <w:color w:val="auto"/>
                <w:sz w:val="21"/>
                <w:szCs w:val="21"/>
              </w:rPr>
              <w:t>mg/m</w:t>
            </w:r>
            <w:r>
              <w:rPr>
                <w:rFonts w:hint="eastAsia"/>
                <w:b w:val="0"/>
                <w:bCs w:val="0"/>
                <w:color w:val="auto"/>
                <w:sz w:val="21"/>
                <w:szCs w:val="21"/>
                <w:vertAlign w:val="superscript"/>
                <w:lang w:val="en-US" w:eastAsia="zh-CN"/>
              </w:rPr>
              <w:t>3</w:t>
            </w:r>
            <w:r>
              <w:rPr>
                <w:rFonts w:hint="eastAsia"/>
                <w:b w:val="0"/>
                <w:bCs/>
                <w:color w:val="auto"/>
                <w:lang w:val="en-US" w:eastAsia="zh-CN"/>
              </w:rPr>
              <w:t>，硫化氢未检出，排放浓度按检出限0.01</w:t>
            </w:r>
            <w:r>
              <w:rPr>
                <w:b w:val="0"/>
                <w:bCs w:val="0"/>
                <w:color w:val="auto"/>
                <w:sz w:val="21"/>
                <w:szCs w:val="21"/>
              </w:rPr>
              <w:t>mg/m</w:t>
            </w:r>
            <w:r>
              <w:rPr>
                <w:rFonts w:hint="eastAsia"/>
                <w:b w:val="0"/>
                <w:bCs w:val="0"/>
                <w:color w:val="auto"/>
                <w:sz w:val="21"/>
                <w:szCs w:val="21"/>
                <w:vertAlign w:val="superscript"/>
                <w:lang w:val="en-US" w:eastAsia="zh-CN"/>
              </w:rPr>
              <w:t>3</w:t>
            </w:r>
            <w:r>
              <w:rPr>
                <w:rFonts w:hint="eastAsia"/>
                <w:b w:val="0"/>
                <w:bCs/>
                <w:color w:val="auto"/>
                <w:lang w:val="en-US" w:eastAsia="zh-CN"/>
              </w:rPr>
              <w:t>计</w:t>
            </w:r>
            <w:r>
              <w:rPr>
                <w:rFonts w:hint="eastAsia"/>
                <w:color w:val="auto"/>
                <w:lang w:eastAsia="zh-CN"/>
              </w:rPr>
              <w:t>。</w:t>
            </w:r>
          </w:p>
          <w:p>
            <w:pPr>
              <w:pStyle w:val="8"/>
              <w:bidi w:val="0"/>
              <w:rPr>
                <w:color w:val="auto"/>
              </w:rPr>
            </w:pPr>
            <w:r>
              <w:rPr>
                <w:rFonts w:hint="eastAsia"/>
                <w:color w:val="auto"/>
              </w:rPr>
              <w:t>本项目</w:t>
            </w:r>
            <w:r>
              <w:rPr>
                <w:rFonts w:hint="default" w:ascii="Times New Roman" w:hAnsi="Times New Roman" w:eastAsia="宋体" w:cs="Times New Roman"/>
                <w:color w:val="auto"/>
                <w:lang w:val="en-US" w:eastAsia="zh-CN"/>
              </w:rPr>
              <w:t>化学试剂的使用</w:t>
            </w:r>
            <w:r>
              <w:rPr>
                <w:rFonts w:hint="eastAsia" w:cs="Times New Roman"/>
                <w:color w:val="auto"/>
                <w:lang w:val="en-US" w:eastAsia="zh-CN"/>
              </w:rPr>
              <w:t>、实验废气排放产生异味，</w:t>
            </w:r>
            <w:r>
              <w:rPr>
                <w:rFonts w:hint="eastAsia"/>
                <w:color w:val="auto"/>
                <w:lang w:val="en-US" w:eastAsia="zh-CN"/>
              </w:rPr>
              <w:t>其中</w:t>
            </w:r>
            <w:r>
              <w:rPr>
                <w:rFonts w:hint="eastAsia"/>
                <w:b w:val="0"/>
                <w:bCs/>
                <w:color w:val="auto"/>
                <w:lang w:val="en-US" w:eastAsia="zh-CN"/>
              </w:rPr>
              <w:t>甲醇、非甲烷总烃、氨、盐酸、二甲苯</w:t>
            </w:r>
            <w:r>
              <w:rPr>
                <w:rFonts w:hint="eastAsia"/>
                <w:color w:val="auto"/>
                <w:lang w:val="en-US" w:eastAsia="zh-CN"/>
              </w:rPr>
              <w:t>是主要的异味因子。</w:t>
            </w:r>
            <w:r>
              <w:rPr>
                <w:rFonts w:hint="eastAsia"/>
                <w:color w:val="auto"/>
              </w:rPr>
              <w:t>臭气浓度产生及排放情况类比2020年8月6日天纺标检测认证股份有限公司实验室</w:t>
            </w:r>
            <w:r>
              <w:rPr>
                <w:rFonts w:hint="eastAsia"/>
                <w:color w:val="auto"/>
                <w:lang w:eastAsia="zh-CN"/>
              </w:rPr>
              <w:t>的检测数据（</w:t>
            </w:r>
            <w:r>
              <w:rPr>
                <w:rFonts w:hint="eastAsia"/>
                <w:color w:val="auto"/>
              </w:rPr>
              <w:t>编号YX201080</w:t>
            </w:r>
            <w:r>
              <w:rPr>
                <w:rFonts w:hint="eastAsia"/>
                <w:color w:val="auto"/>
                <w:lang w:eastAsia="zh-CN"/>
              </w:rPr>
              <w:t>）</w:t>
            </w:r>
            <w:r>
              <w:rPr>
                <w:rFonts w:hint="eastAsia"/>
                <w:color w:val="auto"/>
              </w:rPr>
              <w:t>。该实验室主要进行空气、水质、纺织品等检测实验</w:t>
            </w:r>
            <w:r>
              <w:rPr>
                <w:rFonts w:hint="eastAsia"/>
                <w:color w:val="auto"/>
                <w:lang w:eastAsia="zh-CN"/>
              </w:rPr>
              <w:t>，</w:t>
            </w:r>
            <w:r>
              <w:rPr>
                <w:rFonts w:hint="eastAsia"/>
                <w:color w:val="auto"/>
              </w:rPr>
              <w:t>实验室规模较大原辅料种类及使用量远大于本项目。</w:t>
            </w:r>
          </w:p>
          <w:p>
            <w:pPr>
              <w:pStyle w:val="83"/>
              <w:spacing w:before="120"/>
              <w:rPr>
                <w:color w:val="auto"/>
              </w:rPr>
            </w:pPr>
            <w:r>
              <w:rPr>
                <w:rFonts w:hint="eastAsia"/>
                <w:color w:val="auto"/>
              </w:rPr>
              <w:t>表4-</w:t>
            </w:r>
            <w:r>
              <w:rPr>
                <w:rFonts w:hint="eastAsia"/>
                <w:color w:val="auto"/>
                <w:lang w:val="en-US" w:eastAsia="zh-CN"/>
              </w:rPr>
              <w:t>8</w:t>
            </w:r>
            <w:r>
              <w:rPr>
                <w:rFonts w:hint="eastAsia"/>
                <w:color w:val="auto"/>
              </w:rPr>
              <w:t xml:space="preserve">   本项目臭气浓度类比分析一览表</w:t>
            </w:r>
          </w:p>
          <w:tbl>
            <w:tblPr>
              <w:tblStyle w:val="30"/>
              <w:tblW w:w="859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264"/>
              <w:gridCol w:w="3596"/>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793" w:type="dxa"/>
                  <w:tcBorders>
                    <w:tl2br w:val="nil"/>
                    <w:tr2bl w:val="nil"/>
                  </w:tcBorders>
                  <w:vAlign w:val="center"/>
                </w:tcPr>
                <w:p>
                  <w:pPr>
                    <w:pStyle w:val="10"/>
                    <w:spacing w:line="240" w:lineRule="auto"/>
                    <w:rPr>
                      <w:color w:val="auto"/>
                    </w:rPr>
                  </w:pPr>
                  <w:r>
                    <w:rPr>
                      <w:color w:val="auto"/>
                    </w:rPr>
                    <w:t>项目</w:t>
                  </w:r>
                </w:p>
              </w:tc>
              <w:tc>
                <w:tcPr>
                  <w:tcW w:w="2264" w:type="dxa"/>
                  <w:tcBorders>
                    <w:tl2br w:val="nil"/>
                    <w:tr2bl w:val="nil"/>
                  </w:tcBorders>
                  <w:vAlign w:val="center"/>
                </w:tcPr>
                <w:p>
                  <w:pPr>
                    <w:pStyle w:val="10"/>
                    <w:spacing w:line="240" w:lineRule="auto"/>
                    <w:rPr>
                      <w:color w:val="auto"/>
                    </w:rPr>
                  </w:pPr>
                  <w:r>
                    <w:rPr>
                      <w:color w:val="auto"/>
                    </w:rPr>
                    <w:t>本项目</w:t>
                  </w:r>
                </w:p>
              </w:tc>
              <w:tc>
                <w:tcPr>
                  <w:tcW w:w="3596" w:type="dxa"/>
                  <w:tcBorders>
                    <w:tl2br w:val="nil"/>
                    <w:tr2bl w:val="nil"/>
                  </w:tcBorders>
                  <w:vAlign w:val="center"/>
                </w:tcPr>
                <w:p>
                  <w:pPr>
                    <w:pStyle w:val="10"/>
                    <w:spacing w:line="240" w:lineRule="auto"/>
                    <w:rPr>
                      <w:color w:val="auto"/>
                    </w:rPr>
                  </w:pPr>
                  <w:r>
                    <w:rPr>
                      <w:rFonts w:hint="eastAsia"/>
                      <w:color w:val="auto"/>
                    </w:rPr>
                    <w:t>天纺标检测认证股份有限公司实验室</w:t>
                  </w:r>
                </w:p>
              </w:tc>
              <w:tc>
                <w:tcPr>
                  <w:tcW w:w="945" w:type="dxa"/>
                  <w:tcBorders>
                    <w:tl2br w:val="nil"/>
                    <w:tr2bl w:val="nil"/>
                  </w:tcBorders>
                  <w:vAlign w:val="center"/>
                </w:tcPr>
                <w:p>
                  <w:pPr>
                    <w:pStyle w:val="10"/>
                    <w:spacing w:line="240" w:lineRule="auto"/>
                    <w:rPr>
                      <w:rFonts w:hint="eastAsia" w:eastAsia="宋体"/>
                      <w:color w:val="auto"/>
                      <w:lang w:eastAsia="zh-CN"/>
                    </w:rPr>
                  </w:pPr>
                  <w:r>
                    <w:rPr>
                      <w:rFonts w:hint="eastAsia"/>
                      <w:color w:val="auto"/>
                      <w:lang w:eastAsia="zh-CN"/>
                    </w:rPr>
                    <w:t>类比性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793" w:type="dxa"/>
                  <w:tcBorders>
                    <w:tl2br w:val="nil"/>
                    <w:tr2bl w:val="nil"/>
                  </w:tcBorders>
                  <w:vAlign w:val="center"/>
                </w:tcPr>
                <w:p>
                  <w:pPr>
                    <w:pStyle w:val="10"/>
                    <w:spacing w:line="240" w:lineRule="auto"/>
                    <w:rPr>
                      <w:b w:val="0"/>
                      <w:bCs/>
                      <w:color w:val="auto"/>
                    </w:rPr>
                  </w:pPr>
                  <w:r>
                    <w:rPr>
                      <w:b w:val="0"/>
                      <w:bCs/>
                      <w:color w:val="auto"/>
                    </w:rPr>
                    <w:t>生产工艺</w:t>
                  </w:r>
                </w:p>
              </w:tc>
              <w:tc>
                <w:tcPr>
                  <w:tcW w:w="2264"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实验室有机废气、无机废气</w:t>
                  </w:r>
                </w:p>
              </w:tc>
              <w:tc>
                <w:tcPr>
                  <w:tcW w:w="3596" w:type="dxa"/>
                  <w:tcBorders>
                    <w:tl2br w:val="nil"/>
                    <w:tr2bl w:val="nil"/>
                  </w:tcBorders>
                  <w:vAlign w:val="center"/>
                </w:tcPr>
                <w:p>
                  <w:pPr>
                    <w:pStyle w:val="10"/>
                    <w:spacing w:line="240" w:lineRule="auto"/>
                    <w:rPr>
                      <w:rFonts w:hint="default"/>
                      <w:b w:val="0"/>
                      <w:bCs/>
                      <w:color w:val="auto"/>
                      <w:lang w:val="en-US" w:eastAsia="zh-CN"/>
                    </w:rPr>
                  </w:pPr>
                  <w:r>
                    <w:rPr>
                      <w:rFonts w:hint="eastAsia"/>
                      <w:b w:val="0"/>
                      <w:bCs/>
                      <w:color w:val="auto"/>
                      <w:lang w:val="en-US" w:eastAsia="zh-CN"/>
                    </w:rPr>
                    <w:t>实验室有机废气、无机废气</w:t>
                  </w:r>
                </w:p>
              </w:tc>
              <w:tc>
                <w:tcPr>
                  <w:tcW w:w="945"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相似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20" w:hRule="atLeast"/>
              </w:trPr>
              <w:tc>
                <w:tcPr>
                  <w:tcW w:w="1793" w:type="dxa"/>
                  <w:tcBorders>
                    <w:tl2br w:val="nil"/>
                    <w:tr2bl w:val="nil"/>
                  </w:tcBorders>
                  <w:vAlign w:val="center"/>
                </w:tcPr>
                <w:p>
                  <w:pPr>
                    <w:pStyle w:val="10"/>
                    <w:spacing w:line="240" w:lineRule="auto"/>
                    <w:rPr>
                      <w:b w:val="0"/>
                      <w:bCs/>
                      <w:color w:val="auto"/>
                    </w:rPr>
                  </w:pPr>
                  <w:r>
                    <w:rPr>
                      <w:b w:val="0"/>
                      <w:bCs/>
                      <w:color w:val="auto"/>
                    </w:rPr>
                    <w:t>主要原材料</w:t>
                  </w:r>
                </w:p>
              </w:tc>
              <w:tc>
                <w:tcPr>
                  <w:tcW w:w="2264" w:type="dxa"/>
                  <w:tcBorders>
                    <w:tl2br w:val="nil"/>
                    <w:tr2bl w:val="nil"/>
                  </w:tcBorders>
                  <w:vAlign w:val="center"/>
                </w:tcPr>
                <w:p>
                  <w:pPr>
                    <w:pStyle w:val="10"/>
                    <w:spacing w:line="240" w:lineRule="auto"/>
                    <w:rPr>
                      <w:rFonts w:hint="eastAsia"/>
                      <w:b w:val="0"/>
                      <w:bCs/>
                      <w:color w:val="auto"/>
                      <w:lang w:eastAsia="zh-CN"/>
                    </w:rPr>
                  </w:pPr>
                  <w:r>
                    <w:rPr>
                      <w:rFonts w:hint="eastAsia"/>
                      <w:b w:val="0"/>
                      <w:bCs/>
                      <w:color w:val="auto"/>
                      <w:lang w:val="en-US" w:eastAsia="zh-CN"/>
                    </w:rPr>
                    <w:t>甲醇、乙醇、异丙醇、氨水、盐酸、二甲苯，合计1.604t/a。</w:t>
                  </w:r>
                </w:p>
              </w:tc>
              <w:tc>
                <w:tcPr>
                  <w:tcW w:w="3596"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乙醇、甲酸、二甲基甲酰胺、甲醇、甲醛、丙酮、三氯甲烷、叔丁基、正己烷、二硫化碳、盐酸、硫酸、硝酸等，合计1.6t/a。</w:t>
                  </w:r>
                </w:p>
              </w:tc>
              <w:tc>
                <w:tcPr>
                  <w:tcW w:w="945"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相似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793"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收集方式</w:t>
                  </w:r>
                </w:p>
              </w:tc>
              <w:tc>
                <w:tcPr>
                  <w:tcW w:w="2264" w:type="dxa"/>
                  <w:tcBorders>
                    <w:tl2br w:val="nil"/>
                    <w:tr2bl w:val="nil"/>
                  </w:tcBorders>
                  <w:vAlign w:val="center"/>
                </w:tcPr>
                <w:p>
                  <w:pPr>
                    <w:pStyle w:val="10"/>
                    <w:spacing w:line="240" w:lineRule="auto"/>
                    <w:rPr>
                      <w:rFonts w:hint="default"/>
                      <w:b w:val="0"/>
                      <w:bCs/>
                      <w:color w:val="auto"/>
                      <w:lang w:val="en-US"/>
                    </w:rPr>
                  </w:pPr>
                  <w:r>
                    <w:rPr>
                      <w:rFonts w:hint="eastAsia"/>
                      <w:b w:val="0"/>
                      <w:bCs/>
                      <w:color w:val="auto"/>
                      <w:lang w:val="en-US" w:eastAsia="zh-CN"/>
                    </w:rPr>
                    <w:t>通风橱</w:t>
                  </w:r>
                </w:p>
              </w:tc>
              <w:tc>
                <w:tcPr>
                  <w:tcW w:w="3596" w:type="dxa"/>
                  <w:tcBorders>
                    <w:tl2br w:val="nil"/>
                    <w:tr2bl w:val="nil"/>
                  </w:tcBorders>
                  <w:vAlign w:val="center"/>
                </w:tcPr>
                <w:p>
                  <w:pPr>
                    <w:pStyle w:val="10"/>
                    <w:spacing w:line="240" w:lineRule="auto"/>
                    <w:rPr>
                      <w:rFonts w:hint="eastAsia" w:eastAsia="宋体"/>
                      <w:b w:val="0"/>
                      <w:bCs/>
                      <w:color w:val="auto"/>
                      <w:lang w:val="en-US" w:eastAsia="zh-CN"/>
                    </w:rPr>
                  </w:pPr>
                  <w:r>
                    <w:rPr>
                      <w:rFonts w:hint="eastAsia"/>
                      <w:b w:val="0"/>
                      <w:bCs/>
                      <w:color w:val="auto"/>
                      <w:lang w:val="en-US" w:eastAsia="zh-CN"/>
                    </w:rPr>
                    <w:t>通风橱</w:t>
                  </w:r>
                </w:p>
              </w:tc>
              <w:tc>
                <w:tcPr>
                  <w:tcW w:w="945" w:type="dxa"/>
                  <w:tcBorders>
                    <w:tl2br w:val="nil"/>
                    <w:tr2bl w:val="nil"/>
                  </w:tcBorders>
                  <w:vAlign w:val="center"/>
                </w:tcPr>
                <w:p>
                  <w:pPr>
                    <w:pStyle w:val="10"/>
                    <w:spacing w:line="240" w:lineRule="auto"/>
                    <w:rPr>
                      <w:rFonts w:hint="eastAsia"/>
                      <w:b w:val="0"/>
                      <w:bCs/>
                      <w:color w:val="auto"/>
                      <w:lang w:val="en-US" w:eastAsia="zh-CN"/>
                    </w:rPr>
                  </w:pPr>
                  <w:r>
                    <w:rPr>
                      <w:rFonts w:hint="eastAsia"/>
                      <w:b w:val="0"/>
                      <w:bCs/>
                      <w:color w:val="auto"/>
                      <w:lang w:val="en-US" w:eastAsia="zh-CN"/>
                    </w:rPr>
                    <w:t>相同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793" w:type="dxa"/>
                  <w:tcBorders>
                    <w:tl2br w:val="nil"/>
                    <w:tr2bl w:val="nil"/>
                  </w:tcBorders>
                  <w:vAlign w:val="center"/>
                </w:tcPr>
                <w:p>
                  <w:pPr>
                    <w:pStyle w:val="10"/>
                    <w:spacing w:line="240" w:lineRule="auto"/>
                    <w:rPr>
                      <w:rFonts w:hint="default" w:eastAsia="宋体"/>
                      <w:b w:val="0"/>
                      <w:bCs/>
                      <w:color w:val="auto"/>
                      <w:lang w:val="en-US" w:eastAsia="zh-CN"/>
                    </w:rPr>
                  </w:pPr>
                  <w:r>
                    <w:rPr>
                      <w:rFonts w:hint="eastAsia"/>
                      <w:b w:val="0"/>
                      <w:bCs/>
                      <w:color w:val="auto"/>
                      <w:lang w:val="en-US" w:eastAsia="zh-CN"/>
                    </w:rPr>
                    <w:t>废气处理方式</w:t>
                  </w:r>
                </w:p>
              </w:tc>
              <w:tc>
                <w:tcPr>
                  <w:tcW w:w="2264" w:type="dxa"/>
                  <w:tcBorders>
                    <w:tl2br w:val="nil"/>
                    <w:tr2bl w:val="nil"/>
                  </w:tcBorders>
                  <w:vAlign w:val="center"/>
                </w:tcPr>
                <w:p>
                  <w:pPr>
                    <w:pStyle w:val="10"/>
                    <w:spacing w:line="240" w:lineRule="auto"/>
                    <w:rPr>
                      <w:b w:val="0"/>
                      <w:bCs/>
                      <w:color w:val="auto"/>
                    </w:rPr>
                  </w:pPr>
                  <w:r>
                    <w:rPr>
                      <w:b w:val="0"/>
                      <w:bCs/>
                      <w:color w:val="auto"/>
                    </w:rPr>
                    <w:t>活性炭净化处理</w:t>
                  </w:r>
                </w:p>
              </w:tc>
              <w:tc>
                <w:tcPr>
                  <w:tcW w:w="3596" w:type="dxa"/>
                  <w:tcBorders>
                    <w:tl2br w:val="nil"/>
                    <w:tr2bl w:val="nil"/>
                  </w:tcBorders>
                  <w:vAlign w:val="center"/>
                </w:tcPr>
                <w:p>
                  <w:pPr>
                    <w:pStyle w:val="10"/>
                    <w:spacing w:line="240" w:lineRule="auto"/>
                    <w:rPr>
                      <w:b w:val="0"/>
                      <w:bCs/>
                      <w:color w:val="auto"/>
                    </w:rPr>
                  </w:pPr>
                  <w:r>
                    <w:rPr>
                      <w:rFonts w:hint="eastAsia"/>
                      <w:b w:val="0"/>
                      <w:bCs/>
                      <w:color w:val="auto"/>
                    </w:rPr>
                    <w:t>活性炭</w:t>
                  </w:r>
                  <w:r>
                    <w:rPr>
                      <w:b w:val="0"/>
                      <w:bCs/>
                      <w:color w:val="auto"/>
                    </w:rPr>
                    <w:t>净化处理</w:t>
                  </w:r>
                </w:p>
              </w:tc>
              <w:tc>
                <w:tcPr>
                  <w:tcW w:w="945" w:type="dxa"/>
                  <w:tcBorders>
                    <w:tl2br w:val="nil"/>
                    <w:tr2bl w:val="nil"/>
                  </w:tcBorders>
                  <w:vAlign w:val="center"/>
                </w:tcPr>
                <w:p>
                  <w:pPr>
                    <w:pStyle w:val="10"/>
                    <w:spacing w:line="240" w:lineRule="auto"/>
                    <w:rPr>
                      <w:rFonts w:hint="eastAsia" w:eastAsia="宋体"/>
                      <w:b w:val="0"/>
                      <w:bCs/>
                      <w:color w:val="auto"/>
                      <w:lang w:eastAsia="zh-CN"/>
                    </w:rPr>
                  </w:pPr>
                  <w:r>
                    <w:rPr>
                      <w:rFonts w:hint="eastAsia"/>
                      <w:b w:val="0"/>
                      <w:bCs/>
                      <w:color w:val="auto"/>
                      <w:lang w:eastAsia="zh-CN"/>
                    </w:rPr>
                    <w:t>相同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793" w:type="dxa"/>
                  <w:tcBorders>
                    <w:tl2br w:val="nil"/>
                    <w:tr2bl w:val="nil"/>
                  </w:tcBorders>
                  <w:vAlign w:val="center"/>
                </w:tcPr>
                <w:p>
                  <w:pPr>
                    <w:pStyle w:val="10"/>
                    <w:spacing w:line="240" w:lineRule="auto"/>
                    <w:rPr>
                      <w:b w:val="0"/>
                      <w:bCs/>
                      <w:color w:val="auto"/>
                    </w:rPr>
                  </w:pPr>
                  <w:r>
                    <w:rPr>
                      <w:b w:val="0"/>
                      <w:bCs/>
                      <w:color w:val="auto"/>
                    </w:rPr>
                    <w:t>有组织臭气浓度</w:t>
                  </w:r>
                </w:p>
              </w:tc>
              <w:tc>
                <w:tcPr>
                  <w:tcW w:w="2264" w:type="dxa"/>
                  <w:tcBorders>
                    <w:tl2br w:val="nil"/>
                    <w:tr2bl w:val="nil"/>
                  </w:tcBorders>
                  <w:vAlign w:val="center"/>
                </w:tcPr>
                <w:p>
                  <w:pPr>
                    <w:pStyle w:val="10"/>
                    <w:spacing w:line="240" w:lineRule="auto"/>
                    <w:rPr>
                      <w:b w:val="0"/>
                      <w:bCs/>
                      <w:color w:val="auto"/>
                    </w:rPr>
                  </w:pPr>
                  <w:r>
                    <w:rPr>
                      <w:b w:val="0"/>
                      <w:bCs/>
                      <w:color w:val="auto"/>
                    </w:rPr>
                    <w:t>/</w:t>
                  </w:r>
                </w:p>
              </w:tc>
              <w:tc>
                <w:tcPr>
                  <w:tcW w:w="3596" w:type="dxa"/>
                  <w:tcBorders>
                    <w:tl2br w:val="nil"/>
                    <w:tr2bl w:val="nil"/>
                  </w:tcBorders>
                  <w:vAlign w:val="center"/>
                </w:tcPr>
                <w:p>
                  <w:pPr>
                    <w:pStyle w:val="10"/>
                    <w:spacing w:line="240" w:lineRule="auto"/>
                    <w:rPr>
                      <w:rFonts w:hint="default"/>
                      <w:b w:val="0"/>
                      <w:bCs/>
                      <w:color w:val="auto"/>
                      <w:lang w:val="en-US" w:eastAsia="zh-CN"/>
                    </w:rPr>
                  </w:pPr>
                  <w:r>
                    <w:rPr>
                      <w:rFonts w:hint="eastAsia"/>
                      <w:b w:val="0"/>
                      <w:bCs/>
                      <w:color w:val="auto"/>
                      <w:lang w:val="en-US" w:eastAsia="zh-CN"/>
                    </w:rPr>
                    <w:t>234</w:t>
                  </w:r>
                  <w:r>
                    <w:rPr>
                      <w:b w:val="0"/>
                      <w:bCs/>
                      <w:color w:val="auto"/>
                    </w:rPr>
                    <w:t>（无量纲）</w:t>
                  </w:r>
                </w:p>
              </w:tc>
              <w:tc>
                <w:tcPr>
                  <w:tcW w:w="945" w:type="dxa"/>
                  <w:tcBorders>
                    <w:tl2br w:val="nil"/>
                    <w:tr2bl w:val="nil"/>
                  </w:tcBorders>
                  <w:vAlign w:val="center"/>
                </w:tcPr>
                <w:p>
                  <w:pPr>
                    <w:pStyle w:val="10"/>
                    <w:spacing w:line="240" w:lineRule="auto"/>
                    <w:rPr>
                      <w:rFonts w:hint="default"/>
                      <w:b w:val="0"/>
                      <w:bCs/>
                      <w:color w:val="auto"/>
                      <w:lang w:val="en-US" w:eastAsia="zh-CN"/>
                    </w:rPr>
                  </w:pPr>
                  <w:r>
                    <w:rPr>
                      <w:rFonts w:hint="eastAsia"/>
                      <w:b w:val="0"/>
                      <w:bCs/>
                      <w:color w:val="auto"/>
                      <w:lang w:val="en-US" w:eastAsia="zh-CN"/>
                    </w:rPr>
                    <w:t>/</w:t>
                  </w:r>
                </w:p>
              </w:tc>
            </w:tr>
          </w:tbl>
          <w:p>
            <w:pPr>
              <w:pStyle w:val="8"/>
              <w:bidi w:val="0"/>
              <w:rPr>
                <w:rFonts w:hint="eastAsia"/>
                <w:color w:val="auto"/>
                <w:lang w:eastAsia="zh-CN"/>
              </w:rPr>
            </w:pPr>
            <w:r>
              <w:rPr>
                <w:rFonts w:hint="eastAsia"/>
                <w:color w:val="auto"/>
                <w:lang w:val="en-US" w:eastAsia="zh-CN"/>
              </w:rPr>
              <w:t>由上表可知，</w:t>
            </w:r>
            <w:r>
              <w:rPr>
                <w:rFonts w:hint="eastAsia"/>
                <w:color w:val="auto"/>
              </w:rPr>
              <w:t>本项目</w:t>
            </w:r>
            <w:r>
              <w:rPr>
                <w:rFonts w:hint="eastAsia"/>
                <w:color w:val="auto"/>
                <w:lang w:eastAsia="zh-CN"/>
              </w:rPr>
              <w:t>与类比项目产生异味因子的原辅材料</w:t>
            </w:r>
            <w:r>
              <w:rPr>
                <w:rFonts w:hint="eastAsia"/>
                <w:color w:val="auto"/>
                <w:lang w:val="en-US" w:eastAsia="zh-CN"/>
              </w:rPr>
              <w:t>均为有机试剂、无机试剂，虽然种类略有区别，但均具有挥发性，环保措施</w:t>
            </w:r>
            <w:r>
              <w:rPr>
                <w:rFonts w:hint="eastAsia"/>
                <w:color w:val="auto"/>
                <w:lang w:eastAsia="zh-CN"/>
              </w:rPr>
              <w:t>类似。类比项目实验废气排放的有组织臭气浓度为 234 (无量纲)。因此，保守估计本项目实验废气排放的有组织臭气浓度＜</w:t>
            </w:r>
            <w:r>
              <w:rPr>
                <w:rFonts w:hint="eastAsia"/>
                <w:color w:val="auto"/>
                <w:lang w:val="en-US" w:eastAsia="zh-CN"/>
              </w:rPr>
              <w:t>250</w:t>
            </w:r>
            <w:r>
              <w:rPr>
                <w:rFonts w:hint="eastAsia"/>
                <w:color w:val="auto"/>
                <w:lang w:eastAsia="zh-CN"/>
              </w:rPr>
              <w:t xml:space="preserve"> (无量纲)。</w:t>
            </w:r>
          </w:p>
          <w:p>
            <w:pPr>
              <w:pStyle w:val="8"/>
              <w:bidi w:val="0"/>
              <w:rPr>
                <w:rFonts w:hint="eastAsia"/>
                <w:color w:val="auto"/>
                <w:lang w:val="en-US" w:eastAsia="zh-CN"/>
              </w:rPr>
            </w:pPr>
            <w:r>
              <w:rPr>
                <w:rFonts w:hint="eastAsia"/>
                <w:color w:val="auto"/>
                <w:lang w:eastAsia="zh-CN"/>
              </w:rPr>
              <w:t>综上所述，本项目</w:t>
            </w:r>
            <w:r>
              <w:rPr>
                <w:rFonts w:hint="eastAsia"/>
                <w:color w:val="auto"/>
                <w:lang w:val="en-US" w:eastAsia="zh-CN"/>
              </w:rPr>
              <w:t>P1</w:t>
            </w:r>
            <w:r>
              <w:rPr>
                <w:rFonts w:hint="eastAsia"/>
                <w:color w:val="auto"/>
                <w:lang w:eastAsia="zh-CN"/>
              </w:rPr>
              <w:t>排气筒排放的臭气浓度&lt;</w:t>
            </w:r>
            <w:r>
              <w:rPr>
                <w:rFonts w:hint="eastAsia"/>
                <w:color w:val="auto"/>
                <w:lang w:val="en-US" w:eastAsia="zh-CN"/>
              </w:rPr>
              <w:t>1000</w:t>
            </w:r>
            <w:r>
              <w:rPr>
                <w:rFonts w:hint="eastAsia"/>
                <w:color w:val="auto"/>
                <w:lang w:eastAsia="zh-CN"/>
              </w:rPr>
              <w:t xml:space="preserve"> (无量纲)，无组织臭气浓度&lt;</w:t>
            </w:r>
            <w:r>
              <w:rPr>
                <w:rFonts w:hint="eastAsia"/>
                <w:color w:val="auto"/>
                <w:lang w:val="en-US" w:eastAsia="zh-CN"/>
              </w:rPr>
              <w:t>20</w:t>
            </w:r>
            <w:r>
              <w:rPr>
                <w:rFonts w:hint="eastAsia"/>
                <w:color w:val="auto"/>
                <w:lang w:eastAsia="zh-CN"/>
              </w:rPr>
              <w:t>(无量纲)，</w:t>
            </w:r>
            <w:r>
              <w:rPr>
                <w:rFonts w:hint="eastAsia"/>
                <w:color w:val="auto"/>
                <w:lang w:val="en-US" w:eastAsia="zh-CN"/>
              </w:rPr>
              <w:t>可以满足《恶臭污染物排放标准》（DB12/059-2018）中相应限值要求，实现达标排放。</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val="en-US" w:eastAsia="zh-CN"/>
              </w:rPr>
              <w:t>4.2.2废气排放口情况</w:t>
            </w:r>
          </w:p>
          <w:p>
            <w:pPr>
              <w:pStyle w:val="67"/>
              <w:spacing w:before="0" w:after="0"/>
              <w:ind w:firstLine="480"/>
              <w:jc w:val="both"/>
              <w:rPr>
                <w:color w:val="auto"/>
                <w:lang w:eastAsia="zh-CN"/>
              </w:rPr>
            </w:pPr>
            <w:r>
              <w:rPr>
                <w:color w:val="auto"/>
                <w:lang w:eastAsia="zh-CN"/>
              </w:rPr>
              <w:t>本项目废气排放口基本情况见表4-</w:t>
            </w:r>
            <w:r>
              <w:rPr>
                <w:rFonts w:hint="eastAsia"/>
                <w:color w:val="auto"/>
                <w:lang w:val="en-US" w:eastAsia="zh-CN"/>
              </w:rPr>
              <w:t>9</w:t>
            </w:r>
            <w:r>
              <w:rPr>
                <w:color w:val="auto"/>
                <w:lang w:eastAsia="zh-CN"/>
              </w:rPr>
              <w:t>。</w:t>
            </w:r>
          </w:p>
          <w:p>
            <w:pPr>
              <w:pStyle w:val="83"/>
              <w:bidi w:val="0"/>
              <w:rPr>
                <w:color w:val="auto"/>
                <w:sz w:val="21"/>
                <w:szCs w:val="21"/>
              </w:rPr>
            </w:pPr>
            <w:r>
              <w:rPr>
                <w:color w:val="auto"/>
                <w:sz w:val="21"/>
                <w:szCs w:val="21"/>
              </w:rPr>
              <w:t>表4-</w:t>
            </w:r>
            <w:r>
              <w:rPr>
                <w:rFonts w:hint="eastAsia"/>
                <w:color w:val="auto"/>
                <w:sz w:val="21"/>
                <w:szCs w:val="21"/>
                <w:lang w:val="en-US" w:eastAsia="zh-CN"/>
              </w:rPr>
              <w:t xml:space="preserve">9  </w:t>
            </w:r>
            <w:r>
              <w:rPr>
                <w:color w:val="auto"/>
                <w:sz w:val="21"/>
                <w:szCs w:val="21"/>
              </w:rPr>
              <w:t xml:space="preserve"> 本项目废气排放口基本情况表</w:t>
            </w:r>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08"/>
              <w:gridCol w:w="1351"/>
              <w:gridCol w:w="1190"/>
              <w:gridCol w:w="648"/>
              <w:gridCol w:w="621"/>
              <w:gridCol w:w="760"/>
              <w:gridCol w:w="770"/>
              <w:gridCol w:w="686"/>
              <w:gridCol w:w="748"/>
              <w:gridCol w:w="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7" w:hRule="atLeast"/>
                <w:jc w:val="center"/>
              </w:trPr>
              <w:tc>
                <w:tcPr>
                  <w:tcW w:w="536"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编号及名称</w:t>
                  </w:r>
                </w:p>
              </w:tc>
              <w:tc>
                <w:tcPr>
                  <w:tcW w:w="1501" w:type="pct"/>
                  <w:gridSpan w:val="2"/>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地理坐标（°）</w:t>
                  </w:r>
                </w:p>
              </w:tc>
              <w:tc>
                <w:tcPr>
                  <w:tcW w:w="383"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排气筒高度m</w:t>
                  </w:r>
                </w:p>
              </w:tc>
              <w:tc>
                <w:tcPr>
                  <w:tcW w:w="367"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排气筒内径m</w:t>
                  </w:r>
                </w:p>
              </w:tc>
              <w:tc>
                <w:tcPr>
                  <w:tcW w:w="449"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烟气温度℃</w:t>
                  </w:r>
                </w:p>
              </w:tc>
              <w:tc>
                <w:tcPr>
                  <w:tcW w:w="455"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年排放小时数h</w:t>
                  </w:r>
                </w:p>
              </w:tc>
              <w:tc>
                <w:tcPr>
                  <w:tcW w:w="405" w:type="pct"/>
                  <w:vMerge w:val="restart"/>
                  <w:tcBorders>
                    <w:tl2br w:val="nil"/>
                    <w:tr2bl w:val="nil"/>
                  </w:tcBorders>
                  <w:shd w:val="clear" w:color="auto" w:fill="auto"/>
                  <w:noWrap w:val="0"/>
                  <w:vAlign w:val="center"/>
                </w:tcPr>
                <w:p>
                  <w:pPr>
                    <w:spacing w:line="240" w:lineRule="atLeast"/>
                    <w:jc w:val="center"/>
                    <w:rPr>
                      <w:rFonts w:hint="default"/>
                      <w:b/>
                      <w:bCs/>
                      <w:color w:val="auto"/>
                      <w:sz w:val="21"/>
                      <w:szCs w:val="21"/>
                      <w:lang w:val="en-US" w:eastAsia="zh-CN"/>
                    </w:rPr>
                  </w:pPr>
                  <w:r>
                    <w:rPr>
                      <w:rFonts w:hint="eastAsia"/>
                      <w:b/>
                      <w:bCs/>
                      <w:color w:val="auto"/>
                      <w:sz w:val="21"/>
                      <w:szCs w:val="21"/>
                      <w:lang w:val="en-US" w:eastAsia="zh-CN"/>
                    </w:rPr>
                    <w:t>烟气流速m/s</w:t>
                  </w:r>
                </w:p>
              </w:tc>
              <w:tc>
                <w:tcPr>
                  <w:tcW w:w="441"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类型</w:t>
                  </w:r>
                </w:p>
              </w:tc>
              <w:tc>
                <w:tcPr>
                  <w:tcW w:w="458" w:type="pct"/>
                  <w:vMerge w:val="restar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排放工况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536" w:type="pct"/>
                  <w:vMerge w:val="continue"/>
                  <w:tcBorders>
                    <w:tl2br w:val="nil"/>
                    <w:tr2bl w:val="nil"/>
                  </w:tcBorders>
                  <w:shd w:val="clear" w:color="auto" w:fill="auto"/>
                  <w:noWrap w:val="0"/>
                  <w:vAlign w:val="center"/>
                </w:tcPr>
                <w:p>
                  <w:pPr>
                    <w:spacing w:line="240" w:lineRule="atLeast"/>
                    <w:jc w:val="center"/>
                    <w:rPr>
                      <w:b/>
                      <w:bCs/>
                      <w:color w:val="auto"/>
                      <w:sz w:val="21"/>
                      <w:szCs w:val="21"/>
                    </w:rPr>
                  </w:pPr>
                </w:p>
              </w:tc>
              <w:tc>
                <w:tcPr>
                  <w:tcW w:w="798" w:type="pc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 xml:space="preserve">E </w:t>
                  </w:r>
                </w:p>
              </w:tc>
              <w:tc>
                <w:tcPr>
                  <w:tcW w:w="702" w:type="pct"/>
                  <w:tcBorders>
                    <w:tl2br w:val="nil"/>
                    <w:tr2bl w:val="nil"/>
                  </w:tcBorders>
                  <w:shd w:val="clear" w:color="auto" w:fill="auto"/>
                  <w:noWrap w:val="0"/>
                  <w:vAlign w:val="center"/>
                </w:tcPr>
                <w:p>
                  <w:pPr>
                    <w:spacing w:line="240" w:lineRule="atLeast"/>
                    <w:jc w:val="center"/>
                    <w:rPr>
                      <w:b/>
                      <w:bCs/>
                      <w:color w:val="auto"/>
                      <w:sz w:val="21"/>
                      <w:szCs w:val="21"/>
                    </w:rPr>
                  </w:pPr>
                  <w:r>
                    <w:rPr>
                      <w:b/>
                      <w:bCs/>
                      <w:color w:val="auto"/>
                      <w:sz w:val="21"/>
                      <w:szCs w:val="21"/>
                    </w:rPr>
                    <w:t>N</w:t>
                  </w:r>
                </w:p>
              </w:tc>
              <w:tc>
                <w:tcPr>
                  <w:tcW w:w="383"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367"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449"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455"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405"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441"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c>
                <w:tcPr>
                  <w:tcW w:w="458" w:type="pct"/>
                  <w:vMerge w:val="continue"/>
                  <w:tcBorders>
                    <w:tl2br w:val="nil"/>
                    <w:tr2bl w:val="nil"/>
                  </w:tcBorders>
                  <w:shd w:val="clear" w:color="auto" w:fill="auto"/>
                  <w:noWrap w:val="0"/>
                  <w:vAlign w:val="center"/>
                </w:tcPr>
                <w:p>
                  <w:pPr>
                    <w:spacing w:line="240" w:lineRule="atLeast"/>
                    <w:jc w:val="center"/>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02" w:hRule="atLeast"/>
                <w:jc w:val="center"/>
              </w:trPr>
              <w:tc>
                <w:tcPr>
                  <w:tcW w:w="536" w:type="pct"/>
                  <w:tcBorders>
                    <w:tl2br w:val="nil"/>
                    <w:tr2bl w:val="nil"/>
                  </w:tcBorders>
                  <w:shd w:val="clear" w:color="auto" w:fill="auto"/>
                  <w:noWrap w:val="0"/>
                  <w:vAlign w:val="center"/>
                </w:tcPr>
                <w:p>
                  <w:pPr>
                    <w:spacing w:line="240" w:lineRule="atLeast"/>
                    <w:jc w:val="center"/>
                    <w:rPr>
                      <w:color w:val="auto"/>
                      <w:sz w:val="21"/>
                      <w:szCs w:val="21"/>
                    </w:rPr>
                  </w:pPr>
                  <w:r>
                    <w:rPr>
                      <w:color w:val="auto"/>
                      <w:sz w:val="21"/>
                      <w:szCs w:val="21"/>
                    </w:rPr>
                    <w:t>P1</w:t>
                  </w:r>
                </w:p>
              </w:tc>
              <w:tc>
                <w:tcPr>
                  <w:tcW w:w="798" w:type="pct"/>
                  <w:tcBorders>
                    <w:tl2br w:val="nil"/>
                    <w:tr2bl w:val="nil"/>
                  </w:tcBorders>
                  <w:shd w:val="clear" w:color="auto" w:fill="auto"/>
                  <w:noWrap w:val="0"/>
                  <w:vAlign w:val="center"/>
                </w:tcPr>
                <w:p>
                  <w:pPr>
                    <w:spacing w:line="240" w:lineRule="atLeast"/>
                    <w:jc w:val="center"/>
                    <w:rPr>
                      <w:color w:val="auto"/>
                      <w:sz w:val="21"/>
                      <w:szCs w:val="21"/>
                    </w:rPr>
                  </w:pPr>
                  <w:r>
                    <w:rPr>
                      <w:rFonts w:hint="eastAsia"/>
                      <w:color w:val="auto"/>
                      <w:sz w:val="21"/>
                      <w:szCs w:val="21"/>
                    </w:rPr>
                    <w:t>117.0665074</w:t>
                  </w:r>
                </w:p>
              </w:tc>
              <w:tc>
                <w:tcPr>
                  <w:tcW w:w="702" w:type="pct"/>
                  <w:tcBorders>
                    <w:tl2br w:val="nil"/>
                    <w:tr2bl w:val="nil"/>
                  </w:tcBorders>
                  <w:shd w:val="clear" w:color="auto" w:fill="auto"/>
                  <w:noWrap w:val="0"/>
                  <w:vAlign w:val="center"/>
                </w:tcPr>
                <w:p>
                  <w:pPr>
                    <w:spacing w:line="240" w:lineRule="atLeast"/>
                    <w:jc w:val="center"/>
                    <w:rPr>
                      <w:color w:val="auto"/>
                      <w:sz w:val="21"/>
                      <w:szCs w:val="21"/>
                    </w:rPr>
                  </w:pPr>
                  <w:r>
                    <w:rPr>
                      <w:rFonts w:hint="eastAsia"/>
                      <w:color w:val="auto"/>
                      <w:sz w:val="21"/>
                      <w:szCs w:val="21"/>
                    </w:rPr>
                    <w:t>39.0978134</w:t>
                  </w:r>
                </w:p>
              </w:tc>
              <w:tc>
                <w:tcPr>
                  <w:tcW w:w="383" w:type="pct"/>
                  <w:tcBorders>
                    <w:tl2br w:val="nil"/>
                    <w:tr2bl w:val="nil"/>
                  </w:tcBorders>
                  <w:shd w:val="clear" w:color="auto" w:fill="auto"/>
                  <w:noWrap w:val="0"/>
                  <w:vAlign w:val="center"/>
                </w:tcPr>
                <w:p>
                  <w:pPr>
                    <w:spacing w:line="240" w:lineRule="atLeast"/>
                    <w:jc w:val="center"/>
                    <w:rPr>
                      <w:rFonts w:hint="default"/>
                      <w:color w:val="auto"/>
                      <w:sz w:val="21"/>
                      <w:szCs w:val="21"/>
                      <w:lang w:val="en-US" w:eastAsia="zh-CN"/>
                    </w:rPr>
                  </w:pPr>
                  <w:r>
                    <w:rPr>
                      <w:rFonts w:hint="eastAsia"/>
                      <w:color w:val="auto"/>
                      <w:sz w:val="21"/>
                      <w:szCs w:val="21"/>
                      <w:lang w:val="en-US" w:eastAsia="zh-CN"/>
                    </w:rPr>
                    <w:t>20</w:t>
                  </w:r>
                </w:p>
              </w:tc>
              <w:tc>
                <w:tcPr>
                  <w:tcW w:w="367" w:type="pct"/>
                  <w:tcBorders>
                    <w:tl2br w:val="nil"/>
                    <w:tr2bl w:val="nil"/>
                  </w:tcBorders>
                  <w:shd w:val="clear" w:color="auto" w:fill="auto"/>
                  <w:noWrap w:val="0"/>
                  <w:vAlign w:val="center"/>
                </w:tcPr>
                <w:p>
                  <w:pPr>
                    <w:spacing w:line="240" w:lineRule="atLeast"/>
                    <w:jc w:val="center"/>
                    <w:rPr>
                      <w:rFonts w:hint="default" w:eastAsia="宋体"/>
                      <w:color w:val="auto"/>
                      <w:sz w:val="21"/>
                      <w:szCs w:val="21"/>
                      <w:lang w:val="en-US" w:eastAsia="zh-CN"/>
                    </w:rPr>
                  </w:pPr>
                  <w:r>
                    <w:rPr>
                      <w:rFonts w:hint="eastAsia"/>
                      <w:color w:val="auto"/>
                      <w:sz w:val="21"/>
                      <w:szCs w:val="21"/>
                      <w:lang w:val="en-US" w:eastAsia="zh-CN"/>
                    </w:rPr>
                    <w:t>0.8</w:t>
                  </w:r>
                </w:p>
              </w:tc>
              <w:tc>
                <w:tcPr>
                  <w:tcW w:w="449" w:type="pct"/>
                  <w:tcBorders>
                    <w:tl2br w:val="nil"/>
                    <w:tr2bl w:val="nil"/>
                  </w:tcBorders>
                  <w:shd w:val="clear" w:color="auto" w:fill="auto"/>
                  <w:noWrap w:val="0"/>
                  <w:vAlign w:val="center"/>
                </w:tcPr>
                <w:p>
                  <w:pPr>
                    <w:spacing w:line="240" w:lineRule="atLeast"/>
                    <w:jc w:val="center"/>
                    <w:rPr>
                      <w:rFonts w:hint="default"/>
                      <w:color w:val="auto"/>
                      <w:sz w:val="21"/>
                      <w:szCs w:val="21"/>
                      <w:lang w:val="en-US" w:eastAsia="zh-CN"/>
                    </w:rPr>
                  </w:pPr>
                  <w:r>
                    <w:rPr>
                      <w:rFonts w:hint="eastAsia"/>
                      <w:color w:val="auto"/>
                      <w:sz w:val="21"/>
                      <w:szCs w:val="21"/>
                      <w:lang w:val="en-US" w:eastAsia="zh-CN"/>
                    </w:rPr>
                    <w:t>25</w:t>
                  </w:r>
                </w:p>
              </w:tc>
              <w:tc>
                <w:tcPr>
                  <w:tcW w:w="455" w:type="pct"/>
                  <w:tcBorders>
                    <w:tl2br w:val="nil"/>
                    <w:tr2bl w:val="nil"/>
                  </w:tcBorders>
                  <w:shd w:val="clear" w:color="auto" w:fill="auto"/>
                  <w:noWrap w:val="0"/>
                  <w:vAlign w:val="center"/>
                </w:tcPr>
                <w:p>
                  <w:pPr>
                    <w:spacing w:line="240" w:lineRule="atLeast"/>
                    <w:jc w:val="center"/>
                    <w:rPr>
                      <w:rFonts w:hint="default"/>
                      <w:color w:val="auto"/>
                      <w:sz w:val="21"/>
                      <w:szCs w:val="21"/>
                      <w:lang w:val="en-US" w:eastAsia="zh-CN"/>
                    </w:rPr>
                  </w:pPr>
                  <w:r>
                    <w:rPr>
                      <w:rFonts w:hint="eastAsia"/>
                      <w:color w:val="auto"/>
                      <w:sz w:val="21"/>
                      <w:szCs w:val="21"/>
                      <w:lang w:val="en-US" w:eastAsia="zh-CN"/>
                    </w:rPr>
                    <w:t>6000</w:t>
                  </w:r>
                </w:p>
              </w:tc>
              <w:tc>
                <w:tcPr>
                  <w:tcW w:w="405" w:type="pct"/>
                  <w:tcBorders>
                    <w:tl2br w:val="nil"/>
                    <w:tr2bl w:val="nil"/>
                  </w:tcBorders>
                  <w:shd w:val="clear" w:color="auto" w:fill="auto"/>
                  <w:noWrap w:val="0"/>
                  <w:vAlign w:val="center"/>
                </w:tcPr>
                <w:p>
                  <w:pPr>
                    <w:spacing w:line="240" w:lineRule="atLeast"/>
                    <w:jc w:val="center"/>
                    <w:rPr>
                      <w:rFonts w:hint="default"/>
                      <w:color w:val="auto"/>
                      <w:sz w:val="21"/>
                      <w:szCs w:val="21"/>
                      <w:lang w:val="en-US" w:eastAsia="zh-CN"/>
                    </w:rPr>
                  </w:pPr>
                  <w:r>
                    <w:rPr>
                      <w:rFonts w:hint="eastAsia"/>
                      <w:color w:val="auto"/>
                      <w:sz w:val="21"/>
                      <w:szCs w:val="21"/>
                      <w:lang w:val="en-US" w:eastAsia="zh-CN"/>
                    </w:rPr>
                    <w:t>7.63</w:t>
                  </w:r>
                </w:p>
              </w:tc>
              <w:tc>
                <w:tcPr>
                  <w:tcW w:w="441" w:type="pct"/>
                  <w:tcBorders>
                    <w:tl2br w:val="nil"/>
                    <w:tr2bl w:val="nil"/>
                  </w:tcBorders>
                  <w:shd w:val="clear" w:color="auto" w:fill="auto"/>
                  <w:noWrap w:val="0"/>
                  <w:vAlign w:val="center"/>
                </w:tcPr>
                <w:p>
                  <w:pPr>
                    <w:spacing w:line="240" w:lineRule="atLeast"/>
                    <w:jc w:val="center"/>
                    <w:rPr>
                      <w:color w:val="auto"/>
                      <w:sz w:val="21"/>
                      <w:szCs w:val="21"/>
                    </w:rPr>
                  </w:pPr>
                  <w:r>
                    <w:rPr>
                      <w:color w:val="auto"/>
                      <w:sz w:val="21"/>
                      <w:szCs w:val="21"/>
                    </w:rPr>
                    <w:t>一般排放口</w:t>
                  </w:r>
                </w:p>
              </w:tc>
              <w:tc>
                <w:tcPr>
                  <w:tcW w:w="458" w:type="pct"/>
                  <w:tcBorders>
                    <w:tl2br w:val="nil"/>
                    <w:tr2bl w:val="nil"/>
                  </w:tcBorders>
                  <w:shd w:val="clear" w:color="auto" w:fill="auto"/>
                  <w:noWrap w:val="0"/>
                  <w:vAlign w:val="center"/>
                </w:tcPr>
                <w:p>
                  <w:pPr>
                    <w:spacing w:line="240" w:lineRule="atLeast"/>
                    <w:jc w:val="center"/>
                    <w:rPr>
                      <w:color w:val="auto"/>
                      <w:sz w:val="21"/>
                      <w:szCs w:val="21"/>
                    </w:rPr>
                  </w:pPr>
                  <w:r>
                    <w:rPr>
                      <w:color w:val="auto"/>
                      <w:sz w:val="21"/>
                      <w:szCs w:val="21"/>
                    </w:rPr>
                    <w:t>正常排放</w:t>
                  </w:r>
                </w:p>
              </w:tc>
            </w:tr>
          </w:tbl>
          <w:p>
            <w:pPr>
              <w:spacing w:line="360" w:lineRule="auto"/>
              <w:ind w:firstLine="482" w:firstLineChars="200"/>
              <w:rPr>
                <w:rFonts w:hint="eastAsia"/>
                <w:b/>
                <w:bCs/>
                <w:color w:val="auto"/>
                <w:lang w:val="en-US" w:eastAsia="zh-CN"/>
              </w:rPr>
            </w:pPr>
            <w:r>
              <w:rPr>
                <w:rFonts w:hint="eastAsia"/>
                <w:b/>
                <w:bCs/>
                <w:color w:val="auto"/>
                <w:lang w:val="en-US" w:eastAsia="zh-CN"/>
              </w:rPr>
              <w:t>4.2.3废气污染物达标排放分析</w:t>
            </w:r>
          </w:p>
          <w:p>
            <w:pPr>
              <w:pStyle w:val="8"/>
              <w:bidi w:val="0"/>
              <w:rPr>
                <w:rFonts w:hint="default"/>
                <w:color w:val="auto"/>
                <w:lang w:val="en-US" w:eastAsia="zh-CN"/>
              </w:rPr>
            </w:pPr>
            <w:r>
              <w:rPr>
                <w:rFonts w:hint="eastAsia"/>
                <w:color w:val="auto"/>
                <w:lang w:val="en-US" w:eastAsia="zh-CN"/>
              </w:rPr>
              <w:t>经工程分析，本项目废气有组织排放达标情况见下表。</w:t>
            </w:r>
          </w:p>
          <w:p>
            <w:pPr>
              <w:pStyle w:val="83"/>
              <w:bidi w:val="0"/>
              <w:rPr>
                <w:rFonts w:hint="eastAsia"/>
                <w:color w:val="auto"/>
                <w:lang w:val="en-US" w:eastAsia="zh-CN"/>
              </w:rPr>
            </w:pPr>
            <w:r>
              <w:rPr>
                <w:rFonts w:hint="eastAsia"/>
                <w:color w:val="auto"/>
                <w:lang w:val="en-US" w:eastAsia="zh-CN"/>
              </w:rPr>
              <w:t>表4-10  本项目有组织废气排放情况一览表</w:t>
            </w:r>
          </w:p>
          <w:tbl>
            <w:tblPr>
              <w:tblStyle w:val="29"/>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5"/>
              <w:gridCol w:w="1287"/>
              <w:gridCol w:w="1431"/>
              <w:gridCol w:w="1449"/>
              <w:gridCol w:w="1400"/>
              <w:gridCol w:w="1257"/>
              <w:gridCol w:w="6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restart"/>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b/>
                      <w:bCs/>
                      <w:color w:val="auto"/>
                      <w:sz w:val="21"/>
                      <w:szCs w:val="21"/>
                    </w:rPr>
                  </w:pPr>
                  <w:r>
                    <w:rPr>
                      <w:b/>
                      <w:bCs/>
                      <w:color w:val="auto"/>
                      <w:sz w:val="21"/>
                      <w:szCs w:val="21"/>
                    </w:rPr>
                    <w:t>排放方式</w:t>
                  </w:r>
                </w:p>
              </w:tc>
              <w:tc>
                <w:tcPr>
                  <w:tcW w:w="1287" w:type="dxa"/>
                  <w:vMerge w:val="restart"/>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b/>
                      <w:bCs/>
                      <w:color w:val="auto"/>
                      <w:sz w:val="21"/>
                      <w:szCs w:val="21"/>
                    </w:rPr>
                  </w:pPr>
                  <w:r>
                    <w:rPr>
                      <w:b/>
                      <w:bCs/>
                      <w:color w:val="auto"/>
                      <w:sz w:val="21"/>
                      <w:szCs w:val="21"/>
                    </w:rPr>
                    <w:t>污染物</w:t>
                  </w:r>
                </w:p>
              </w:tc>
              <w:tc>
                <w:tcPr>
                  <w:tcW w:w="2880" w:type="dxa"/>
                  <w:gridSpan w:val="2"/>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rFonts w:hint="default"/>
                      <w:b/>
                      <w:bCs/>
                      <w:color w:val="auto"/>
                      <w:sz w:val="21"/>
                      <w:szCs w:val="21"/>
                      <w:lang w:val="en-US" w:eastAsia="zh-CN"/>
                    </w:rPr>
                  </w:pPr>
                  <w:r>
                    <w:rPr>
                      <w:rFonts w:hint="eastAsia"/>
                      <w:b/>
                      <w:bCs/>
                      <w:color w:val="auto"/>
                      <w:sz w:val="21"/>
                      <w:szCs w:val="21"/>
                      <w:lang w:val="en-US" w:eastAsia="zh-CN"/>
                    </w:rPr>
                    <w:t>排放情况</w:t>
                  </w:r>
                </w:p>
              </w:tc>
              <w:tc>
                <w:tcPr>
                  <w:tcW w:w="2657" w:type="dxa"/>
                  <w:gridSpan w:val="2"/>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rFonts w:hint="default"/>
                      <w:b/>
                      <w:bCs/>
                      <w:color w:val="auto"/>
                      <w:sz w:val="21"/>
                      <w:szCs w:val="21"/>
                      <w:lang w:val="en-US" w:eastAsia="zh-CN"/>
                    </w:rPr>
                  </w:pPr>
                  <w:r>
                    <w:rPr>
                      <w:rFonts w:hint="eastAsia"/>
                      <w:b/>
                      <w:bCs/>
                      <w:color w:val="auto"/>
                      <w:sz w:val="21"/>
                      <w:szCs w:val="21"/>
                      <w:lang w:val="en-US" w:eastAsia="zh-CN"/>
                    </w:rPr>
                    <w:t>排放标准</w:t>
                  </w:r>
                </w:p>
              </w:tc>
              <w:tc>
                <w:tcPr>
                  <w:tcW w:w="697" w:type="dxa"/>
                  <w:vMerge w:val="restart"/>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rFonts w:hint="eastAsia"/>
                      <w:color w:val="auto"/>
                      <w:sz w:val="21"/>
                      <w:szCs w:val="21"/>
                      <w:lang w:val="en-US" w:eastAsia="zh-CN"/>
                    </w:rPr>
                  </w:pPr>
                  <w:r>
                    <w:rPr>
                      <w:rFonts w:hint="eastAsia"/>
                      <w:b/>
                      <w:bCs/>
                      <w:color w:val="auto"/>
                      <w:sz w:val="21"/>
                      <w:szCs w:val="21"/>
                      <w:lang w:val="en-US"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b/>
                      <w:bCs/>
                      <w:color w:val="auto"/>
                      <w:sz w:val="21"/>
                      <w:szCs w:val="21"/>
                    </w:rPr>
                  </w:pPr>
                </w:p>
              </w:tc>
              <w:tc>
                <w:tcPr>
                  <w:tcW w:w="1287" w:type="dxa"/>
                  <w:vMerge w:val="continue"/>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b/>
                      <w:bCs/>
                      <w:color w:val="auto"/>
                      <w:sz w:val="21"/>
                      <w:szCs w:val="21"/>
                    </w:rPr>
                  </w:pPr>
                </w:p>
              </w:tc>
              <w:tc>
                <w:tcPr>
                  <w:tcW w:w="1431"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ind w:firstLine="0" w:firstLineChars="0"/>
                    <w:rPr>
                      <w:b/>
                      <w:bCs/>
                      <w:color w:val="auto"/>
                      <w:sz w:val="21"/>
                      <w:szCs w:val="21"/>
                      <w:lang w:val="en-US" w:eastAsia="zh-CN"/>
                    </w:rPr>
                  </w:pPr>
                  <w:r>
                    <w:rPr>
                      <w:b/>
                      <w:bCs/>
                      <w:color w:val="auto"/>
                      <w:sz w:val="21"/>
                      <w:szCs w:val="21"/>
                    </w:rPr>
                    <w:t>排放浓度(mg/m</w:t>
                  </w:r>
                  <w:r>
                    <w:rPr>
                      <w:rFonts w:hint="eastAsia"/>
                      <w:b/>
                      <w:bCs/>
                      <w:color w:val="auto"/>
                      <w:sz w:val="21"/>
                      <w:szCs w:val="21"/>
                      <w:vertAlign w:val="superscript"/>
                      <w:lang w:val="en-US" w:eastAsia="zh-CN"/>
                    </w:rPr>
                    <w:t>3</w:t>
                  </w:r>
                  <w:r>
                    <w:rPr>
                      <w:b/>
                      <w:bCs/>
                      <w:color w:val="auto"/>
                      <w:sz w:val="21"/>
                      <w:szCs w:val="21"/>
                    </w:rPr>
                    <w:t>)</w:t>
                  </w:r>
                </w:p>
              </w:tc>
              <w:tc>
                <w:tcPr>
                  <w:tcW w:w="1449"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ind w:firstLine="0" w:firstLineChars="0"/>
                    <w:rPr>
                      <w:b/>
                      <w:bCs/>
                      <w:color w:val="auto"/>
                      <w:sz w:val="21"/>
                      <w:szCs w:val="21"/>
                      <w:lang w:val="en-US" w:eastAsia="zh-CN"/>
                    </w:rPr>
                  </w:pPr>
                  <w:r>
                    <w:rPr>
                      <w:b/>
                      <w:bCs/>
                      <w:color w:val="auto"/>
                      <w:sz w:val="21"/>
                      <w:szCs w:val="21"/>
                    </w:rPr>
                    <w:t>排放速率(kg/h)</w:t>
                  </w:r>
                </w:p>
              </w:tc>
              <w:tc>
                <w:tcPr>
                  <w:tcW w:w="1400"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ind w:firstLine="0" w:firstLineChars="0"/>
                    <w:rPr>
                      <w:b/>
                      <w:bCs/>
                      <w:color w:val="auto"/>
                      <w:sz w:val="21"/>
                      <w:szCs w:val="21"/>
                      <w:lang w:val="en-US" w:eastAsia="zh-CN"/>
                    </w:rPr>
                  </w:pPr>
                  <w:r>
                    <w:rPr>
                      <w:b/>
                      <w:bCs/>
                      <w:color w:val="auto"/>
                      <w:sz w:val="21"/>
                      <w:szCs w:val="21"/>
                    </w:rPr>
                    <w:t>排放浓度限值(mg/m</w:t>
                  </w:r>
                  <w:r>
                    <w:rPr>
                      <w:rFonts w:hint="eastAsia"/>
                      <w:b/>
                      <w:bCs/>
                      <w:color w:val="auto"/>
                      <w:sz w:val="21"/>
                      <w:szCs w:val="21"/>
                      <w:vertAlign w:val="superscript"/>
                      <w:lang w:val="en-US" w:eastAsia="zh-CN"/>
                    </w:rPr>
                    <w:t>3</w:t>
                  </w:r>
                  <w:r>
                    <w:rPr>
                      <w:b/>
                      <w:bCs/>
                      <w:color w:val="auto"/>
                      <w:sz w:val="21"/>
                      <w:szCs w:val="21"/>
                    </w:rPr>
                    <w:t>)</w:t>
                  </w:r>
                </w:p>
              </w:tc>
              <w:tc>
                <w:tcPr>
                  <w:tcW w:w="1257"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ind w:firstLine="0" w:firstLineChars="0"/>
                    <w:rPr>
                      <w:b/>
                      <w:bCs/>
                      <w:color w:val="auto"/>
                      <w:sz w:val="21"/>
                      <w:szCs w:val="21"/>
                      <w:lang w:val="en-US" w:eastAsia="zh-CN"/>
                    </w:rPr>
                  </w:pPr>
                  <w:r>
                    <w:rPr>
                      <w:b/>
                      <w:bCs/>
                      <w:color w:val="auto"/>
                      <w:sz w:val="21"/>
                      <w:szCs w:val="21"/>
                    </w:rPr>
                    <w:t>排放速率限值(kg/h)</w:t>
                  </w:r>
                </w:p>
              </w:tc>
              <w:tc>
                <w:tcPr>
                  <w:tcW w:w="697" w:type="dxa"/>
                  <w:vMerge w:val="continue"/>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restart"/>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color w:val="auto"/>
                      <w:sz w:val="21"/>
                      <w:szCs w:val="21"/>
                    </w:rPr>
                  </w:pPr>
                  <w:r>
                    <w:rPr>
                      <w:color w:val="auto"/>
                      <w:sz w:val="21"/>
                      <w:szCs w:val="21"/>
                    </w:rPr>
                    <w:t>有组织</w:t>
                  </w:r>
                </w:p>
                <w:p>
                  <w:pPr>
                    <w:pStyle w:val="84"/>
                    <w:keepNext w:val="0"/>
                    <w:keepLines w:val="0"/>
                    <w:pageBreakBefore w:val="0"/>
                    <w:kinsoku/>
                    <w:wordWrap/>
                    <w:overflowPunct/>
                    <w:topLinePunct w:val="0"/>
                    <w:autoSpaceDE/>
                    <w:autoSpaceDN/>
                    <w:bidi w:val="0"/>
                    <w:adjustRightInd/>
                    <w:snapToGrid/>
                    <w:spacing w:line="240" w:lineRule="auto"/>
                    <w:rPr>
                      <w:rFonts w:hint="eastAsia"/>
                      <w:color w:val="auto"/>
                      <w:sz w:val="21"/>
                      <w:szCs w:val="21"/>
                      <w:lang w:val="en-US" w:eastAsia="zh-CN"/>
                    </w:rPr>
                  </w:pPr>
                  <w:r>
                    <w:rPr>
                      <w:rFonts w:hint="eastAsia"/>
                      <w:color w:val="auto"/>
                      <w:sz w:val="21"/>
                      <w:szCs w:val="21"/>
                      <w:lang w:val="en-US" w:eastAsia="zh-CN"/>
                    </w:rPr>
                    <w:t>20</w:t>
                  </w:r>
                  <w:r>
                    <w:rPr>
                      <w:color w:val="auto"/>
                      <w:sz w:val="21"/>
                      <w:szCs w:val="21"/>
                    </w:rPr>
                    <w:t>m高排气筒</w:t>
                  </w:r>
                  <w:r>
                    <w:rPr>
                      <w:rFonts w:hint="eastAsia"/>
                      <w:color w:val="auto"/>
                      <w:sz w:val="21"/>
                      <w:szCs w:val="21"/>
                    </w:rPr>
                    <w:t>P</w:t>
                  </w:r>
                  <w:r>
                    <w:rPr>
                      <w:rFonts w:hint="eastAsia"/>
                      <w:color w:val="auto"/>
                      <w:sz w:val="21"/>
                      <w:szCs w:val="21"/>
                      <w:lang w:val="en-US" w:eastAsia="zh-CN"/>
                    </w:rPr>
                    <w:t>1</w:t>
                  </w:r>
                </w:p>
              </w:tc>
              <w:tc>
                <w:tcPr>
                  <w:tcW w:w="1287" w:type="dxa"/>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rPr>
                    <w:t>非甲烷总烃</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6.6272</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bCs/>
                      <w:color w:val="auto"/>
                      <w:sz w:val="21"/>
                      <w:szCs w:val="21"/>
                      <w:lang w:val="en-US" w:eastAsia="zh-CN"/>
                    </w:rPr>
                    <w:t>0.1524</w:t>
                  </w:r>
                </w:p>
              </w:tc>
              <w:tc>
                <w:tcPr>
                  <w:tcW w:w="1400"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s="Times New Roman"/>
                      <w:color w:val="auto"/>
                      <w:kern w:val="2"/>
                      <w:sz w:val="21"/>
                      <w:szCs w:val="24"/>
                      <w:lang w:val="en-US" w:eastAsia="zh-CN" w:bidi="ar-SA"/>
                    </w:rPr>
                    <w:t>60</w:t>
                  </w:r>
                </w:p>
              </w:tc>
              <w:tc>
                <w:tcPr>
                  <w:tcW w:w="1257"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4.1</w:t>
                  </w:r>
                </w:p>
              </w:tc>
              <w:tc>
                <w:tcPr>
                  <w:tcW w:w="697"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jc w:val="center"/>
                    <w:rPr>
                      <w:color w:val="auto"/>
                      <w:sz w:val="21"/>
                      <w:szCs w:val="21"/>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color w:val="auto"/>
                      <w:sz w:val="21"/>
                      <w:szCs w:val="21"/>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rPr>
                    <w:t>TRVOC</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6.6272</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lang w:val="en-US" w:eastAsia="zh-CN"/>
                    </w:rPr>
                  </w:pPr>
                  <w:r>
                    <w:rPr>
                      <w:rFonts w:hint="eastAsia"/>
                      <w:bCs/>
                      <w:color w:val="auto"/>
                      <w:sz w:val="21"/>
                      <w:szCs w:val="21"/>
                      <w:lang w:val="en-US" w:eastAsia="zh-CN"/>
                    </w:rPr>
                    <w:t>0.1524</w:t>
                  </w:r>
                </w:p>
              </w:tc>
              <w:tc>
                <w:tcPr>
                  <w:tcW w:w="1400"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s="Times New Roman"/>
                      <w:color w:val="auto"/>
                      <w:kern w:val="2"/>
                      <w:sz w:val="21"/>
                      <w:szCs w:val="24"/>
                      <w:lang w:val="en-US" w:eastAsia="zh-CN" w:bidi="ar-SA"/>
                    </w:rPr>
                    <w:t>50</w:t>
                  </w:r>
                </w:p>
              </w:tc>
              <w:tc>
                <w:tcPr>
                  <w:tcW w:w="1257"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3.4</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甲醇</w:t>
                  </w:r>
                </w:p>
              </w:tc>
              <w:tc>
                <w:tcPr>
                  <w:tcW w:w="1431"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2.4762</w:t>
                  </w:r>
                </w:p>
              </w:tc>
              <w:tc>
                <w:tcPr>
                  <w:tcW w:w="1449"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bCs/>
                      <w:color w:val="auto"/>
                      <w:sz w:val="21"/>
                      <w:szCs w:val="21"/>
                      <w:lang w:val="en-US" w:eastAsia="zh-CN"/>
                    </w:rPr>
                    <w:t>0.0570</w:t>
                  </w:r>
                </w:p>
              </w:tc>
              <w:tc>
                <w:tcPr>
                  <w:tcW w:w="1400" w:type="dxa"/>
                  <w:tcBorders>
                    <w:tl2br w:val="nil"/>
                    <w:tr2bl w:val="nil"/>
                  </w:tcBorders>
                  <w:shd w:val="clear" w:color="auto" w:fill="auto"/>
                  <w:vAlign w:val="center"/>
                </w:tcPr>
                <w:p>
                  <w:pPr>
                    <w:pStyle w:val="84"/>
                    <w:bidi w:val="0"/>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25</w:t>
                  </w:r>
                </w:p>
              </w:tc>
              <w:tc>
                <w:tcPr>
                  <w:tcW w:w="1257" w:type="dxa"/>
                  <w:tcBorders>
                    <w:tl2br w:val="nil"/>
                    <w:tr2bl w:val="nil"/>
                  </w:tcBorders>
                  <w:shd w:val="clear" w:color="auto" w:fill="auto"/>
                  <w:vAlign w:val="center"/>
                </w:tcPr>
                <w:p>
                  <w:pPr>
                    <w:pStyle w:val="84"/>
                    <w:bidi w:val="0"/>
                    <w:ind w:firstLine="0" w:firstLineChars="0"/>
                    <w:rPr>
                      <w:rFonts w:hint="default" w:ascii="Times New Roman" w:hAnsi="Times New Roman" w:eastAsia="宋体" w:cs="Times New Roman"/>
                      <w:color w:val="auto"/>
                      <w:kern w:val="2"/>
                      <w:sz w:val="21"/>
                      <w:szCs w:val="21"/>
                      <w:lang w:val="en-US" w:eastAsia="zh-CN" w:bidi="ar-SA"/>
                    </w:rPr>
                  </w:pPr>
                  <w:r>
                    <w:rPr>
                      <w:rFonts w:hint="eastAsia"/>
                      <w:color w:val="auto"/>
                      <w:lang w:val="en-US" w:eastAsia="zh-CN"/>
                    </w:rPr>
                    <w:t>0.215</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rPr>
                    <w:t>二甲苯</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0.0269</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6.19×</w:t>
                  </w:r>
                  <w:r>
                    <w:rPr>
                      <w:rFonts w:hint="eastAsia" w:cs="Times New Roman" w:eastAsiaTheme="minorEastAsia"/>
                      <w:color w:val="auto"/>
                      <w:kern w:val="0"/>
                      <w:sz w:val="21"/>
                      <w:szCs w:val="21"/>
                      <w:lang w:val="en-US" w:eastAsia="zh-CN"/>
                    </w:rPr>
                    <w:t>10</w:t>
                  </w:r>
                  <w:r>
                    <w:rPr>
                      <w:rFonts w:hint="eastAsia" w:cs="Times New Roman" w:eastAsiaTheme="minorEastAsia"/>
                      <w:color w:val="auto"/>
                      <w:kern w:val="0"/>
                      <w:sz w:val="21"/>
                      <w:szCs w:val="21"/>
                      <w:vertAlign w:val="superscript"/>
                      <w:lang w:val="en-US" w:eastAsia="zh-CN"/>
                    </w:rPr>
                    <w:t>-3</w:t>
                  </w:r>
                </w:p>
              </w:tc>
              <w:tc>
                <w:tcPr>
                  <w:tcW w:w="1400"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40</w:t>
                  </w:r>
                </w:p>
              </w:tc>
              <w:tc>
                <w:tcPr>
                  <w:tcW w:w="1257"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2.1</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rPr>
                    <w:t>氯化氢</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bCs/>
                      <w:color w:val="auto"/>
                      <w:sz w:val="21"/>
                      <w:szCs w:val="21"/>
                      <w:lang w:val="en-US" w:eastAsia="zh-CN"/>
                    </w:rPr>
                    <w:t xml:space="preserve">0.0200 </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bCs/>
                      <w:color w:val="auto"/>
                      <w:sz w:val="21"/>
                      <w:szCs w:val="21"/>
                      <w:lang w:val="en-US" w:eastAsia="zh-CN"/>
                    </w:rPr>
                    <w:t xml:space="preserve">0.0005 </w:t>
                  </w:r>
                </w:p>
              </w:tc>
              <w:tc>
                <w:tcPr>
                  <w:tcW w:w="1400"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100</w:t>
                  </w:r>
                </w:p>
              </w:tc>
              <w:tc>
                <w:tcPr>
                  <w:tcW w:w="1257"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0.215</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氨</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0.6422</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bCs/>
                      <w:color w:val="auto"/>
                      <w:sz w:val="21"/>
                      <w:szCs w:val="21"/>
                      <w:lang w:val="en-US" w:eastAsia="zh-CN"/>
                    </w:rPr>
                    <w:t>0.0179</w:t>
                  </w:r>
                </w:p>
              </w:tc>
              <w:tc>
                <w:tcPr>
                  <w:tcW w:w="1400" w:type="dxa"/>
                  <w:tcBorders>
                    <w:tl2br w:val="nil"/>
                    <w:tr2bl w:val="nil"/>
                  </w:tcBorders>
                  <w:shd w:val="clear" w:color="auto" w:fill="auto"/>
                  <w:vAlign w:val="center"/>
                </w:tcPr>
                <w:p>
                  <w:pPr>
                    <w:pStyle w:val="84"/>
                    <w:bidi w:val="0"/>
                    <w:ind w:firstLine="0" w:firstLineChars="0"/>
                    <w:rPr>
                      <w:rFonts w:hint="default"/>
                      <w:color w:val="auto"/>
                      <w:sz w:val="21"/>
                      <w:szCs w:val="21"/>
                      <w:lang w:val="en-US" w:eastAsia="zh-CN"/>
                    </w:rPr>
                  </w:pPr>
                  <w:r>
                    <w:rPr>
                      <w:rFonts w:hint="eastAsia"/>
                      <w:color w:val="auto"/>
                      <w:lang w:val="en-US" w:eastAsia="zh-CN"/>
                    </w:rPr>
                    <w:t>/</w:t>
                  </w:r>
                </w:p>
              </w:tc>
              <w:tc>
                <w:tcPr>
                  <w:tcW w:w="1257" w:type="dxa"/>
                  <w:tcBorders>
                    <w:tl2br w:val="nil"/>
                    <w:tr2bl w:val="nil"/>
                  </w:tcBorders>
                  <w:shd w:val="clear" w:color="auto" w:fill="auto"/>
                  <w:vAlign w:val="center"/>
                </w:tcPr>
                <w:p>
                  <w:pPr>
                    <w:pStyle w:val="84"/>
                    <w:bidi w:val="0"/>
                    <w:ind w:firstLine="0" w:firstLineChars="0"/>
                    <w:rPr>
                      <w:rFonts w:hint="eastAsia"/>
                      <w:color w:val="auto"/>
                      <w:sz w:val="21"/>
                      <w:szCs w:val="21"/>
                      <w:lang w:val="en-US" w:eastAsia="zh-CN"/>
                    </w:rPr>
                  </w:pPr>
                  <w:r>
                    <w:rPr>
                      <w:rFonts w:hint="eastAsia"/>
                      <w:color w:val="auto"/>
                      <w:lang w:val="en-US" w:eastAsia="zh-CN"/>
                    </w:rPr>
                    <w:t>1.0</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auto"/>
                      <w:sz w:val="21"/>
                      <w:szCs w:val="21"/>
                      <w:lang w:val="en-US" w:eastAsia="zh-CN"/>
                    </w:rPr>
                  </w:pPr>
                </w:p>
              </w:tc>
              <w:tc>
                <w:tcPr>
                  <w:tcW w:w="1287" w:type="dxa"/>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硫化氢</w:t>
                  </w:r>
                </w:p>
              </w:tc>
              <w:tc>
                <w:tcPr>
                  <w:tcW w:w="1431"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0.02</w:t>
                  </w:r>
                </w:p>
              </w:tc>
              <w:tc>
                <w:tcPr>
                  <w:tcW w:w="1449" w:type="dxa"/>
                  <w:tcBorders>
                    <w:tl2br w:val="nil"/>
                    <w:tr2bl w:val="nil"/>
                  </w:tcBorders>
                  <w:shd w:val="clear" w:color="auto" w:fill="auto"/>
                  <w:vAlign w:val="center"/>
                </w:tcPr>
                <w:p>
                  <w:pPr>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5.81×</w:t>
                  </w:r>
                  <w:r>
                    <w:rPr>
                      <w:rFonts w:hint="eastAsia" w:cs="Times New Roman" w:eastAsiaTheme="minorEastAsia"/>
                      <w:color w:val="auto"/>
                      <w:kern w:val="0"/>
                      <w:sz w:val="21"/>
                      <w:szCs w:val="21"/>
                      <w:lang w:val="en-US" w:eastAsia="zh-CN"/>
                    </w:rPr>
                    <w:t>10</w:t>
                  </w:r>
                  <w:r>
                    <w:rPr>
                      <w:rFonts w:hint="eastAsia" w:cs="Times New Roman" w:eastAsiaTheme="minorEastAsia"/>
                      <w:color w:val="auto"/>
                      <w:kern w:val="0"/>
                      <w:sz w:val="21"/>
                      <w:szCs w:val="21"/>
                      <w:vertAlign w:val="superscript"/>
                      <w:lang w:val="en-US" w:eastAsia="zh-CN"/>
                    </w:rPr>
                    <w:t>-4</w:t>
                  </w:r>
                </w:p>
              </w:tc>
              <w:tc>
                <w:tcPr>
                  <w:tcW w:w="1400" w:type="dxa"/>
                  <w:tcBorders>
                    <w:tl2br w:val="nil"/>
                    <w:tr2bl w:val="nil"/>
                  </w:tcBorders>
                  <w:shd w:val="clear" w:color="auto" w:fill="auto"/>
                  <w:vAlign w:val="center"/>
                </w:tcPr>
                <w:p>
                  <w:pPr>
                    <w:pStyle w:val="84"/>
                    <w:bidi w:val="0"/>
                    <w:ind w:firstLine="0" w:firstLineChars="0"/>
                    <w:rPr>
                      <w:rFonts w:hint="default"/>
                      <w:color w:val="auto"/>
                      <w:lang w:val="en-US" w:eastAsia="zh-CN"/>
                    </w:rPr>
                  </w:pPr>
                  <w:r>
                    <w:rPr>
                      <w:rFonts w:hint="eastAsia"/>
                      <w:color w:val="auto"/>
                      <w:lang w:val="en-US" w:eastAsia="zh-CN"/>
                    </w:rPr>
                    <w:t>/</w:t>
                  </w:r>
                </w:p>
              </w:tc>
              <w:tc>
                <w:tcPr>
                  <w:tcW w:w="1257" w:type="dxa"/>
                  <w:tcBorders>
                    <w:tl2br w:val="nil"/>
                    <w:tr2bl w:val="nil"/>
                  </w:tcBorders>
                  <w:shd w:val="clear" w:color="auto" w:fill="auto"/>
                  <w:vAlign w:val="center"/>
                </w:tcPr>
                <w:p>
                  <w:pPr>
                    <w:pStyle w:val="84"/>
                    <w:bidi w:val="0"/>
                    <w:ind w:firstLine="0" w:firstLineChars="0"/>
                    <w:rPr>
                      <w:rFonts w:hint="default"/>
                      <w:color w:val="auto"/>
                      <w:lang w:val="en-US" w:eastAsia="zh-CN"/>
                    </w:rPr>
                  </w:pPr>
                  <w:r>
                    <w:rPr>
                      <w:rFonts w:hint="eastAsia"/>
                      <w:color w:val="auto"/>
                      <w:lang w:val="en-US" w:eastAsia="zh-CN"/>
                    </w:rPr>
                    <w:t>0.10</w:t>
                  </w:r>
                </w:p>
              </w:tc>
              <w:tc>
                <w:tcPr>
                  <w:tcW w:w="697" w:type="dxa"/>
                  <w:tcBorders>
                    <w:tl2br w:val="nil"/>
                    <w:tr2bl w:val="nil"/>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995" w:type="dxa"/>
                  <w:vMerge w:val="continue"/>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rPr>
                      <w:rFonts w:hint="eastAsia"/>
                      <w:color w:val="auto"/>
                      <w:sz w:val="21"/>
                      <w:szCs w:val="21"/>
                      <w:lang w:val="en-US" w:eastAsia="zh-CN"/>
                    </w:rPr>
                  </w:pPr>
                </w:p>
              </w:tc>
              <w:tc>
                <w:tcPr>
                  <w:tcW w:w="128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auto"/>
                      <w:sz w:val="21"/>
                      <w:szCs w:val="21"/>
                      <w:lang w:val="en-US" w:eastAsia="zh-CN"/>
                    </w:rPr>
                  </w:pPr>
                  <w:r>
                    <w:rPr>
                      <w:rFonts w:hint="eastAsia"/>
                      <w:color w:val="auto"/>
                      <w:sz w:val="21"/>
                      <w:szCs w:val="21"/>
                      <w:lang w:val="en-US" w:eastAsia="zh-CN"/>
                    </w:rPr>
                    <w:t>臭气浓度</w:t>
                  </w:r>
                </w:p>
              </w:tc>
              <w:tc>
                <w:tcPr>
                  <w:tcW w:w="2880" w:type="dxa"/>
                  <w:gridSpan w:val="2"/>
                  <w:tcBorders>
                    <w:tl2br w:val="nil"/>
                    <w:tr2bl w:val="nil"/>
                  </w:tcBorders>
                  <w:shd w:val="clear" w:color="auto" w:fill="auto"/>
                  <w:vAlign w:val="center"/>
                </w:tcPr>
                <w:p>
                  <w:pPr>
                    <w:pStyle w:val="84"/>
                    <w:bidi w:val="0"/>
                    <w:ind w:firstLine="0" w:firstLineChars="0"/>
                    <w:rPr>
                      <w:rFonts w:hint="eastAsia"/>
                      <w:color w:val="auto"/>
                      <w:sz w:val="21"/>
                      <w:szCs w:val="21"/>
                      <w:lang w:val="en-US" w:eastAsia="zh-CN"/>
                    </w:rPr>
                  </w:pPr>
                  <w:r>
                    <w:rPr>
                      <w:rFonts w:hint="eastAsia"/>
                      <w:color w:val="auto"/>
                      <w:sz w:val="21"/>
                      <w:szCs w:val="21"/>
                      <w:lang w:val="en-US" w:eastAsia="zh-CN"/>
                    </w:rPr>
                    <w:t>＜1000</w:t>
                  </w:r>
                  <w:r>
                    <w:rPr>
                      <w:rFonts w:hint="default"/>
                      <w:color w:val="auto"/>
                      <w:sz w:val="21"/>
                      <w:szCs w:val="21"/>
                      <w:lang w:val="en-US" w:eastAsia="zh-CN"/>
                    </w:rPr>
                    <w:t>（无量纲）</w:t>
                  </w:r>
                </w:p>
              </w:tc>
              <w:tc>
                <w:tcPr>
                  <w:tcW w:w="2657" w:type="dxa"/>
                  <w:gridSpan w:val="2"/>
                  <w:tcBorders>
                    <w:tl2br w:val="nil"/>
                    <w:tr2bl w:val="nil"/>
                  </w:tcBorders>
                  <w:shd w:val="clear" w:color="auto" w:fill="auto"/>
                  <w:vAlign w:val="center"/>
                </w:tcPr>
                <w:p>
                  <w:pPr>
                    <w:pStyle w:val="84"/>
                    <w:bidi w:val="0"/>
                    <w:rPr>
                      <w:rFonts w:hint="eastAsia"/>
                      <w:color w:val="auto"/>
                      <w:sz w:val="21"/>
                      <w:szCs w:val="21"/>
                      <w:lang w:val="en-US" w:eastAsia="zh-CN"/>
                    </w:rPr>
                  </w:pPr>
                  <w:r>
                    <w:rPr>
                      <w:rFonts w:hint="eastAsia"/>
                      <w:color w:val="auto"/>
                      <w:sz w:val="21"/>
                      <w:szCs w:val="21"/>
                      <w:lang w:val="en-US" w:eastAsia="zh-CN"/>
                    </w:rPr>
                    <w:t>1000</w:t>
                  </w:r>
                  <w:r>
                    <w:rPr>
                      <w:rFonts w:hint="default"/>
                      <w:color w:val="auto"/>
                      <w:sz w:val="21"/>
                      <w:szCs w:val="21"/>
                      <w:lang w:val="en-US" w:eastAsia="zh-CN"/>
                    </w:rPr>
                    <w:t>（无量纲）</w:t>
                  </w:r>
                </w:p>
              </w:tc>
              <w:tc>
                <w:tcPr>
                  <w:tcW w:w="697" w:type="dxa"/>
                  <w:tcBorders>
                    <w:tl2br w:val="nil"/>
                    <w:tr2bl w:val="nil"/>
                  </w:tcBorders>
                  <w:shd w:val="clear" w:color="auto" w:fill="auto"/>
                  <w:vAlign w:val="center"/>
                </w:tcPr>
                <w:p>
                  <w:pPr>
                    <w:pStyle w:val="84"/>
                    <w:keepNext w:val="0"/>
                    <w:keepLines w:val="0"/>
                    <w:pageBreakBefore w:val="0"/>
                    <w:kinsoku/>
                    <w:wordWrap/>
                    <w:overflowPunct/>
                    <w:topLinePunct w:val="0"/>
                    <w:autoSpaceDE/>
                    <w:autoSpaceDN/>
                    <w:bidi w:val="0"/>
                    <w:adjustRightInd/>
                    <w:snapToGrid/>
                    <w:spacing w:line="240" w:lineRule="auto"/>
                    <w:jc w:val="center"/>
                    <w:rPr>
                      <w:rFonts w:hint="eastAsia"/>
                      <w:color w:val="auto"/>
                      <w:sz w:val="21"/>
                      <w:szCs w:val="21"/>
                      <w:lang w:val="en-US" w:eastAsia="zh-CN"/>
                    </w:rPr>
                  </w:pPr>
                  <w:r>
                    <w:rPr>
                      <w:rFonts w:hint="eastAsia"/>
                      <w:color w:val="auto"/>
                      <w:sz w:val="21"/>
                      <w:szCs w:val="21"/>
                      <w:lang w:val="en-US" w:eastAsia="zh-CN"/>
                    </w:rPr>
                    <w:t>达标</w:t>
                  </w:r>
                </w:p>
              </w:tc>
            </w:tr>
          </w:tbl>
          <w:p>
            <w:pPr>
              <w:pStyle w:val="83"/>
              <w:spacing w:before="120"/>
              <w:rPr>
                <w:color w:val="auto"/>
              </w:rPr>
            </w:pPr>
            <w:r>
              <w:rPr>
                <w:rFonts w:hint="eastAsia"/>
                <w:color w:val="auto"/>
              </w:rPr>
              <w:t>表4-1</w:t>
            </w:r>
            <w:r>
              <w:rPr>
                <w:rFonts w:hint="eastAsia"/>
                <w:color w:val="auto"/>
                <w:lang w:val="en-US" w:eastAsia="zh-CN"/>
              </w:rPr>
              <w:t>1</w:t>
            </w:r>
            <w:r>
              <w:rPr>
                <w:rFonts w:hint="eastAsia"/>
                <w:color w:val="auto"/>
              </w:rPr>
              <w:t xml:space="preserve">   本项目无组织废气排放情况一览表</w:t>
            </w:r>
          </w:p>
          <w:tbl>
            <w:tblPr>
              <w:tblStyle w:val="29"/>
              <w:tblW w:w="85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286"/>
              <w:gridCol w:w="2117"/>
              <w:gridCol w:w="2576"/>
              <w:gridCol w:w="8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20" w:type="dxa"/>
                  <w:vMerge w:val="restart"/>
                  <w:noWrap w:val="0"/>
                  <w:vAlign w:val="center"/>
                </w:tcPr>
                <w:p>
                  <w:pPr>
                    <w:pStyle w:val="84"/>
                    <w:rPr>
                      <w:b/>
                      <w:bCs/>
                      <w:color w:val="auto"/>
                      <w:sz w:val="21"/>
                      <w:szCs w:val="21"/>
                    </w:rPr>
                  </w:pPr>
                  <w:r>
                    <w:rPr>
                      <w:b/>
                      <w:bCs/>
                      <w:color w:val="auto"/>
                      <w:sz w:val="21"/>
                      <w:szCs w:val="21"/>
                    </w:rPr>
                    <w:t>排放方式</w:t>
                  </w:r>
                </w:p>
              </w:tc>
              <w:tc>
                <w:tcPr>
                  <w:tcW w:w="1286" w:type="dxa"/>
                  <w:vMerge w:val="restart"/>
                  <w:noWrap w:val="0"/>
                  <w:vAlign w:val="center"/>
                </w:tcPr>
                <w:p>
                  <w:pPr>
                    <w:pStyle w:val="84"/>
                    <w:rPr>
                      <w:b/>
                      <w:bCs/>
                      <w:color w:val="auto"/>
                      <w:sz w:val="21"/>
                      <w:szCs w:val="21"/>
                    </w:rPr>
                  </w:pPr>
                  <w:r>
                    <w:rPr>
                      <w:b/>
                      <w:bCs/>
                      <w:color w:val="auto"/>
                      <w:sz w:val="21"/>
                      <w:szCs w:val="21"/>
                    </w:rPr>
                    <w:t>污染物</w:t>
                  </w:r>
                </w:p>
              </w:tc>
              <w:tc>
                <w:tcPr>
                  <w:tcW w:w="2117" w:type="dxa"/>
                  <w:noWrap w:val="0"/>
                  <w:vAlign w:val="center"/>
                </w:tcPr>
                <w:p>
                  <w:pPr>
                    <w:pStyle w:val="84"/>
                    <w:rPr>
                      <w:b/>
                      <w:bCs/>
                      <w:color w:val="auto"/>
                      <w:sz w:val="21"/>
                      <w:szCs w:val="21"/>
                    </w:rPr>
                  </w:pPr>
                  <w:r>
                    <w:rPr>
                      <w:rFonts w:hint="eastAsia"/>
                      <w:b/>
                      <w:bCs/>
                      <w:color w:val="auto"/>
                      <w:sz w:val="21"/>
                      <w:szCs w:val="21"/>
                    </w:rPr>
                    <w:t>排放情况</w:t>
                  </w:r>
                </w:p>
              </w:tc>
              <w:tc>
                <w:tcPr>
                  <w:tcW w:w="2576" w:type="dxa"/>
                  <w:noWrap w:val="0"/>
                  <w:vAlign w:val="center"/>
                </w:tcPr>
                <w:p>
                  <w:pPr>
                    <w:pStyle w:val="84"/>
                    <w:rPr>
                      <w:b/>
                      <w:bCs/>
                      <w:color w:val="auto"/>
                      <w:sz w:val="21"/>
                      <w:szCs w:val="21"/>
                    </w:rPr>
                  </w:pPr>
                  <w:r>
                    <w:rPr>
                      <w:rFonts w:hint="eastAsia"/>
                      <w:b/>
                      <w:bCs/>
                      <w:color w:val="auto"/>
                      <w:sz w:val="21"/>
                      <w:szCs w:val="21"/>
                    </w:rPr>
                    <w:t>排放标准</w:t>
                  </w:r>
                </w:p>
              </w:tc>
              <w:tc>
                <w:tcPr>
                  <w:tcW w:w="817" w:type="dxa"/>
                  <w:vMerge w:val="restart"/>
                  <w:noWrap w:val="0"/>
                  <w:vAlign w:val="center"/>
                </w:tcPr>
                <w:p>
                  <w:pPr>
                    <w:pStyle w:val="84"/>
                    <w:rPr>
                      <w:b/>
                      <w:bCs/>
                      <w:color w:val="auto"/>
                      <w:sz w:val="21"/>
                      <w:szCs w:val="21"/>
                    </w:rPr>
                  </w:pPr>
                  <w:r>
                    <w:rPr>
                      <w:rFonts w:hint="eastAsia"/>
                      <w:b/>
                      <w:bCs/>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20" w:type="dxa"/>
                  <w:vMerge w:val="continue"/>
                  <w:noWrap w:val="0"/>
                  <w:vAlign w:val="center"/>
                </w:tcPr>
                <w:p>
                  <w:pPr>
                    <w:pStyle w:val="84"/>
                    <w:rPr>
                      <w:color w:val="auto"/>
                      <w:sz w:val="21"/>
                      <w:szCs w:val="21"/>
                    </w:rPr>
                  </w:pPr>
                </w:p>
              </w:tc>
              <w:tc>
                <w:tcPr>
                  <w:tcW w:w="1286" w:type="dxa"/>
                  <w:vMerge w:val="continue"/>
                  <w:noWrap w:val="0"/>
                  <w:vAlign w:val="center"/>
                </w:tcPr>
                <w:p>
                  <w:pPr>
                    <w:pStyle w:val="84"/>
                    <w:rPr>
                      <w:color w:val="auto"/>
                      <w:sz w:val="21"/>
                      <w:szCs w:val="21"/>
                    </w:rPr>
                  </w:pPr>
                </w:p>
              </w:tc>
              <w:tc>
                <w:tcPr>
                  <w:tcW w:w="2117" w:type="dxa"/>
                  <w:noWrap w:val="0"/>
                  <w:vAlign w:val="center"/>
                </w:tcPr>
                <w:p>
                  <w:pPr>
                    <w:pStyle w:val="84"/>
                    <w:rPr>
                      <w:b/>
                      <w:bCs/>
                      <w:color w:val="auto"/>
                      <w:sz w:val="21"/>
                      <w:szCs w:val="21"/>
                    </w:rPr>
                  </w:pPr>
                  <w:r>
                    <w:rPr>
                      <w:b/>
                      <w:bCs/>
                      <w:color w:val="auto"/>
                      <w:sz w:val="21"/>
                      <w:szCs w:val="21"/>
                    </w:rPr>
                    <w:t>排放浓度(mg/m</w:t>
                  </w:r>
                  <w:r>
                    <w:rPr>
                      <w:b/>
                      <w:bCs/>
                      <w:color w:val="auto"/>
                      <w:sz w:val="21"/>
                      <w:szCs w:val="21"/>
                      <w:vertAlign w:val="superscript"/>
                    </w:rPr>
                    <w:t>3</w:t>
                  </w:r>
                  <w:r>
                    <w:rPr>
                      <w:b/>
                      <w:bCs/>
                      <w:color w:val="auto"/>
                      <w:sz w:val="21"/>
                      <w:szCs w:val="21"/>
                    </w:rPr>
                    <w:t>)</w:t>
                  </w:r>
                </w:p>
              </w:tc>
              <w:tc>
                <w:tcPr>
                  <w:tcW w:w="2576" w:type="dxa"/>
                  <w:noWrap w:val="0"/>
                  <w:vAlign w:val="center"/>
                </w:tcPr>
                <w:p>
                  <w:pPr>
                    <w:pStyle w:val="84"/>
                    <w:rPr>
                      <w:b/>
                      <w:bCs/>
                      <w:color w:val="auto"/>
                      <w:sz w:val="21"/>
                      <w:szCs w:val="21"/>
                    </w:rPr>
                  </w:pPr>
                  <w:r>
                    <w:rPr>
                      <w:b/>
                      <w:bCs/>
                      <w:color w:val="auto"/>
                      <w:sz w:val="21"/>
                      <w:szCs w:val="21"/>
                    </w:rPr>
                    <w:t>排放浓度限值(mg/m</w:t>
                  </w:r>
                  <w:r>
                    <w:rPr>
                      <w:b/>
                      <w:bCs/>
                      <w:color w:val="auto"/>
                      <w:sz w:val="21"/>
                      <w:szCs w:val="21"/>
                      <w:vertAlign w:val="superscript"/>
                    </w:rPr>
                    <w:t>3</w:t>
                  </w:r>
                  <w:r>
                    <w:rPr>
                      <w:b/>
                      <w:bCs/>
                      <w:color w:val="auto"/>
                      <w:sz w:val="21"/>
                      <w:szCs w:val="21"/>
                    </w:rPr>
                    <w:t>)</w:t>
                  </w:r>
                </w:p>
              </w:tc>
              <w:tc>
                <w:tcPr>
                  <w:tcW w:w="817" w:type="dxa"/>
                  <w:vMerge w:val="continue"/>
                  <w:noWrap w:val="0"/>
                  <w:vAlign w:val="center"/>
                </w:tcPr>
                <w:p>
                  <w:pPr>
                    <w:pStyle w:val="84"/>
                    <w:rPr>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1720" w:type="dxa"/>
                  <w:vMerge w:val="restart"/>
                  <w:noWrap w:val="0"/>
                  <w:vAlign w:val="center"/>
                </w:tcPr>
                <w:p>
                  <w:pPr>
                    <w:pStyle w:val="84"/>
                    <w:rPr>
                      <w:rFonts w:hint="eastAsia"/>
                      <w:color w:val="auto"/>
                      <w:sz w:val="21"/>
                      <w:szCs w:val="21"/>
                    </w:rPr>
                  </w:pPr>
                  <w:r>
                    <w:rPr>
                      <w:rFonts w:hint="eastAsia"/>
                      <w:color w:val="auto"/>
                      <w:sz w:val="21"/>
                      <w:szCs w:val="21"/>
                    </w:rPr>
                    <w:t>无组织</w:t>
                  </w:r>
                </w:p>
              </w:tc>
              <w:tc>
                <w:tcPr>
                  <w:tcW w:w="1286" w:type="dxa"/>
                  <w:noWrap w:val="0"/>
                  <w:vAlign w:val="center"/>
                </w:tcPr>
                <w:p>
                  <w:pPr>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硫化氢</w:t>
                  </w:r>
                </w:p>
              </w:tc>
              <w:tc>
                <w:tcPr>
                  <w:tcW w:w="2117" w:type="dxa"/>
                  <w:noWrap w:val="0"/>
                  <w:vAlign w:val="center"/>
                </w:tcPr>
                <w:p>
                  <w:pPr>
                    <w:spacing w:line="240" w:lineRule="auto"/>
                    <w:jc w:val="center"/>
                    <w:rPr>
                      <w:rFonts w:hint="default"/>
                      <w:color w:val="auto"/>
                      <w:sz w:val="21"/>
                      <w:szCs w:val="21"/>
                      <w:lang w:val="en-US"/>
                    </w:rPr>
                  </w:pPr>
                  <w:r>
                    <w:rPr>
                      <w:rFonts w:hint="eastAsia"/>
                      <w:color w:val="auto"/>
                      <w:sz w:val="21"/>
                      <w:szCs w:val="21"/>
                      <w:lang w:val="en-US" w:eastAsia="zh-CN"/>
                    </w:rPr>
                    <w:t>0.01</w:t>
                  </w:r>
                </w:p>
              </w:tc>
              <w:tc>
                <w:tcPr>
                  <w:tcW w:w="2576" w:type="dxa"/>
                  <w:noWrap w:val="0"/>
                  <w:vAlign w:val="center"/>
                </w:tcPr>
                <w:p>
                  <w:pPr>
                    <w:pStyle w:val="84"/>
                    <w:ind w:firstLine="0" w:firstLineChars="0"/>
                    <w:rPr>
                      <w:color w:val="auto"/>
                      <w:sz w:val="21"/>
                      <w:szCs w:val="21"/>
                    </w:rPr>
                  </w:pPr>
                  <w:r>
                    <w:rPr>
                      <w:rFonts w:hint="eastAsia"/>
                      <w:color w:val="auto"/>
                      <w:sz w:val="21"/>
                      <w:szCs w:val="21"/>
                    </w:rPr>
                    <w:t>0.20</w:t>
                  </w:r>
                </w:p>
              </w:tc>
              <w:tc>
                <w:tcPr>
                  <w:tcW w:w="817" w:type="dxa"/>
                  <w:noWrap w:val="0"/>
                  <w:vAlign w:val="center"/>
                </w:tcPr>
                <w:p>
                  <w:pPr>
                    <w:pStyle w:val="84"/>
                    <w:rPr>
                      <w:color w:val="auto"/>
                      <w:sz w:val="21"/>
                      <w:szCs w:val="21"/>
                    </w:rPr>
                  </w:pPr>
                  <w:r>
                    <w:rPr>
                      <w:rFonts w:hint="eastAsia"/>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20" w:type="dxa"/>
                  <w:vMerge w:val="continue"/>
                  <w:noWrap w:val="0"/>
                  <w:vAlign w:val="center"/>
                </w:tcPr>
                <w:p>
                  <w:pPr>
                    <w:pStyle w:val="84"/>
                    <w:rPr>
                      <w:color w:val="auto"/>
                      <w:sz w:val="21"/>
                      <w:szCs w:val="21"/>
                    </w:rPr>
                  </w:pPr>
                </w:p>
              </w:tc>
              <w:tc>
                <w:tcPr>
                  <w:tcW w:w="1286" w:type="dxa"/>
                  <w:noWrap w:val="0"/>
                  <w:vAlign w:val="center"/>
                </w:tcPr>
                <w:p>
                  <w:pPr>
                    <w:snapToGrid w:val="0"/>
                    <w:spacing w:line="240" w:lineRule="auto"/>
                    <w:ind w:firstLine="0" w:firstLineChars="0"/>
                    <w:jc w:val="center"/>
                    <w:rPr>
                      <w:color w:val="auto"/>
                      <w:sz w:val="21"/>
                      <w:szCs w:val="21"/>
                    </w:rPr>
                  </w:pPr>
                  <w:r>
                    <w:rPr>
                      <w:rFonts w:hint="eastAsia"/>
                      <w:color w:val="auto"/>
                      <w:sz w:val="21"/>
                      <w:szCs w:val="21"/>
                      <w:lang w:val="en-US" w:eastAsia="zh-CN"/>
                    </w:rPr>
                    <w:t>氨</w:t>
                  </w:r>
                </w:p>
              </w:tc>
              <w:tc>
                <w:tcPr>
                  <w:tcW w:w="2117" w:type="dxa"/>
                  <w:noWrap w:val="0"/>
                  <w:vAlign w:val="center"/>
                </w:tcPr>
                <w:p>
                  <w:pPr>
                    <w:spacing w:line="240" w:lineRule="auto"/>
                    <w:jc w:val="center"/>
                    <w:rPr>
                      <w:rFonts w:hint="default"/>
                      <w:color w:val="auto"/>
                      <w:sz w:val="21"/>
                      <w:szCs w:val="21"/>
                      <w:lang w:val="en-US"/>
                    </w:rPr>
                  </w:pPr>
                  <w:r>
                    <w:rPr>
                      <w:rFonts w:hint="eastAsia"/>
                      <w:color w:val="auto"/>
                      <w:sz w:val="21"/>
                      <w:szCs w:val="21"/>
                      <w:lang w:val="en-US" w:eastAsia="zh-CN"/>
                    </w:rPr>
                    <w:t>0.0026</w:t>
                  </w:r>
                </w:p>
              </w:tc>
              <w:tc>
                <w:tcPr>
                  <w:tcW w:w="2576" w:type="dxa"/>
                  <w:noWrap w:val="0"/>
                  <w:vAlign w:val="center"/>
                </w:tcPr>
                <w:p>
                  <w:pPr>
                    <w:pStyle w:val="84"/>
                    <w:ind w:firstLine="0" w:firstLineChars="0"/>
                    <w:rPr>
                      <w:color w:val="auto"/>
                      <w:sz w:val="21"/>
                      <w:szCs w:val="21"/>
                    </w:rPr>
                  </w:pPr>
                  <w:r>
                    <w:rPr>
                      <w:rFonts w:hint="eastAsia"/>
                      <w:color w:val="auto"/>
                      <w:sz w:val="21"/>
                      <w:szCs w:val="21"/>
                    </w:rPr>
                    <w:t>0.02</w:t>
                  </w:r>
                </w:p>
              </w:tc>
              <w:tc>
                <w:tcPr>
                  <w:tcW w:w="817" w:type="dxa"/>
                  <w:noWrap w:val="0"/>
                  <w:vAlign w:val="center"/>
                </w:tcPr>
                <w:p>
                  <w:pPr>
                    <w:spacing w:line="240" w:lineRule="auto"/>
                    <w:jc w:val="center"/>
                    <w:rPr>
                      <w:color w:val="auto"/>
                      <w:sz w:val="21"/>
                      <w:szCs w:val="21"/>
                    </w:rPr>
                  </w:pPr>
                  <w:r>
                    <w:rPr>
                      <w:rFonts w:hint="eastAsia"/>
                      <w:color w:val="auto"/>
                      <w:sz w:val="21"/>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20" w:type="dxa"/>
                  <w:vMerge w:val="continue"/>
                  <w:noWrap w:val="0"/>
                  <w:vAlign w:val="center"/>
                </w:tcPr>
                <w:p>
                  <w:pPr>
                    <w:pStyle w:val="84"/>
                    <w:rPr>
                      <w:color w:val="auto"/>
                      <w:sz w:val="21"/>
                      <w:szCs w:val="21"/>
                    </w:rPr>
                  </w:pPr>
                </w:p>
              </w:tc>
              <w:tc>
                <w:tcPr>
                  <w:tcW w:w="1286" w:type="dxa"/>
                  <w:noWrap w:val="0"/>
                  <w:vAlign w:val="center"/>
                </w:tcPr>
                <w:p>
                  <w:pPr>
                    <w:widowControl/>
                    <w:spacing w:line="240" w:lineRule="auto"/>
                    <w:jc w:val="center"/>
                    <w:textAlignment w:val="center"/>
                    <w:rPr>
                      <w:color w:val="auto"/>
                      <w:kern w:val="0"/>
                      <w:sz w:val="21"/>
                      <w:szCs w:val="21"/>
                    </w:rPr>
                  </w:pPr>
                  <w:r>
                    <w:rPr>
                      <w:rFonts w:hint="eastAsia"/>
                      <w:color w:val="auto"/>
                      <w:kern w:val="0"/>
                      <w:sz w:val="21"/>
                      <w:szCs w:val="21"/>
                    </w:rPr>
                    <w:t>臭气浓度</w:t>
                  </w:r>
                </w:p>
              </w:tc>
              <w:tc>
                <w:tcPr>
                  <w:tcW w:w="2117" w:type="dxa"/>
                  <w:noWrap w:val="0"/>
                  <w:vAlign w:val="center"/>
                </w:tcPr>
                <w:p>
                  <w:pPr>
                    <w:pStyle w:val="84"/>
                    <w:rPr>
                      <w:color w:val="auto"/>
                      <w:sz w:val="21"/>
                      <w:szCs w:val="21"/>
                    </w:rPr>
                  </w:pPr>
                  <w:r>
                    <w:rPr>
                      <w:rFonts w:hint="eastAsia"/>
                      <w:color w:val="auto"/>
                      <w:sz w:val="21"/>
                      <w:szCs w:val="21"/>
                    </w:rPr>
                    <w:t>＜</w:t>
                  </w:r>
                  <w:r>
                    <w:rPr>
                      <w:rFonts w:hint="eastAsia"/>
                      <w:color w:val="auto"/>
                      <w:sz w:val="21"/>
                      <w:szCs w:val="21"/>
                      <w:lang w:val="en-US" w:eastAsia="zh-CN"/>
                    </w:rPr>
                    <w:t>20</w:t>
                  </w:r>
                  <w:r>
                    <w:rPr>
                      <w:color w:val="auto"/>
                      <w:sz w:val="21"/>
                      <w:szCs w:val="21"/>
                    </w:rPr>
                    <w:t>（无量纲）</w:t>
                  </w:r>
                </w:p>
              </w:tc>
              <w:tc>
                <w:tcPr>
                  <w:tcW w:w="2576" w:type="dxa"/>
                  <w:noWrap w:val="0"/>
                  <w:vAlign w:val="center"/>
                </w:tcPr>
                <w:p>
                  <w:pPr>
                    <w:pStyle w:val="84"/>
                    <w:rPr>
                      <w:color w:val="auto"/>
                      <w:sz w:val="21"/>
                      <w:szCs w:val="21"/>
                    </w:rPr>
                  </w:pPr>
                  <w:r>
                    <w:rPr>
                      <w:rFonts w:hint="eastAsia"/>
                      <w:color w:val="auto"/>
                      <w:sz w:val="21"/>
                      <w:szCs w:val="21"/>
                    </w:rPr>
                    <w:t>20</w:t>
                  </w:r>
                  <w:r>
                    <w:rPr>
                      <w:color w:val="auto"/>
                      <w:sz w:val="21"/>
                      <w:szCs w:val="21"/>
                    </w:rPr>
                    <w:t>（无量纲）</w:t>
                  </w:r>
                </w:p>
              </w:tc>
              <w:tc>
                <w:tcPr>
                  <w:tcW w:w="817" w:type="dxa"/>
                  <w:noWrap w:val="0"/>
                  <w:vAlign w:val="center"/>
                </w:tcPr>
                <w:p>
                  <w:pPr>
                    <w:pStyle w:val="84"/>
                    <w:rPr>
                      <w:color w:val="auto"/>
                      <w:sz w:val="21"/>
                      <w:szCs w:val="21"/>
                    </w:rPr>
                  </w:pPr>
                  <w:r>
                    <w:rPr>
                      <w:rFonts w:hint="eastAsia"/>
                      <w:color w:val="auto"/>
                      <w:sz w:val="21"/>
                      <w:szCs w:val="21"/>
                    </w:rPr>
                    <w:t>达标</w:t>
                  </w:r>
                </w:p>
              </w:tc>
            </w:tr>
          </w:tbl>
          <w:p>
            <w:pPr>
              <w:pStyle w:val="8"/>
              <w:bidi w:val="0"/>
              <w:rPr>
                <w:rFonts w:hint="eastAsia"/>
                <w:color w:val="auto"/>
                <w:lang w:eastAsia="zh-CN"/>
              </w:rPr>
            </w:pPr>
            <w:r>
              <w:rPr>
                <w:rFonts w:hint="eastAsia"/>
                <w:color w:val="auto"/>
              </w:rPr>
              <w:t>本项目</w:t>
            </w:r>
            <w:r>
              <w:rPr>
                <w:rFonts w:hint="eastAsia"/>
                <w:color w:val="auto"/>
                <w:lang w:eastAsia="zh-CN"/>
              </w:rPr>
              <w:t>实验过程</w:t>
            </w:r>
            <w:r>
              <w:rPr>
                <w:rFonts w:hint="eastAsia"/>
                <w:color w:val="auto"/>
              </w:rPr>
              <w:t>产生的非甲烷总烃、TRVOC</w:t>
            </w:r>
            <w:r>
              <w:rPr>
                <w:rFonts w:hint="eastAsia"/>
                <w:color w:val="auto"/>
                <w:lang w:eastAsia="zh-CN"/>
              </w:rPr>
              <w:t>、二甲苯</w:t>
            </w:r>
            <w:r>
              <w:rPr>
                <w:rFonts w:hint="eastAsia"/>
                <w:color w:val="auto"/>
                <w:lang w:val="en-US" w:eastAsia="zh-CN"/>
              </w:rPr>
              <w:t>排放浓度及排放速率满足</w:t>
            </w:r>
            <w:r>
              <w:rPr>
                <w:rFonts w:hint="eastAsia"/>
                <w:color w:val="auto"/>
              </w:rPr>
              <w:t>《工业企业挥发性有机物排放控制标准》（DB12/524-2020）</w:t>
            </w:r>
            <w:r>
              <w:rPr>
                <w:rFonts w:hint="eastAsia"/>
                <w:color w:val="auto"/>
                <w:lang w:eastAsia="zh-CN"/>
              </w:rPr>
              <w:t>的</w:t>
            </w:r>
            <w:r>
              <w:rPr>
                <w:rFonts w:hint="eastAsia"/>
                <w:color w:val="auto"/>
              </w:rPr>
              <w:t>标准限值。</w:t>
            </w:r>
            <w:r>
              <w:rPr>
                <w:rFonts w:hint="eastAsia"/>
                <w:color w:val="auto"/>
                <w:lang w:eastAsia="zh-CN"/>
              </w:rPr>
              <w:t>甲醇、氯化氢</w:t>
            </w:r>
            <w:r>
              <w:rPr>
                <w:rFonts w:hint="eastAsia"/>
                <w:color w:val="auto"/>
                <w:lang w:val="en-US" w:eastAsia="zh-CN"/>
              </w:rPr>
              <w:t>排放浓度及排放速率满足</w:t>
            </w:r>
            <w:r>
              <w:rPr>
                <w:rFonts w:hint="eastAsia"/>
                <w:color w:val="auto"/>
              </w:rPr>
              <w:t>《</w:t>
            </w:r>
            <w:r>
              <w:rPr>
                <w:rFonts w:hint="eastAsia"/>
                <w:color w:val="auto"/>
                <w:lang w:eastAsia="zh-CN"/>
              </w:rPr>
              <w:t>大气污染物综合</w:t>
            </w:r>
            <w:r>
              <w:rPr>
                <w:rFonts w:hint="eastAsia"/>
                <w:color w:val="auto"/>
              </w:rPr>
              <w:t>排放标准》（</w:t>
            </w:r>
            <w:r>
              <w:rPr>
                <w:rFonts w:hint="eastAsia"/>
                <w:color w:val="auto"/>
                <w:lang w:val="en-US" w:eastAsia="zh-CN"/>
              </w:rPr>
              <w:t>GB16297-1996</w:t>
            </w:r>
            <w:r>
              <w:rPr>
                <w:rFonts w:hint="eastAsia"/>
                <w:color w:val="auto"/>
              </w:rPr>
              <w:t>）</w:t>
            </w:r>
            <w:r>
              <w:rPr>
                <w:rFonts w:hint="eastAsia"/>
                <w:color w:val="auto"/>
                <w:lang w:eastAsia="zh-CN"/>
              </w:rPr>
              <w:t>的</w:t>
            </w:r>
            <w:r>
              <w:rPr>
                <w:rFonts w:hint="eastAsia"/>
                <w:color w:val="auto"/>
              </w:rPr>
              <w:t>标准限值。</w:t>
            </w:r>
            <w:r>
              <w:rPr>
                <w:rFonts w:hint="eastAsia"/>
                <w:color w:val="auto"/>
                <w:lang w:eastAsia="zh-CN"/>
              </w:rPr>
              <w:t>实验过程、动物饲养期间排放的</w:t>
            </w:r>
            <w:r>
              <w:rPr>
                <w:rFonts w:hint="eastAsia"/>
                <w:color w:val="auto"/>
                <w:lang w:val="en-US" w:eastAsia="zh-CN"/>
              </w:rPr>
              <w:t>臭气浓度</w:t>
            </w:r>
            <w:r>
              <w:rPr>
                <w:rFonts w:hint="eastAsia"/>
                <w:color w:val="auto"/>
                <w:lang w:eastAsia="zh-CN"/>
              </w:rPr>
              <w:t>、氨、硫化氢</w:t>
            </w:r>
            <w:r>
              <w:rPr>
                <w:rFonts w:hint="eastAsia"/>
                <w:color w:val="auto"/>
                <w:lang w:val="en-US" w:eastAsia="zh-CN"/>
              </w:rPr>
              <w:t>排放速率满足《恶臭污染物排放标准》（DB12/059-2018）</w:t>
            </w:r>
            <w:r>
              <w:rPr>
                <w:rFonts w:hint="eastAsia"/>
                <w:color w:val="auto"/>
              </w:rPr>
              <w:t>标准限值</w:t>
            </w:r>
            <w:r>
              <w:rPr>
                <w:rFonts w:hint="eastAsia"/>
                <w:color w:val="auto"/>
                <w:lang w:eastAsia="zh-CN"/>
              </w:rPr>
              <w:t>。</w:t>
            </w:r>
          </w:p>
          <w:p>
            <w:pPr>
              <w:pStyle w:val="8"/>
              <w:bidi w:val="0"/>
              <w:rPr>
                <w:rFonts w:hint="eastAsia"/>
                <w:bCs/>
                <w:color w:val="auto"/>
                <w:kern w:val="0"/>
                <w:lang w:val="en-US" w:eastAsia="zh-CN"/>
              </w:rPr>
            </w:pPr>
            <w:r>
              <w:rPr>
                <w:rFonts w:hint="eastAsia"/>
                <w:color w:val="auto"/>
                <w:lang w:val="en-US" w:eastAsia="zh-CN"/>
              </w:rPr>
              <w:t>周界无组织废气氨、硫化氢排放浓度，臭气浓度满足《恶臭污染物排放标准》（DB12/059-2018）中周界环境标准限值。</w:t>
            </w:r>
          </w:p>
          <w:p>
            <w:pPr>
              <w:pStyle w:val="8"/>
              <w:bidi w:val="0"/>
              <w:rPr>
                <w:rFonts w:hint="eastAsia" w:ascii="Times New Roman" w:hAnsi="Times New Roman" w:eastAsia="宋体" w:cs="Times New Roman"/>
                <w:b/>
                <w:bCs/>
                <w:color w:val="auto"/>
                <w:lang w:val="en-US" w:eastAsia="zh-CN"/>
              </w:rPr>
            </w:pPr>
            <w:r>
              <w:rPr>
                <w:rFonts w:hint="eastAsia" w:ascii="Times New Roman" w:hAnsi="Times New Roman" w:eastAsia="宋体" w:cs="Times New Roman"/>
                <w:b/>
                <w:bCs/>
                <w:color w:val="auto"/>
                <w:lang w:val="en-US" w:eastAsia="zh-CN"/>
              </w:rPr>
              <w:t>4.2.</w:t>
            </w:r>
            <w:r>
              <w:rPr>
                <w:rFonts w:hint="eastAsia" w:cs="Times New Roman"/>
                <w:b/>
                <w:bCs/>
                <w:color w:val="auto"/>
                <w:lang w:val="en-US" w:eastAsia="zh-CN"/>
              </w:rPr>
              <w:t>4</w:t>
            </w:r>
            <w:r>
              <w:rPr>
                <w:rFonts w:hint="eastAsia" w:ascii="Times New Roman" w:hAnsi="Times New Roman" w:eastAsia="宋体" w:cs="Times New Roman"/>
                <w:b/>
                <w:bCs/>
                <w:color w:val="auto"/>
                <w:lang w:val="en-US" w:eastAsia="zh-CN"/>
              </w:rPr>
              <w:t>排气筒高度合理性分析</w:t>
            </w:r>
          </w:p>
          <w:p>
            <w:pPr>
              <w:pStyle w:val="9"/>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rFonts w:hint="default" w:ascii="Times New Roman" w:hAnsi="Times New Roman" w:eastAsia="宋体" w:cs="Times New Roman"/>
                <w:b w:val="0"/>
                <w:bCs w:val="0"/>
                <w:caps w:val="0"/>
                <w:color w:val="auto"/>
                <w:kern w:val="2"/>
                <w:sz w:val="24"/>
                <w:szCs w:val="24"/>
                <w:lang w:val="en-US" w:eastAsia="zh-CN" w:bidi="ar-SA"/>
              </w:rPr>
            </w:pPr>
            <w:r>
              <w:rPr>
                <w:rFonts w:hint="default" w:ascii="Times New Roman" w:hAnsi="Times New Roman" w:eastAsia="宋体" w:cs="Times New Roman"/>
                <w:b w:val="0"/>
                <w:bCs w:val="0"/>
                <w:caps w:val="0"/>
                <w:color w:val="auto"/>
                <w:kern w:val="2"/>
                <w:sz w:val="24"/>
                <w:szCs w:val="24"/>
                <w:lang w:val="en-US" w:eastAsia="zh-CN" w:bidi="ar-SA"/>
              </w:rPr>
              <w:t>根据《大气污染物综合排放标准》(GB16297-1996) 新污染源的排气筒一般不应低于15m</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还应高出周围200m半径范围的建筑5m以上</w:t>
            </w:r>
            <w:r>
              <w:rPr>
                <w:rFonts w:hint="eastAsia" w:ascii="Times New Roman" w:hAnsi="Times New Roman"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不能达到该要求的排气筒，应按其高度对应的表列排放速率标准值严格50%执行。</w:t>
            </w:r>
            <w:r>
              <w:rPr>
                <w:rFonts w:hint="eastAsia" w:ascii="Times New Roman" w:hAnsi="Times New Roman" w:cs="Times New Roman"/>
                <w:b w:val="0"/>
                <w:bCs w:val="0"/>
                <w:caps w:val="0"/>
                <w:color w:val="auto"/>
                <w:kern w:val="2"/>
                <w:sz w:val="24"/>
                <w:szCs w:val="24"/>
                <w:lang w:val="en-US" w:eastAsia="zh-CN" w:bidi="ar-SA"/>
              </w:rPr>
              <w:t>根据</w:t>
            </w:r>
            <w:r>
              <w:rPr>
                <w:rFonts w:hint="default" w:ascii="Times New Roman" w:hAnsi="Times New Roman" w:eastAsia="宋体" w:cs="Times New Roman"/>
                <w:b w:val="0"/>
                <w:bCs w:val="0"/>
                <w:caps w:val="0"/>
                <w:color w:val="auto"/>
                <w:kern w:val="2"/>
                <w:sz w:val="24"/>
                <w:szCs w:val="24"/>
                <w:lang w:val="en-US" w:eastAsia="zh-CN" w:bidi="ar-SA"/>
              </w:rPr>
              <w:t>《工业企业挥发性有机物排放控制标准》（DB12/524-2020）</w:t>
            </w:r>
            <w:r>
              <w:rPr>
                <w:rFonts w:hint="eastAsia" w:ascii="Times New Roman" w:hAnsi="Times New Roman" w:cs="Times New Roman"/>
                <w:b w:val="0"/>
                <w:bCs w:val="0"/>
                <w:caps w:val="0"/>
                <w:color w:val="auto"/>
                <w:kern w:val="2"/>
                <w:sz w:val="24"/>
                <w:szCs w:val="24"/>
                <w:lang w:val="en-US" w:eastAsia="zh-CN" w:bidi="ar-SA"/>
              </w:rPr>
              <w:t>排气筒高度</w:t>
            </w:r>
            <w:r>
              <w:rPr>
                <w:rFonts w:hint="default" w:ascii="Times New Roman" w:hAnsi="Times New Roman" w:eastAsia="宋体" w:cs="Times New Roman"/>
                <w:b w:val="0"/>
                <w:bCs w:val="0"/>
                <w:caps w:val="0"/>
                <w:color w:val="auto"/>
                <w:kern w:val="2"/>
                <w:sz w:val="24"/>
                <w:szCs w:val="24"/>
                <w:lang w:val="en-US" w:eastAsia="zh-CN" w:bidi="ar-SA"/>
              </w:rPr>
              <w:t>不低于15m</w:t>
            </w:r>
            <w:r>
              <w:rPr>
                <w:rFonts w:hint="eastAsia" w:ascii="Times New Roman" w:hAnsi="Times New Roman" w:eastAsia="宋体" w:cs="Times New Roman"/>
                <w:b w:val="0"/>
                <w:bCs w:val="0"/>
                <w:caps w:val="0"/>
                <w:color w:val="auto"/>
                <w:kern w:val="2"/>
                <w:sz w:val="24"/>
                <w:szCs w:val="24"/>
                <w:lang w:val="en-US" w:eastAsia="zh-CN" w:bidi="ar-SA"/>
              </w:rPr>
              <w:t>（因安全考虑或有特殊工艺要求的除外），相应排放高度和具体控制要求应根据环境影响评价文件确定。</w:t>
            </w:r>
          </w:p>
          <w:p>
            <w:pPr>
              <w:pStyle w:val="9"/>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rFonts w:hint="eastAsia" w:ascii="Times New Roman" w:hAnsi="Times New Roman" w:cs="Times New Roman"/>
                <w:b w:val="0"/>
                <w:bCs w:val="0"/>
                <w:caps w:val="0"/>
                <w:color w:val="auto"/>
                <w:kern w:val="2"/>
                <w:sz w:val="24"/>
                <w:szCs w:val="24"/>
                <w:lang w:val="en-US" w:eastAsia="zh-CN" w:bidi="ar-SA"/>
              </w:rPr>
            </w:pPr>
            <w:r>
              <w:rPr>
                <w:rFonts w:hint="default" w:ascii="Times New Roman" w:hAnsi="Times New Roman" w:eastAsia="宋体" w:cs="Times New Roman"/>
                <w:b w:val="0"/>
                <w:bCs w:val="0"/>
                <w:caps w:val="0"/>
                <w:color w:val="auto"/>
                <w:kern w:val="2"/>
                <w:sz w:val="24"/>
                <w:szCs w:val="24"/>
                <w:lang w:val="en-US" w:eastAsia="zh-CN" w:bidi="ar-SA"/>
              </w:rPr>
              <w:t>本项目所在建筑物高度约为</w:t>
            </w:r>
            <w:r>
              <w:rPr>
                <w:rFonts w:hint="eastAsia" w:ascii="Times New Roman" w:hAnsi="Times New Roman" w:cs="Times New Roman"/>
                <w:b w:val="0"/>
                <w:bCs w:val="0"/>
                <w:caps w:val="0"/>
                <w:color w:val="auto"/>
                <w:kern w:val="2"/>
                <w:sz w:val="24"/>
                <w:szCs w:val="24"/>
                <w:lang w:val="en-US" w:eastAsia="zh-CN" w:bidi="ar-SA"/>
              </w:rPr>
              <w:t>17</w:t>
            </w:r>
            <w:r>
              <w:rPr>
                <w:rFonts w:hint="default" w:ascii="Times New Roman" w:hAnsi="Times New Roman" w:eastAsia="宋体" w:cs="Times New Roman"/>
                <w:b w:val="0"/>
                <w:bCs w:val="0"/>
                <w:caps w:val="0"/>
                <w:color w:val="auto"/>
                <w:kern w:val="2"/>
                <w:sz w:val="24"/>
                <w:szCs w:val="24"/>
                <w:lang w:val="en-US" w:eastAsia="zh-CN" w:bidi="ar-SA"/>
              </w:rPr>
              <w:t>m</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考虑到该建筑物楼顶承重要求及排气简结构的安全可靠性，本项目排气筒在楼顶建设高度设置为</w:t>
            </w:r>
            <w:r>
              <w:rPr>
                <w:rFonts w:hint="eastAsia" w:ascii="Times New Roman" w:hAnsi="Times New Roman" w:cs="Times New Roman"/>
                <w:b w:val="0"/>
                <w:bCs w:val="0"/>
                <w:caps w:val="0"/>
                <w:color w:val="auto"/>
                <w:kern w:val="2"/>
                <w:sz w:val="24"/>
                <w:szCs w:val="24"/>
                <w:lang w:val="en-US" w:eastAsia="zh-CN" w:bidi="ar-SA"/>
              </w:rPr>
              <w:t>3</w:t>
            </w:r>
            <w:r>
              <w:rPr>
                <w:rFonts w:hint="default" w:ascii="Times New Roman" w:hAnsi="Times New Roman" w:eastAsia="宋体" w:cs="Times New Roman"/>
                <w:b w:val="0"/>
                <w:bCs w:val="0"/>
                <w:caps w:val="0"/>
                <w:color w:val="auto"/>
                <w:kern w:val="2"/>
                <w:sz w:val="24"/>
                <w:szCs w:val="24"/>
                <w:lang w:val="en-US" w:eastAsia="zh-CN" w:bidi="ar-SA"/>
              </w:rPr>
              <w:t>m</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总高度约</w:t>
            </w:r>
            <w:r>
              <w:rPr>
                <w:rFonts w:hint="eastAsia" w:ascii="Times New Roman" w:hAnsi="Times New Roman" w:cs="Times New Roman"/>
                <w:b w:val="0"/>
                <w:bCs w:val="0"/>
                <w:caps w:val="0"/>
                <w:color w:val="auto"/>
                <w:kern w:val="2"/>
                <w:sz w:val="24"/>
                <w:szCs w:val="24"/>
                <w:lang w:val="en-US" w:eastAsia="zh-CN" w:bidi="ar-SA"/>
              </w:rPr>
              <w:t>20</w:t>
            </w:r>
            <w:r>
              <w:rPr>
                <w:rFonts w:hint="default" w:ascii="Times New Roman" w:hAnsi="Times New Roman" w:eastAsia="宋体" w:cs="Times New Roman"/>
                <w:b w:val="0"/>
                <w:bCs w:val="0"/>
                <w:caps w:val="0"/>
                <w:color w:val="auto"/>
                <w:kern w:val="2"/>
                <w:sz w:val="24"/>
                <w:szCs w:val="24"/>
                <w:lang w:val="en-US" w:eastAsia="zh-CN" w:bidi="ar-SA"/>
              </w:rPr>
              <w:t>m</w:t>
            </w:r>
            <w:r>
              <w:rPr>
                <w:rFonts w:hint="eastAsia" w:ascii="Times New Roman" w:hAnsi="Times New Roman" w:eastAsia="宋体" w:cs="Times New Roman"/>
                <w:b w:val="0"/>
                <w:bCs w:val="0"/>
                <w:caps w:val="0"/>
                <w:color w:val="auto"/>
                <w:kern w:val="2"/>
                <w:sz w:val="24"/>
                <w:szCs w:val="24"/>
                <w:lang w:val="en-US" w:eastAsia="zh-CN" w:bidi="ar-SA"/>
              </w:rPr>
              <w:t>，</w:t>
            </w:r>
            <w:r>
              <w:rPr>
                <w:rFonts w:hint="eastAsia" w:ascii="Times New Roman" w:hAnsi="Times New Roman" w:cs="Times New Roman"/>
                <w:b w:val="0"/>
                <w:bCs w:val="0"/>
                <w:caps w:val="0"/>
                <w:color w:val="auto"/>
                <w:kern w:val="2"/>
                <w:sz w:val="24"/>
                <w:szCs w:val="24"/>
                <w:lang w:val="en-US" w:eastAsia="zh-CN" w:bidi="ar-SA"/>
              </w:rPr>
              <w:t>满足</w:t>
            </w:r>
            <w:r>
              <w:rPr>
                <w:rFonts w:hint="default" w:ascii="Times New Roman" w:hAnsi="Times New Roman" w:eastAsia="宋体" w:cs="Times New Roman"/>
                <w:b w:val="0"/>
                <w:bCs w:val="0"/>
                <w:caps w:val="0"/>
                <w:color w:val="auto"/>
                <w:kern w:val="2"/>
                <w:sz w:val="24"/>
                <w:szCs w:val="24"/>
                <w:lang w:val="en-US" w:eastAsia="zh-CN" w:bidi="ar-SA"/>
              </w:rPr>
              <w:t>《工业企业挥发性有机物排放控制标准》（DB12/524-2020）</w:t>
            </w:r>
            <w:r>
              <w:rPr>
                <w:rFonts w:hint="eastAsia" w:ascii="Times New Roman" w:hAnsi="Times New Roman" w:cs="Times New Roman"/>
                <w:b w:val="0"/>
                <w:bCs w:val="0"/>
                <w:caps w:val="0"/>
                <w:color w:val="auto"/>
                <w:kern w:val="2"/>
                <w:sz w:val="24"/>
                <w:szCs w:val="24"/>
                <w:lang w:val="en-US" w:eastAsia="zh-CN" w:bidi="ar-SA"/>
              </w:rPr>
              <w:t>中相关要求。</w:t>
            </w:r>
          </w:p>
          <w:p>
            <w:pPr>
              <w:pStyle w:val="9"/>
              <w:keepNext w:val="0"/>
              <w:keepLines w:val="0"/>
              <w:pageBreakBefore w:val="0"/>
              <w:widowControl w:val="0"/>
              <w:kinsoku/>
              <w:wordWrap/>
              <w:overflowPunct/>
              <w:topLinePunct w:val="0"/>
              <w:autoSpaceDE/>
              <w:autoSpaceDN/>
              <w:bidi w:val="0"/>
              <w:adjustRightInd/>
              <w:snapToGrid/>
              <w:spacing w:before="0" w:after="0"/>
              <w:ind w:firstLine="480" w:firstLineChars="200"/>
              <w:textAlignment w:val="auto"/>
              <w:rPr>
                <w:rFonts w:hint="default" w:ascii="Times New Roman" w:hAnsi="Times New Roman" w:eastAsia="宋体" w:cs="Times New Roman"/>
                <w:b w:val="0"/>
                <w:bCs w:val="0"/>
                <w:caps w:val="0"/>
                <w:color w:val="auto"/>
                <w:kern w:val="2"/>
                <w:sz w:val="24"/>
                <w:szCs w:val="24"/>
                <w:lang w:val="en-US" w:eastAsia="zh-CN" w:bidi="ar-SA"/>
              </w:rPr>
            </w:pPr>
            <w:r>
              <w:rPr>
                <w:rFonts w:hint="default" w:ascii="Times New Roman" w:hAnsi="Times New Roman" w:eastAsia="宋体" w:cs="Times New Roman"/>
                <w:b w:val="0"/>
                <w:bCs w:val="0"/>
                <w:caps w:val="0"/>
                <w:color w:val="auto"/>
                <w:kern w:val="2"/>
                <w:sz w:val="24"/>
                <w:szCs w:val="24"/>
                <w:lang w:val="en-US" w:eastAsia="zh-CN" w:bidi="ar-SA"/>
              </w:rPr>
              <w:t>本项目排气筒周围半径200m范围内最高建筑物为三五互联网科技园1号楼，高度约为60m，排气筒高度不满足</w:t>
            </w:r>
            <w:r>
              <w:rPr>
                <w:rFonts w:hint="eastAsia" w:ascii="Times New Roman" w:hAnsi="Times New Roman"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高出周围200m半径范围的建筑5m以上</w:t>
            </w:r>
            <w:r>
              <w:rPr>
                <w:rFonts w:hint="eastAsia" w:ascii="Times New Roman" w:hAnsi="Times New Roman"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的要求。因此</w:t>
            </w:r>
            <w:r>
              <w:rPr>
                <w:rFonts w:hint="eastAsia" w:ascii="Times New Roman" w:hAnsi="Times New Roman" w:eastAsia="宋体"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根据《大气污染物综合排放标准》(GB16297-1996) 本项目排气筒排放的氯化氢、甲醇的排放速率按其高度对应标准值严格50%执行。</w:t>
            </w:r>
          </w:p>
          <w:p>
            <w:pPr>
              <w:pStyle w:val="8"/>
              <w:bidi w:val="0"/>
              <w:rPr>
                <w:rFonts w:hint="eastAsia"/>
                <w:b/>
                <w:bCs/>
                <w:color w:val="auto"/>
                <w:lang w:val="en-US" w:eastAsia="zh-CN"/>
              </w:rPr>
            </w:pPr>
            <w:r>
              <w:rPr>
                <w:rFonts w:hint="eastAsia"/>
                <w:b/>
                <w:bCs/>
                <w:color w:val="auto"/>
                <w:lang w:val="en-US" w:eastAsia="zh-CN"/>
              </w:rPr>
              <w:t>4.2.5废气治理措施可行性分析</w:t>
            </w:r>
          </w:p>
          <w:p>
            <w:pPr>
              <w:pStyle w:val="8"/>
              <w:ind w:firstLine="480"/>
              <w:rPr>
                <w:rFonts w:hint="eastAsia" w:eastAsia="宋体"/>
                <w:color w:val="auto"/>
                <w:lang w:eastAsia="zh-CN"/>
              </w:rPr>
            </w:pPr>
            <w:r>
              <w:rPr>
                <w:color w:val="auto"/>
              </w:rPr>
              <w:t>活性炭具有疏水性，对有机溶剂有较高的吸附效率，常被用来作为吸附烷烃、烯烃、芳香烃、酮、醛、氯代烃、酯以及挥发性有机化合物（TRVOC）的吸附剂</w:t>
            </w:r>
            <w:r>
              <w:rPr>
                <w:rFonts w:hint="eastAsia"/>
                <w:color w:val="auto"/>
                <w:lang w:eastAsia="zh-CN"/>
              </w:rPr>
              <w:t>。</w:t>
            </w:r>
          </w:p>
          <w:p>
            <w:pPr>
              <w:pStyle w:val="8"/>
              <w:ind w:left="0" w:leftChars="0" w:firstLine="0" w:firstLineChars="0"/>
              <w:rPr>
                <w:color w:val="auto"/>
              </w:rPr>
            </w:pPr>
            <w:r>
              <w:rPr>
                <w:rFonts w:hint="eastAsia"/>
                <w:color w:val="auto"/>
              </w:rPr>
              <w:t>对空气中臭气的吸附</w:t>
            </w:r>
            <w:r>
              <w:rPr>
                <w:rFonts w:hint="eastAsia"/>
                <w:color w:val="auto"/>
                <w:lang w:eastAsia="zh-CN"/>
              </w:rPr>
              <w:t>也</w:t>
            </w:r>
            <w:r>
              <w:rPr>
                <w:rFonts w:hint="eastAsia"/>
                <w:color w:val="auto"/>
              </w:rPr>
              <w:t>以活性炭吸附效果最好。活性炭吸附剂对恶臭物质有较大的平衡吸附量，对多种恶臭气体有吸附能力，所以防毒面具中也多用活性炭作吸附剂。利用活性炭作为吸附剂脱臭，称活性炭脱臭法。</w:t>
            </w:r>
            <w:r>
              <w:rPr>
                <w:color w:val="auto"/>
              </w:rPr>
              <w:t>活性炭吸附装置的组成主要由箱体、滤料层，进出口管、风机组成。废气由底部进风口进入塔内，穿过滤层，废气中有害成分被滤层吸附后，净化后的气体由上部排气口排出。</w:t>
            </w:r>
          </w:p>
          <w:p>
            <w:pPr>
              <w:pStyle w:val="8"/>
              <w:ind w:firstLine="480"/>
              <w:rPr>
                <w:color w:val="auto"/>
              </w:rPr>
            </w:pPr>
            <w:r>
              <w:rPr>
                <w:rFonts w:hint="eastAsia"/>
                <w:color w:val="auto"/>
              </w:rPr>
              <w:t>由于本项目产生的挥发性有机物浓度较低，结合实际本工程采取活性炭吸附装置处理挥发性有机物，符合《挥发性有机物（VOCs）污染防治技术政策》推荐的末端治理要求。本项目采用的活性炭吸附为《环境工程技术手册：废气处理工程技术手册》（化学工业出版社）中“恶臭治理”的可行技术，工程实例能够达到相应的处理效率，且废气治理措施能满足有组织排放要求，</w:t>
            </w:r>
            <w:r>
              <w:rPr>
                <w:rFonts w:hint="eastAsia"/>
                <w:color w:val="auto"/>
                <w:lang w:eastAsia="zh-CN"/>
              </w:rPr>
              <w:t>属于可行性污染治理技术</w:t>
            </w:r>
            <w:r>
              <w:rPr>
                <w:rFonts w:hint="eastAsia"/>
                <w:color w:val="auto"/>
              </w:rPr>
              <w:t>。</w:t>
            </w:r>
          </w:p>
          <w:p>
            <w:pPr>
              <w:pStyle w:val="8"/>
              <w:ind w:firstLine="480"/>
              <w:rPr>
                <w:rFonts w:hint="eastAsia"/>
                <w:color w:val="auto"/>
              </w:rPr>
            </w:pPr>
            <w:r>
              <w:rPr>
                <w:rFonts w:hint="eastAsia"/>
                <w:color w:val="auto"/>
              </w:rPr>
              <w:t>本项目活性炭吸附装置</w:t>
            </w:r>
            <w:r>
              <w:rPr>
                <w:color w:val="auto"/>
              </w:rPr>
              <w:t>利用活性炭作为吸附材料制作活性炭吸附箱对</w:t>
            </w:r>
            <w:r>
              <w:rPr>
                <w:rFonts w:hint="eastAsia"/>
                <w:color w:val="auto"/>
                <w:lang w:eastAsia="zh-CN"/>
              </w:rPr>
              <w:t>废气</w:t>
            </w:r>
            <w:r>
              <w:rPr>
                <w:color w:val="auto"/>
              </w:rPr>
              <w:t>进行处理</w:t>
            </w:r>
            <w:r>
              <w:rPr>
                <w:rFonts w:hint="eastAsia"/>
                <w:color w:val="auto"/>
                <w:lang w:eastAsia="zh-CN"/>
              </w:rPr>
              <w:t>，</w:t>
            </w:r>
            <w:r>
              <w:rPr>
                <w:rFonts w:hint="eastAsia"/>
                <w:color w:val="auto"/>
              </w:rPr>
              <w:t>活性炭箱装填蜂窝状活性炭</w:t>
            </w:r>
            <w:r>
              <w:rPr>
                <w:rFonts w:hint="eastAsia"/>
                <w:color w:val="auto"/>
                <w:lang w:eastAsia="zh-CN"/>
              </w:rPr>
              <w:t>，</w:t>
            </w:r>
            <w:r>
              <w:rPr>
                <w:rFonts w:hint="eastAsia"/>
                <w:color w:val="auto"/>
              </w:rPr>
              <w:t>根据《吸附法工业有机废气治理工程技术规范》（</w:t>
            </w:r>
            <w:r>
              <w:rPr>
                <w:color w:val="auto"/>
              </w:rPr>
              <w:t>HJ2026-2013</w:t>
            </w:r>
            <w:r>
              <w:rPr>
                <w:rFonts w:hint="eastAsia"/>
                <w:color w:val="auto"/>
              </w:rPr>
              <w:t>）</w:t>
            </w:r>
            <w:r>
              <w:rPr>
                <w:rFonts w:hint="eastAsia"/>
                <w:color w:val="auto"/>
                <w:lang w:eastAsia="zh-CN"/>
              </w:rPr>
              <w:t>，</w:t>
            </w:r>
            <w:r>
              <w:rPr>
                <w:color w:val="auto"/>
              </w:rPr>
              <w:t>碘值不低于800mg/g</w:t>
            </w:r>
            <w:r>
              <w:rPr>
                <w:rFonts w:hint="eastAsia"/>
                <w:color w:val="auto"/>
              </w:rPr>
              <w:t>，横向强度应不低于0.3MPa，纵向强度应不低于0.8MPa，蜂窝活性炭的BET比表面积应不低于750</w:t>
            </w:r>
            <w:r>
              <w:rPr>
                <w:color w:val="auto"/>
              </w:rPr>
              <w:t>m</w:t>
            </w:r>
            <w:r>
              <w:rPr>
                <w:rFonts w:hint="eastAsia"/>
                <w:color w:val="auto"/>
                <w:vertAlign w:val="superscript"/>
              </w:rPr>
              <w:t>2</w:t>
            </w:r>
            <w:r>
              <w:rPr>
                <w:color w:val="auto"/>
              </w:rPr>
              <w:t>/g</w:t>
            </w:r>
            <w:r>
              <w:rPr>
                <w:rFonts w:hint="eastAsia"/>
                <w:color w:val="auto"/>
              </w:rPr>
              <w:t>，活性炭接触时间0.5~2s</w:t>
            </w:r>
            <w:r>
              <w:rPr>
                <w:rFonts w:hint="eastAsia"/>
                <w:color w:val="auto"/>
                <w:lang w:eastAsia="zh-CN"/>
              </w:rPr>
              <w:t>，</w:t>
            </w:r>
            <w:r>
              <w:rPr>
                <w:rFonts w:hint="eastAsia"/>
                <w:color w:val="auto"/>
              </w:rPr>
              <w:t>蜂窝活性炭气体流速宜低于1</w:t>
            </w:r>
            <w:r>
              <w:rPr>
                <w:rFonts w:hint="eastAsia"/>
                <w:color w:val="auto"/>
                <w:lang w:val="en-US" w:eastAsia="zh-CN"/>
              </w:rPr>
              <w:t>.</w:t>
            </w:r>
            <w:r>
              <w:rPr>
                <w:rFonts w:hint="eastAsia"/>
                <w:color w:val="auto"/>
              </w:rPr>
              <w:t>2m/s</w:t>
            </w:r>
            <w:r>
              <w:rPr>
                <w:rFonts w:hint="eastAsia"/>
                <w:color w:val="auto"/>
                <w:lang w:eastAsia="zh-CN"/>
              </w:rPr>
              <w:t>。</w:t>
            </w:r>
          </w:p>
          <w:p>
            <w:pPr>
              <w:pStyle w:val="8"/>
              <w:ind w:firstLine="480"/>
              <w:rPr>
                <w:rFonts w:hint="eastAsia"/>
                <w:color w:val="auto"/>
              </w:rPr>
            </w:pPr>
            <w:r>
              <w:rPr>
                <w:rFonts w:hint="eastAsia"/>
                <w:color w:val="auto"/>
              </w:rPr>
              <w:t>本项目TRVOC、非甲烷总烃产生量约为</w:t>
            </w:r>
            <w:r>
              <w:rPr>
                <w:rFonts w:hint="eastAsia"/>
                <w:color w:val="auto"/>
                <w:lang w:val="en-US" w:eastAsia="zh-CN"/>
              </w:rPr>
              <w:t>495.3kg</w:t>
            </w:r>
            <w:r>
              <w:rPr>
                <w:rFonts w:hint="eastAsia"/>
                <w:color w:val="auto"/>
              </w:rPr>
              <w:t>/a，</w:t>
            </w:r>
            <w:r>
              <w:rPr>
                <w:rFonts w:hint="eastAsia"/>
                <w:color w:val="auto"/>
                <w:lang w:val="en-US" w:eastAsia="zh-CN"/>
              </w:rPr>
              <w:t>收集效率为100%，</w:t>
            </w:r>
            <w:r>
              <w:rPr>
                <w:rFonts w:hint="eastAsia"/>
                <w:color w:val="auto"/>
              </w:rPr>
              <w:t>活性炭净化效率</w:t>
            </w:r>
            <w:r>
              <w:rPr>
                <w:rFonts w:hint="eastAsia"/>
                <w:color w:val="auto"/>
                <w:lang w:eastAsia="zh-CN"/>
              </w:rPr>
              <w:t>按</w:t>
            </w:r>
            <w:r>
              <w:rPr>
                <w:rFonts w:hint="eastAsia"/>
                <w:color w:val="auto"/>
                <w:lang w:val="en-US" w:eastAsia="zh-CN"/>
              </w:rPr>
              <w:t>60</w:t>
            </w:r>
            <w:r>
              <w:rPr>
                <w:rFonts w:hint="eastAsia"/>
                <w:color w:val="auto"/>
              </w:rPr>
              <w:t>%</w:t>
            </w:r>
            <w:r>
              <w:rPr>
                <w:rFonts w:hint="eastAsia"/>
                <w:color w:val="auto"/>
                <w:lang w:eastAsia="zh-CN"/>
              </w:rPr>
              <w:t>计</w:t>
            </w:r>
            <w:r>
              <w:rPr>
                <w:rFonts w:hint="eastAsia"/>
                <w:color w:val="auto"/>
              </w:rPr>
              <w:t>，本项目需经活性炭吸附有机废气量约为</w:t>
            </w:r>
            <w:r>
              <w:rPr>
                <w:rFonts w:hint="eastAsia"/>
                <w:color w:val="auto"/>
                <w:lang w:val="en-US" w:eastAsia="zh-CN"/>
              </w:rPr>
              <w:t>297.18kg</w:t>
            </w:r>
            <w:r>
              <w:rPr>
                <w:rFonts w:hint="eastAsia"/>
                <w:color w:val="auto"/>
              </w:rPr>
              <w:t>/a，</w:t>
            </w:r>
            <w:r>
              <w:rPr>
                <w:rFonts w:hint="eastAsia"/>
                <w:color w:val="auto"/>
                <w:lang w:val="en-US" w:eastAsia="zh-CN"/>
              </w:rPr>
              <w:t>活性炭吸附能力一般按照0.1kg有机废气/kg活性炭计算</w:t>
            </w:r>
            <w:r>
              <w:rPr>
                <w:rFonts w:hint="eastAsia"/>
                <w:color w:val="auto"/>
              </w:rPr>
              <w:t>，则需要</w:t>
            </w:r>
            <w:r>
              <w:rPr>
                <w:rFonts w:hint="eastAsia"/>
                <w:color w:val="auto"/>
                <w:lang w:val="en-US" w:eastAsia="zh-CN"/>
              </w:rPr>
              <w:t>2971.8kg</w:t>
            </w:r>
            <w:r>
              <w:rPr>
                <w:rFonts w:hint="eastAsia"/>
                <w:color w:val="auto"/>
              </w:rPr>
              <w:t>/a活性炭才能够完全吸附。</w:t>
            </w:r>
          </w:p>
          <w:p>
            <w:pPr>
              <w:pStyle w:val="8"/>
              <w:ind w:firstLine="480"/>
              <w:rPr>
                <w:rFonts w:hint="eastAsia" w:eastAsia="宋体"/>
                <w:color w:val="auto"/>
                <w:lang w:val="en-US" w:eastAsia="zh-CN"/>
              </w:rPr>
            </w:pPr>
            <w:r>
              <w:rPr>
                <w:color w:val="auto"/>
              </w:rPr>
              <w:t>本项目</w:t>
            </w:r>
            <w:r>
              <w:rPr>
                <w:rFonts w:hint="eastAsia"/>
                <w:color w:val="auto"/>
              </w:rPr>
              <w:t>拟设置</w:t>
            </w:r>
            <w:r>
              <w:rPr>
                <w:rFonts w:hint="eastAsia"/>
                <w:color w:val="auto"/>
                <w:lang w:val="en-US" w:eastAsia="zh-CN"/>
              </w:rPr>
              <w:t>1</w:t>
            </w:r>
            <w:r>
              <w:rPr>
                <w:rFonts w:hint="eastAsia"/>
                <w:color w:val="auto"/>
              </w:rPr>
              <w:t>个</w:t>
            </w:r>
            <w:r>
              <w:rPr>
                <w:color w:val="auto"/>
              </w:rPr>
              <w:t>活性炭吸附装置</w:t>
            </w:r>
            <w:r>
              <w:rPr>
                <w:rFonts w:hint="eastAsia"/>
                <w:color w:val="auto"/>
                <w:lang w:eastAsia="zh-CN"/>
              </w:rPr>
              <w:t>，</w:t>
            </w:r>
            <w:r>
              <w:rPr>
                <w:rFonts w:hint="eastAsia"/>
                <w:color w:val="auto"/>
              </w:rPr>
              <w:t>活性炭箱截面积为2m</w:t>
            </w:r>
            <w:r>
              <w:rPr>
                <w:rFonts w:hint="eastAsia"/>
                <w:color w:val="auto"/>
                <w:vertAlign w:val="superscript"/>
                <w:lang w:val="en-US" w:eastAsia="zh-CN"/>
              </w:rPr>
              <w:t>2</w:t>
            </w:r>
            <w:r>
              <w:rPr>
                <w:rFonts w:hint="eastAsia"/>
                <w:color w:val="auto"/>
              </w:rPr>
              <w:t>，活性炭箱装填高度为</w:t>
            </w:r>
            <w:r>
              <w:rPr>
                <w:rFonts w:hint="eastAsia"/>
                <w:color w:val="auto"/>
                <w:lang w:val="en-US" w:eastAsia="zh-CN"/>
              </w:rPr>
              <w:t>0.9</w:t>
            </w:r>
            <w:r>
              <w:rPr>
                <w:rFonts w:hint="eastAsia"/>
                <w:color w:val="auto"/>
              </w:rPr>
              <w:t>m，活性炭箱填充量为</w:t>
            </w:r>
            <w:r>
              <w:rPr>
                <w:rFonts w:hint="eastAsia"/>
                <w:color w:val="auto"/>
                <w:lang w:val="en-US" w:eastAsia="zh-CN"/>
              </w:rPr>
              <w:t>2.4</w:t>
            </w:r>
            <w:r>
              <w:rPr>
                <w:rFonts w:hint="eastAsia"/>
                <w:color w:val="auto"/>
              </w:rPr>
              <w:t>m</w:t>
            </w:r>
            <w:r>
              <w:rPr>
                <w:rFonts w:hint="eastAsia"/>
                <w:color w:val="auto"/>
                <w:vertAlign w:val="superscript"/>
                <w:lang w:val="en-US" w:eastAsia="zh-CN"/>
              </w:rPr>
              <w:t>3</w:t>
            </w:r>
            <w:r>
              <w:rPr>
                <w:rFonts w:hint="eastAsia"/>
                <w:color w:val="auto"/>
              </w:rPr>
              <w:t>，蜂窝活性炭密度为450kg/m</w:t>
            </w:r>
            <w:r>
              <w:rPr>
                <w:rFonts w:hint="eastAsia"/>
                <w:color w:val="auto"/>
                <w:vertAlign w:val="superscript"/>
                <w:lang w:val="en-US" w:eastAsia="zh-CN"/>
              </w:rPr>
              <w:t>3</w:t>
            </w:r>
            <w:r>
              <w:rPr>
                <w:rFonts w:hint="eastAsia"/>
                <w:color w:val="auto"/>
              </w:rPr>
              <w:t>，活性炭箱填充重量为</w:t>
            </w:r>
            <w:r>
              <w:rPr>
                <w:rFonts w:hint="eastAsia"/>
                <w:color w:val="auto"/>
                <w:lang w:val="en-US" w:eastAsia="zh-CN"/>
              </w:rPr>
              <w:t>0.81</w:t>
            </w:r>
            <w:r>
              <w:rPr>
                <w:rFonts w:hint="eastAsia"/>
                <w:color w:val="auto"/>
              </w:rPr>
              <w:t>t，</w:t>
            </w:r>
            <w:r>
              <w:rPr>
                <w:color w:val="auto"/>
              </w:rPr>
              <w:t>为保证活性炭吸附的高效性，本</w:t>
            </w:r>
            <w:r>
              <w:rPr>
                <w:rFonts w:hint="eastAsia"/>
                <w:color w:val="auto"/>
              </w:rPr>
              <w:t>项目</w:t>
            </w:r>
            <w:r>
              <w:rPr>
                <w:rFonts w:hint="eastAsia"/>
                <w:color w:val="auto"/>
                <w:lang w:eastAsia="zh-CN"/>
              </w:rPr>
              <w:t>三个月</w:t>
            </w:r>
            <w:r>
              <w:rPr>
                <w:color w:val="auto"/>
              </w:rPr>
              <w:t>更换一次活性炭</w:t>
            </w:r>
            <w:r>
              <w:rPr>
                <w:rFonts w:hint="eastAsia"/>
                <w:color w:val="auto"/>
                <w:lang w:eastAsia="zh-CN"/>
              </w:rPr>
              <w:t>，活性炭年填充量为</w:t>
            </w:r>
            <w:r>
              <w:rPr>
                <w:rFonts w:hint="eastAsia"/>
                <w:color w:val="auto"/>
                <w:lang w:val="en-US" w:eastAsia="zh-CN"/>
              </w:rPr>
              <w:t>3.24t/a，</w:t>
            </w:r>
            <w:r>
              <w:rPr>
                <w:rFonts w:hint="eastAsia"/>
                <w:color w:val="auto"/>
                <w:lang w:eastAsia="zh-CN"/>
              </w:rPr>
              <w:t>废活性炭产生量为</w:t>
            </w:r>
            <w:r>
              <w:rPr>
                <w:rFonts w:hint="eastAsia"/>
                <w:color w:val="auto"/>
                <w:lang w:val="en-US" w:eastAsia="zh-CN"/>
              </w:rPr>
              <w:t>3.4381t</w:t>
            </w:r>
            <w:r>
              <w:rPr>
                <w:rFonts w:hint="eastAsia"/>
                <w:color w:val="auto"/>
              </w:rPr>
              <w:t>/a</w:t>
            </w:r>
            <w:r>
              <w:rPr>
                <w:rFonts w:hint="eastAsia"/>
                <w:color w:val="auto"/>
                <w:lang w:eastAsia="zh-CN"/>
              </w:rPr>
              <w:t>。</w:t>
            </w:r>
          </w:p>
          <w:p>
            <w:pPr>
              <w:pStyle w:val="4"/>
              <w:bidi w:val="0"/>
              <w:rPr>
                <w:rFonts w:hint="eastAsia"/>
                <w:color w:val="auto"/>
                <w:lang w:val="en-US" w:eastAsia="zh-CN"/>
              </w:rPr>
            </w:pPr>
            <w:r>
              <w:rPr>
                <w:rFonts w:hint="eastAsia"/>
                <w:color w:val="auto"/>
                <w:lang w:val="en-US" w:eastAsia="zh-CN"/>
              </w:rPr>
              <w:t>4.2.6非正常工况分析</w:t>
            </w:r>
          </w:p>
          <w:p>
            <w:pPr>
              <w:pStyle w:val="8"/>
              <w:bidi w:val="0"/>
              <w:rPr>
                <w:rFonts w:hint="eastAsia"/>
                <w:color w:val="auto"/>
                <w:lang w:val="en-US" w:eastAsia="zh-CN"/>
              </w:rPr>
            </w:pPr>
            <w:r>
              <w:rPr>
                <w:rFonts w:hint="eastAsia"/>
                <w:color w:val="auto"/>
                <w:lang w:val="en-US" w:eastAsia="zh-CN"/>
              </w:rPr>
              <w:t>本项目实验过程为间歇过程，且项目夜间不运行，在进行实验之前，先打开废气收集治理设施再进行实验，确保实验过程中废气收集治理设施正在运作，废气被处理后排放。本项目不涉及开停炉(机)等非正常情况。</w:t>
            </w:r>
          </w:p>
          <w:p>
            <w:pPr>
              <w:pStyle w:val="8"/>
              <w:bidi w:val="0"/>
              <w:rPr>
                <w:rFonts w:hint="eastAsia"/>
                <w:color w:val="auto"/>
                <w:lang w:val="en-US" w:eastAsia="zh-CN"/>
              </w:rPr>
            </w:pPr>
            <w:r>
              <w:rPr>
                <w:rFonts w:hint="eastAsia"/>
                <w:color w:val="auto"/>
                <w:lang w:val="en-US" w:eastAsia="zh-CN"/>
              </w:rPr>
              <w:t>由于本项目间歇实验，建设单位需在废气收集治理设施正常运作的情况下方可启动实验，如发现废气收集治理设施不能正常运转，需要先对废气收集治理设施进行检修，确保废气收集治理设施正常运作后方可进行实验。</w:t>
            </w:r>
          </w:p>
          <w:p>
            <w:pPr>
              <w:pStyle w:val="4"/>
              <w:bidi w:val="0"/>
              <w:rPr>
                <w:rFonts w:hint="eastAsia"/>
                <w:color w:val="auto"/>
                <w:lang w:val="en-US" w:eastAsia="zh-CN"/>
              </w:rPr>
            </w:pPr>
            <w:r>
              <w:rPr>
                <w:rFonts w:hint="eastAsia"/>
                <w:color w:val="auto"/>
                <w:lang w:val="en-US" w:eastAsia="zh-CN"/>
              </w:rPr>
              <w:t>4.2.7废气监测计划</w:t>
            </w:r>
          </w:p>
          <w:p>
            <w:pPr>
              <w:pStyle w:val="8"/>
              <w:bidi w:val="0"/>
              <w:rPr>
                <w:rFonts w:hint="default"/>
                <w:color w:val="auto"/>
                <w:lang w:val="en-US" w:eastAsia="zh-CN"/>
              </w:rPr>
            </w:pPr>
            <w:r>
              <w:rPr>
                <w:rFonts w:hint="eastAsia"/>
                <w:color w:val="auto"/>
                <w:lang w:val="en-US" w:eastAsia="zh-CN"/>
              </w:rPr>
              <w:t>根据项目生产特征和污染物排放特点，依据国家颁布的环境质量标准和污染物排放标准、《排污单位自行监测技术指南 总则》（</w:t>
            </w:r>
            <w:r>
              <w:rPr>
                <w:rFonts w:hint="default"/>
                <w:color w:val="auto"/>
                <w:lang w:val="en-US" w:eastAsia="zh-CN"/>
              </w:rPr>
              <w:t>HJ819-2017</w:t>
            </w:r>
            <w:r>
              <w:rPr>
                <w:rFonts w:hint="eastAsia"/>
                <w:color w:val="auto"/>
                <w:lang w:val="en-US" w:eastAsia="zh-CN"/>
              </w:rPr>
              <w:t>），监测工作可委托有资质的监测单位来承担。本项目建成后全厂环境监测计划见下表。</w:t>
            </w:r>
          </w:p>
          <w:p>
            <w:pPr>
              <w:pStyle w:val="83"/>
              <w:spacing w:before="120"/>
              <w:rPr>
                <w:color w:val="auto"/>
              </w:rPr>
            </w:pPr>
            <w:r>
              <w:rPr>
                <w:rFonts w:hint="eastAsia"/>
                <w:color w:val="auto"/>
              </w:rPr>
              <w:t>表4-</w:t>
            </w:r>
            <w:r>
              <w:rPr>
                <w:rFonts w:hint="eastAsia"/>
                <w:color w:val="auto"/>
                <w:lang w:val="en-US" w:eastAsia="zh-CN"/>
              </w:rPr>
              <w:t>12</w:t>
            </w:r>
            <w:r>
              <w:rPr>
                <w:rFonts w:hint="eastAsia"/>
                <w:color w:val="auto"/>
              </w:rPr>
              <w:t xml:space="preserve">  本项目自行监测计划</w:t>
            </w:r>
          </w:p>
          <w:tbl>
            <w:tblPr>
              <w:tblStyle w:val="29"/>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385"/>
              <w:gridCol w:w="1921"/>
              <w:gridCol w:w="1103"/>
              <w:gridCol w:w="32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tcBorders>
                    <w:tl2br w:val="nil"/>
                    <w:tr2bl w:val="nil"/>
                  </w:tcBorders>
                  <w:vAlign w:val="center"/>
                </w:tcPr>
                <w:p>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污染物类型</w:t>
                  </w:r>
                </w:p>
              </w:tc>
              <w:tc>
                <w:tcPr>
                  <w:tcW w:w="1385" w:type="dxa"/>
                  <w:tcBorders>
                    <w:tl2br w:val="nil"/>
                    <w:tr2bl w:val="nil"/>
                  </w:tcBorders>
                  <w:vAlign w:val="center"/>
                </w:tcPr>
                <w:p>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监测位置</w:t>
                  </w:r>
                </w:p>
              </w:tc>
              <w:tc>
                <w:tcPr>
                  <w:tcW w:w="1921" w:type="dxa"/>
                  <w:tcBorders>
                    <w:tl2br w:val="nil"/>
                    <w:tr2bl w:val="nil"/>
                  </w:tcBorders>
                  <w:vAlign w:val="center"/>
                </w:tcPr>
                <w:p>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监测项目</w:t>
                  </w:r>
                </w:p>
              </w:tc>
              <w:tc>
                <w:tcPr>
                  <w:tcW w:w="1103" w:type="dxa"/>
                  <w:tcBorders>
                    <w:tl2br w:val="nil"/>
                    <w:tr2bl w:val="nil"/>
                  </w:tcBorders>
                  <w:vAlign w:val="center"/>
                </w:tcPr>
                <w:p>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监测频次</w:t>
                  </w:r>
                </w:p>
              </w:tc>
              <w:tc>
                <w:tcPr>
                  <w:tcW w:w="3222" w:type="dxa"/>
                  <w:tcBorders>
                    <w:tl2br w:val="nil"/>
                    <w:tr2bl w:val="nil"/>
                  </w:tcBorders>
                  <w:vAlign w:val="center"/>
                </w:tcPr>
                <w:p>
                  <w:pPr>
                    <w:snapToGrid w:val="0"/>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restart"/>
                  <w:tcBorders>
                    <w:tl2br w:val="nil"/>
                    <w:tr2bl w:val="nil"/>
                  </w:tcBorders>
                  <w:vAlign w:val="center"/>
                </w:tcPr>
                <w:p>
                  <w:pPr>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385" w:type="dxa"/>
                  <w:vMerge w:val="restart"/>
                  <w:tcBorders>
                    <w:tl2br w:val="nil"/>
                    <w:tr2bl w:val="nil"/>
                  </w:tcBorders>
                  <w:vAlign w:val="center"/>
                </w:tcPr>
                <w:p>
                  <w:pPr>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 P1</w:t>
                  </w: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TRVOC</w:t>
                  </w:r>
                </w:p>
              </w:tc>
              <w:tc>
                <w:tcPr>
                  <w:tcW w:w="1103" w:type="dxa"/>
                  <w:vMerge w:val="restart"/>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1次</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年</w:t>
                  </w:r>
                </w:p>
              </w:tc>
              <w:tc>
                <w:tcPr>
                  <w:tcW w:w="3222" w:type="dxa"/>
                  <w:vMerge w:val="restart"/>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《工业企业挥发性有机物排放控制标准》（DB12/524-2020）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887" w:type="dxa"/>
                  <w:vMerge w:val="continue"/>
                  <w:tcBorders>
                    <w:tl2br w:val="nil"/>
                    <w:tr2bl w:val="nil"/>
                  </w:tcBorders>
                  <w:vAlign w:val="center"/>
                </w:tcPr>
                <w:p>
                  <w:pPr>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非甲烷总烃</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二甲苯</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甲醇</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p>
              </w:tc>
              <w:tc>
                <w:tcPr>
                  <w:tcW w:w="3222" w:type="dxa"/>
                  <w:vMerge w:val="restart"/>
                  <w:tcBorders>
                    <w:tl2br w:val="nil"/>
                    <w:tr2bl w:val="nil"/>
                  </w:tcBorders>
                  <w:vAlign w:val="center"/>
                </w:tcPr>
                <w:p>
                  <w:pPr>
                    <w:widowControl/>
                    <w:snapToGrid w:val="0"/>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大气污染物综合</w:t>
                  </w:r>
                  <w:r>
                    <w:rPr>
                      <w:rFonts w:hint="eastAsia" w:ascii="Times New Roman" w:hAnsi="Times New Roman" w:eastAsia="宋体" w:cs="Times New Roman"/>
                      <w:color w:val="auto"/>
                      <w:sz w:val="21"/>
                      <w:szCs w:val="21"/>
                    </w:rPr>
                    <w:t>排放标准》（</w:t>
                  </w:r>
                  <w:r>
                    <w:rPr>
                      <w:rFonts w:hint="eastAsia" w:ascii="Times New Roman" w:hAnsi="Times New Roman" w:eastAsia="宋体" w:cs="Times New Roman"/>
                      <w:color w:val="auto"/>
                      <w:sz w:val="21"/>
                      <w:szCs w:val="21"/>
                      <w:lang w:val="en-US" w:eastAsia="zh-CN"/>
                    </w:rPr>
                    <w:t>GB16297-1996</w:t>
                  </w:r>
                  <w:r>
                    <w:rPr>
                      <w:rFonts w:hint="eastAsia" w:ascii="Times New Roman" w:hAnsi="Times New Roman" w:eastAsia="宋体" w:cs="Times New Roman"/>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氯化氢</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氨</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restart"/>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《恶臭污染物排放标准》（DB12/059-2018）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硫化氢</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臭气浓度</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restart"/>
                  <w:tcBorders>
                    <w:tl2br w:val="nil"/>
                    <w:tr2bl w:val="nil"/>
                  </w:tcBorders>
                  <w:vAlign w:val="center"/>
                </w:tcPr>
                <w:p>
                  <w:pPr>
                    <w:widowControl/>
                    <w:snapToGrid w:val="0"/>
                    <w:spacing w:line="240" w:lineRule="auto"/>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无组织</w:t>
                  </w: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氨</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硫化氢</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887"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385"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1921"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臭气浓度</w:t>
                  </w:r>
                </w:p>
              </w:tc>
              <w:tc>
                <w:tcPr>
                  <w:tcW w:w="1103"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c>
                <w:tcPr>
                  <w:tcW w:w="3222" w:type="dxa"/>
                  <w:vMerge w:val="continue"/>
                  <w:tcBorders>
                    <w:tl2br w:val="nil"/>
                    <w:tr2bl w:val="nil"/>
                  </w:tcBorders>
                  <w:vAlign w:val="center"/>
                </w:tcPr>
                <w:p>
                  <w:pPr>
                    <w:widowControl/>
                    <w:snapToGrid w:val="0"/>
                    <w:spacing w:line="240" w:lineRule="auto"/>
                    <w:jc w:val="center"/>
                    <w:rPr>
                      <w:rFonts w:hint="default" w:ascii="Times New Roman" w:hAnsi="Times New Roman" w:cs="Times New Roman"/>
                      <w:color w:val="auto"/>
                      <w:sz w:val="21"/>
                      <w:szCs w:val="21"/>
                    </w:rPr>
                  </w:pPr>
                </w:p>
              </w:tc>
            </w:tr>
          </w:tbl>
          <w:p>
            <w:pPr>
              <w:spacing w:line="360" w:lineRule="auto"/>
              <w:ind w:firstLine="482" w:firstLineChars="200"/>
              <w:rPr>
                <w:b/>
                <w:bCs/>
                <w:color w:val="auto"/>
              </w:rPr>
            </w:pPr>
            <w:r>
              <w:rPr>
                <w:rFonts w:hint="eastAsia"/>
                <w:b/>
                <w:bCs/>
                <w:color w:val="auto"/>
                <w:lang w:val="en-US" w:eastAsia="zh-CN"/>
              </w:rPr>
              <w:t>4.2.8</w:t>
            </w:r>
            <w:r>
              <w:rPr>
                <w:b/>
                <w:bCs/>
                <w:color w:val="auto"/>
              </w:rPr>
              <w:t>废气环境影响分析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lang w:val="en-US" w:eastAsia="zh-CN"/>
              </w:rPr>
            </w:pPr>
            <w:r>
              <w:rPr>
                <w:rFonts w:hint="eastAsia"/>
                <w:color w:val="auto"/>
                <w:lang w:val="en-US" w:eastAsia="zh-CN"/>
              </w:rPr>
              <w:t>本项目所在区域环境质量现状六项污染物未全部达标，通过相关政策方案的实施，加快大气污染治理，预计区域空气质量将逐年好转。根据工程分析可知，本项目各废气排放源均采取相应可行技术进行治理，净化后满足达标排放要求。本项目厂界外500m范围内大气环境保护目标1处保利拾光年，本项目产生的废气经治理后满足标准要求，项目建成后不会对其产生明显不利影响。综上，本项目大气环境影响可接受。</w:t>
            </w:r>
          </w:p>
          <w:p>
            <w:pPr>
              <w:pStyle w:val="4"/>
              <w:bidi w:val="0"/>
              <w:rPr>
                <w:color w:val="auto"/>
              </w:rPr>
            </w:pPr>
            <w:r>
              <w:rPr>
                <w:rFonts w:hint="eastAsia"/>
                <w:color w:val="auto"/>
                <w:lang w:val="en-US" w:eastAsia="zh-CN"/>
              </w:rPr>
              <w:t>4.3</w:t>
            </w:r>
            <w:r>
              <w:rPr>
                <w:color w:val="auto"/>
              </w:rPr>
              <w:t>水环境影响分析</w:t>
            </w:r>
          </w:p>
          <w:p>
            <w:pPr>
              <w:pStyle w:val="76"/>
              <w:keepNext w:val="0"/>
              <w:keepLines w:val="0"/>
              <w:suppressLineNumbers w:val="0"/>
              <w:spacing w:before="0" w:beforeAutospacing="0" w:after="0" w:afterAutospacing="0"/>
              <w:ind w:left="0" w:right="0" w:firstLine="482"/>
              <w:rPr>
                <w:rFonts w:hint="default"/>
                <w:b/>
                <w:bCs/>
                <w:color w:val="auto"/>
                <w:lang w:val="en-US" w:eastAsia="zh-CN"/>
              </w:rPr>
            </w:pPr>
            <w:r>
              <w:rPr>
                <w:rFonts w:hint="eastAsia"/>
                <w:b/>
                <w:bCs/>
                <w:color w:val="auto"/>
                <w:lang w:val="en-US" w:eastAsia="zh-CN"/>
              </w:rPr>
              <w:t>4.3.1</w:t>
            </w:r>
            <w:r>
              <w:rPr>
                <w:rFonts w:hint="default"/>
                <w:b/>
                <w:bCs/>
                <w:color w:val="auto"/>
              </w:rPr>
              <w:t>废水</w:t>
            </w:r>
            <w:r>
              <w:rPr>
                <w:rFonts w:hint="eastAsia"/>
                <w:b/>
                <w:bCs/>
                <w:color w:val="auto"/>
                <w:lang w:val="en-US" w:eastAsia="zh-CN"/>
              </w:rPr>
              <w:t>源强分析</w:t>
            </w:r>
          </w:p>
          <w:p>
            <w:pPr>
              <w:pStyle w:val="8"/>
              <w:bidi w:val="0"/>
              <w:rPr>
                <w:rFonts w:hint="eastAsia"/>
                <w:color w:val="auto"/>
                <w:lang w:val="en-US" w:eastAsia="zh-CN"/>
              </w:rPr>
            </w:pPr>
            <w:r>
              <w:rPr>
                <w:rFonts w:hint="eastAsia"/>
                <w:color w:val="auto"/>
                <w:lang w:val="en-US" w:eastAsia="zh-CN"/>
              </w:rPr>
              <w:t>本项目生活污水排放</w:t>
            </w:r>
            <w:r>
              <w:rPr>
                <w:rFonts w:hint="default"/>
                <w:color w:val="auto"/>
              </w:rPr>
              <w:t>量为</w:t>
            </w:r>
            <w:r>
              <w:rPr>
                <w:rFonts w:hint="eastAsia"/>
                <w:color w:val="auto"/>
                <w:lang w:val="en-US" w:eastAsia="zh-CN"/>
              </w:rPr>
              <w:t>0.891</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222.75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）；动物房清洗废水</w:t>
            </w:r>
            <w:r>
              <w:rPr>
                <w:rFonts w:hint="eastAsia"/>
                <w:color w:val="auto"/>
                <w:lang w:val="en-US" w:eastAsia="zh-CN"/>
              </w:rPr>
              <w:t>排放</w:t>
            </w:r>
            <w:r>
              <w:rPr>
                <w:rFonts w:hint="default"/>
                <w:color w:val="auto"/>
              </w:rPr>
              <w:t>量为</w:t>
            </w:r>
            <w:r>
              <w:rPr>
                <w:rFonts w:hint="eastAsia"/>
                <w:color w:val="auto"/>
                <w:lang w:val="en-US" w:eastAsia="zh-CN"/>
              </w:rPr>
              <w:t>0.671</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167.634</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r>
              <w:rPr>
                <w:rFonts w:hint="eastAsia"/>
                <w:color w:val="auto"/>
                <w:lang w:val="en-US" w:eastAsia="zh-CN"/>
              </w:rPr>
              <w:t>手术器具清洁</w:t>
            </w:r>
            <w:r>
              <w:rPr>
                <w:rFonts w:hint="eastAsia"/>
                <w:color w:val="auto"/>
                <w:lang w:eastAsia="zh-CN"/>
              </w:rPr>
              <w:t>废水</w:t>
            </w:r>
            <w:r>
              <w:rPr>
                <w:rFonts w:hint="eastAsia"/>
                <w:color w:val="auto"/>
                <w:lang w:val="en-US" w:eastAsia="zh-CN"/>
              </w:rPr>
              <w:t>排放</w:t>
            </w:r>
            <w:r>
              <w:rPr>
                <w:rFonts w:hint="default"/>
                <w:color w:val="auto"/>
              </w:rPr>
              <w:t>量为</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）；实验服清洗废水</w:t>
            </w:r>
            <w:r>
              <w:rPr>
                <w:rFonts w:hint="eastAsia"/>
                <w:color w:val="auto"/>
                <w:lang w:val="en-US" w:eastAsia="zh-CN"/>
              </w:rPr>
              <w:t>排放</w:t>
            </w:r>
            <w:r>
              <w:rPr>
                <w:rFonts w:hint="default"/>
                <w:color w:val="auto"/>
              </w:rPr>
              <w:t>量为</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11.25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）；第三次实验清洗废水废水</w:t>
            </w:r>
            <w:r>
              <w:rPr>
                <w:rFonts w:hint="eastAsia"/>
                <w:color w:val="auto"/>
                <w:lang w:val="en-US" w:eastAsia="zh-CN"/>
              </w:rPr>
              <w:t>排放</w:t>
            </w:r>
            <w:r>
              <w:rPr>
                <w:rFonts w:hint="default"/>
                <w:color w:val="auto"/>
              </w:rPr>
              <w:t>量为</w:t>
            </w:r>
            <w:r>
              <w:rPr>
                <w:rFonts w:hint="eastAsia"/>
                <w:color w:val="auto"/>
                <w:lang w:val="en-US" w:eastAsia="zh-CN"/>
              </w:rPr>
              <w:t>0.00018</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0.045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）；净水机排浓水</w:t>
            </w:r>
            <w:r>
              <w:rPr>
                <w:rFonts w:hint="default"/>
                <w:color w:val="auto"/>
              </w:rPr>
              <w:t>量为</w:t>
            </w:r>
            <w:r>
              <w:rPr>
                <w:rFonts w:hint="eastAsia"/>
                <w:color w:val="auto"/>
                <w:lang w:val="en-US" w:eastAsia="zh-CN"/>
              </w:rPr>
              <w:t>0.009</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r>
              <w:rPr>
                <w:rFonts w:hint="eastAsia"/>
                <w:color w:val="auto"/>
              </w:rPr>
              <w:t>总计外排废水量为</w:t>
            </w:r>
            <w:r>
              <w:rPr>
                <w:rFonts w:hint="eastAsia"/>
                <w:color w:val="auto"/>
                <w:highlight w:val="none"/>
                <w:lang w:val="en-US" w:eastAsia="zh-CN"/>
              </w:rPr>
              <w:t>1.661</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/d</w:t>
            </w:r>
            <w:r>
              <w:rPr>
                <w:rFonts w:hint="eastAsia"/>
                <w:color w:val="auto"/>
                <w:highlight w:val="none"/>
                <w:lang w:eastAsia="zh-CN"/>
              </w:rPr>
              <w:t>（</w:t>
            </w:r>
            <w:r>
              <w:rPr>
                <w:rFonts w:hint="eastAsia"/>
                <w:color w:val="auto"/>
                <w:highlight w:val="none"/>
                <w:lang w:val="en-US" w:eastAsia="zh-CN"/>
              </w:rPr>
              <w:t>415.179</w:t>
            </w:r>
            <w:r>
              <w:rPr>
                <w:rFonts w:hint="default"/>
                <w:color w:val="auto"/>
                <w:highlight w:val="none"/>
              </w:rPr>
              <w:t>m</w:t>
            </w:r>
            <w:r>
              <w:rPr>
                <w:rFonts w:hint="eastAsia"/>
                <w:color w:val="auto"/>
                <w:highlight w:val="none"/>
                <w:vertAlign w:val="superscript"/>
                <w:lang w:val="en-US" w:eastAsia="zh-CN"/>
              </w:rPr>
              <w:t>3</w:t>
            </w:r>
            <w:r>
              <w:rPr>
                <w:rFonts w:hint="default"/>
                <w:color w:val="auto"/>
                <w:highlight w:val="none"/>
              </w:rPr>
              <w:t>/</w:t>
            </w:r>
            <w:r>
              <w:rPr>
                <w:rFonts w:hint="eastAsia"/>
                <w:color w:val="auto"/>
                <w:highlight w:val="none"/>
                <w:lang w:val="en-US" w:eastAsia="zh-CN"/>
              </w:rPr>
              <w:t>a</w:t>
            </w:r>
            <w:r>
              <w:rPr>
                <w:rFonts w:hint="eastAsia"/>
                <w:color w:val="auto"/>
                <w:highlight w:val="none"/>
                <w:lang w:eastAsia="zh-CN"/>
              </w:rPr>
              <w:t>）</w:t>
            </w:r>
            <w:r>
              <w:rPr>
                <w:rFonts w:hint="eastAsia"/>
                <w:color w:val="auto"/>
              </w:rPr>
              <w:t>。</w:t>
            </w:r>
            <w:r>
              <w:rPr>
                <w:rFonts w:hint="eastAsia"/>
                <w:color w:val="auto"/>
                <w:lang w:val="en-US" w:eastAsia="zh-CN"/>
              </w:rPr>
              <w:t>本项目排水采用雨污分流制，雨水经厂区雨水管道收集后排入市政雨水管道。本项目动物房清洗废水、手术器具清洁废水、实验服清洗废水、第三次实验清洗废水经过滤、消毒处理，生活污水经化粪池静置沉淀，同净水机浓水混合通过厂区总排口排入市政污水管网，最终排入咸阳路污水处理厂处理。</w:t>
            </w:r>
          </w:p>
          <w:p>
            <w:pPr>
              <w:pStyle w:val="8"/>
              <w:bidi w:val="0"/>
              <w:rPr>
                <w:rFonts w:hint="default"/>
                <w:color w:val="auto"/>
                <w:lang w:val="en-US"/>
              </w:rPr>
            </w:pPr>
            <w:r>
              <w:rPr>
                <w:rFonts w:hint="eastAsia"/>
                <w:color w:val="auto"/>
                <w:lang w:val="en-US" w:eastAsia="zh-CN"/>
              </w:rPr>
              <w:t>本项目污水处理设施</w:t>
            </w:r>
            <w:r>
              <w:rPr>
                <w:rFonts w:hint="eastAsia" w:ascii="宋体" w:hAnsi="宋体" w:eastAsia="宋体"/>
                <w:color w:val="auto"/>
                <w:sz w:val="24"/>
                <w:szCs w:val="24"/>
              </w:rPr>
              <w:t>日常监管、维护、</w:t>
            </w:r>
            <w:r>
              <w:rPr>
                <w:rFonts w:hint="eastAsia"/>
                <w:color w:val="auto"/>
                <w:szCs w:val="21"/>
                <w:lang w:val="en-US" w:eastAsia="zh-CN"/>
              </w:rPr>
              <w:t>污水总</w:t>
            </w:r>
            <w:r>
              <w:rPr>
                <w:rFonts w:hint="eastAsia" w:ascii="宋体" w:hAnsi="宋体" w:eastAsia="宋体"/>
                <w:color w:val="auto"/>
                <w:sz w:val="24"/>
                <w:szCs w:val="24"/>
              </w:rPr>
              <w:t>排口规范化及废水达标情况由天津津科生物科技有限责任公司负责。</w:t>
            </w:r>
            <w:r>
              <w:rPr>
                <w:rFonts w:hint="eastAsia"/>
                <w:color w:val="auto"/>
                <w:lang w:val="en-US" w:eastAsia="zh-CN"/>
              </w:rPr>
              <w:t>本项目污水总排口为天津市滨海高新区华苑产业区（环外）海泰华科八路6号楼</w:t>
            </w:r>
            <w:r>
              <w:rPr>
                <w:rFonts w:hint="eastAsia"/>
                <w:color w:val="auto"/>
                <w:szCs w:val="21"/>
                <w:lang w:val="en-US" w:eastAsia="zh-CN"/>
              </w:rPr>
              <w:t>污水总排口</w:t>
            </w:r>
            <w:r>
              <w:rPr>
                <w:rFonts w:hint="eastAsia"/>
                <w:color w:val="auto"/>
                <w:lang w:val="en-US" w:eastAsia="zh-CN"/>
              </w:rPr>
              <w:t>，</w:t>
            </w:r>
            <w:r>
              <w:rPr>
                <w:rFonts w:hint="eastAsia" w:ascii="宋体" w:hAnsi="宋体" w:eastAsia="宋体"/>
                <w:color w:val="auto"/>
                <w:sz w:val="24"/>
                <w:szCs w:val="24"/>
              </w:rPr>
              <w:t>共用排水设施（排水管道、园区化粪池、园区总排口）的日常监管、维护、</w:t>
            </w:r>
            <w:r>
              <w:rPr>
                <w:rFonts w:hint="eastAsia"/>
                <w:color w:val="auto"/>
                <w:szCs w:val="21"/>
                <w:lang w:val="en-US" w:eastAsia="zh-CN"/>
              </w:rPr>
              <w:t>污水总</w:t>
            </w:r>
            <w:r>
              <w:rPr>
                <w:rFonts w:hint="eastAsia" w:ascii="宋体" w:hAnsi="宋体" w:eastAsia="宋体"/>
                <w:color w:val="auto"/>
                <w:sz w:val="24"/>
                <w:szCs w:val="24"/>
              </w:rPr>
              <w:t>排口规范化及废水达标情况由天津中关村</w:t>
            </w:r>
            <w:r>
              <w:rPr>
                <w:rFonts w:hint="eastAsia" w:ascii="宋体" w:hAnsi="宋体" w:eastAsia="宋体"/>
                <w:color w:val="auto"/>
                <w:sz w:val="24"/>
                <w:szCs w:val="24"/>
                <w:lang w:val="en-US" w:eastAsia="zh-CN"/>
              </w:rPr>
              <w:t>信息谷科技服务</w:t>
            </w:r>
            <w:r>
              <w:rPr>
                <w:rFonts w:hint="eastAsia" w:ascii="宋体" w:hAnsi="宋体" w:eastAsia="宋体"/>
                <w:color w:val="auto"/>
                <w:sz w:val="24"/>
                <w:szCs w:val="24"/>
              </w:rPr>
              <w:t>有限公司负责。</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both"/>
              <w:textAlignment w:val="auto"/>
              <w:rPr>
                <w:rFonts w:hint="eastAsia"/>
                <w:color w:val="auto"/>
                <w:lang w:val="en-US" w:eastAsia="zh-CN"/>
              </w:rPr>
            </w:pPr>
            <w:r>
              <w:rPr>
                <w:rFonts w:hint="eastAsia"/>
                <w:color w:val="auto"/>
                <w:sz w:val="24"/>
                <w:szCs w:val="24"/>
                <w:lang w:val="en-US" w:eastAsia="zh-CN"/>
              </w:rPr>
              <w:t>本项目实验服清洗废水</w:t>
            </w:r>
            <w:r>
              <w:rPr>
                <w:rFonts w:hint="eastAsia"/>
                <w:color w:val="auto"/>
                <w:lang w:val="en-US" w:eastAsia="zh-CN"/>
              </w:rPr>
              <w:t>污染物</w:t>
            </w:r>
            <w:r>
              <w:rPr>
                <w:rFonts w:hint="eastAsia"/>
                <w:color w:val="auto"/>
                <w:sz w:val="24"/>
                <w:szCs w:val="24"/>
                <w:lang w:val="en-US" w:eastAsia="zh-CN"/>
              </w:rPr>
              <w:t>主要</w:t>
            </w:r>
            <w:r>
              <w:rPr>
                <w:rFonts w:hint="eastAsia"/>
                <w:color w:val="auto"/>
                <w:lang w:val="en-US" w:eastAsia="zh-CN"/>
              </w:rPr>
              <w:t>pH、SS、 COD</w:t>
            </w:r>
            <w:r>
              <w:rPr>
                <w:rFonts w:hint="eastAsia"/>
                <w:color w:val="auto"/>
                <w:vertAlign w:val="subscript"/>
                <w:lang w:val="en-US" w:eastAsia="zh-CN"/>
              </w:rPr>
              <w:t>cr</w:t>
            </w: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、氨氮、总磷、总氮、LAS</w:t>
            </w:r>
            <w:r>
              <w:rPr>
                <w:rFonts w:hint="eastAsia"/>
                <w:color w:val="auto"/>
                <w:sz w:val="24"/>
                <w:szCs w:val="24"/>
                <w:lang w:val="en-US" w:eastAsia="zh-CN"/>
              </w:rPr>
              <w:t>。</w:t>
            </w:r>
            <w:r>
              <w:rPr>
                <w:rFonts w:hint="eastAsia" w:ascii="宋体" w:hAnsi="宋体" w:eastAsia="宋体" w:cs="宋体"/>
                <w:color w:val="auto"/>
                <w:kern w:val="0"/>
                <w:sz w:val="24"/>
                <w:szCs w:val="24"/>
                <w:lang w:val="en-US" w:eastAsia="zh-CN" w:bidi="ar"/>
              </w:rPr>
              <w:t>本项目洗衣废水水质参考《洗衣废水处理</w:t>
            </w:r>
            <w:r>
              <w:rPr>
                <w:rFonts w:hint="eastAsia" w:ascii="宋体" w:hAnsi="宋体" w:cs="宋体"/>
                <w:color w:val="auto"/>
                <w:kern w:val="0"/>
                <w:sz w:val="24"/>
                <w:szCs w:val="24"/>
                <w:lang w:val="en-US" w:eastAsia="zh-CN" w:bidi="ar"/>
              </w:rPr>
              <w:t>方案</w:t>
            </w:r>
            <w:r>
              <w:rPr>
                <w:rFonts w:hint="eastAsia" w:ascii="宋体" w:hAnsi="宋体" w:eastAsia="宋体" w:cs="宋体"/>
                <w:color w:val="auto"/>
                <w:kern w:val="0"/>
                <w:sz w:val="24"/>
                <w:szCs w:val="24"/>
                <w:lang w:val="en-US" w:eastAsia="zh-CN" w:bidi="ar"/>
              </w:rPr>
              <w:t>》，其中</w:t>
            </w:r>
            <w:r>
              <w:rPr>
                <w:rFonts w:hint="default" w:ascii="Times New Roman" w:hAnsi="Times New Roman" w:eastAsia="宋体" w:cs="Times New Roman"/>
                <w:color w:val="auto"/>
                <w:kern w:val="0"/>
                <w:sz w:val="24"/>
                <w:szCs w:val="24"/>
                <w:lang w:val="en-US" w:eastAsia="zh-CN" w:bidi="ar"/>
              </w:rPr>
              <w:t>pH</w:t>
            </w:r>
            <w:r>
              <w:rPr>
                <w:rFonts w:hint="eastAsia" w:ascii="宋体" w:hAnsi="宋体" w:eastAsia="宋体" w:cs="宋体"/>
                <w:color w:val="auto"/>
                <w:kern w:val="0"/>
                <w:sz w:val="24"/>
                <w:szCs w:val="24"/>
                <w:lang w:val="en-US" w:eastAsia="zh-CN" w:bidi="ar"/>
              </w:rPr>
              <w:t>值</w:t>
            </w:r>
            <w:r>
              <w:rPr>
                <w:rFonts w:hint="default" w:ascii="Times New Roman" w:hAnsi="Times New Roman" w:eastAsia="宋体" w:cs="Times New Roman"/>
                <w:color w:val="auto"/>
                <w:kern w:val="0"/>
                <w:sz w:val="24"/>
                <w:szCs w:val="24"/>
                <w:lang w:val="en-US" w:eastAsia="zh-CN" w:bidi="ar"/>
              </w:rPr>
              <w:t>6-9</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CODcr400mg/L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BOD</w:t>
            </w:r>
            <w:r>
              <w:rPr>
                <w:rFonts w:hint="eastAsia" w:ascii="Times New Roman" w:hAnsi="Times New Roman" w:eastAsia="宋体" w:cs="Times New Roman"/>
                <w:color w:val="auto"/>
                <w:kern w:val="0"/>
                <w:sz w:val="24"/>
                <w:szCs w:val="24"/>
                <w:vertAlign w:val="subscript"/>
                <w:lang w:val="en-US" w:eastAsia="zh-CN" w:bidi="ar"/>
              </w:rPr>
              <w:t>5</w:t>
            </w:r>
            <w:r>
              <w:rPr>
                <w:rFonts w:hint="default" w:ascii="Times New Roman" w:hAnsi="Times New Roman" w:eastAsia="宋体" w:cs="Times New Roman"/>
                <w:color w:val="auto"/>
                <w:kern w:val="0"/>
                <w:sz w:val="24"/>
                <w:szCs w:val="24"/>
                <w:lang w:val="en-US" w:eastAsia="zh-CN" w:bidi="ar"/>
              </w:rPr>
              <w:t>220 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SS</w:t>
            </w:r>
            <w:r>
              <w:rPr>
                <w:rFonts w:hint="eastAsia" w:cs="Times New Roman"/>
                <w:color w:val="auto"/>
                <w:kern w:val="0"/>
                <w:sz w:val="24"/>
                <w:szCs w:val="24"/>
                <w:lang w:val="en-US" w:eastAsia="zh-CN" w:bidi="ar"/>
              </w:rPr>
              <w:t xml:space="preserve"> </w:t>
            </w:r>
            <w:r>
              <w:rPr>
                <w:rFonts w:hint="default" w:ascii="Times New Roman" w:hAnsi="Times New Roman" w:eastAsia="宋体" w:cs="Times New Roman"/>
                <w:color w:val="auto"/>
                <w:kern w:val="0"/>
                <w:sz w:val="24"/>
                <w:szCs w:val="24"/>
                <w:lang w:val="en-US" w:eastAsia="zh-CN" w:bidi="ar"/>
              </w:rPr>
              <w:t>300mg/L</w:t>
            </w:r>
            <w:r>
              <w:rPr>
                <w:rFonts w:hint="eastAsia" w:ascii="宋体" w:hAnsi="宋体" w:eastAsia="宋体" w:cs="宋体"/>
                <w:color w:val="auto"/>
                <w:kern w:val="0"/>
                <w:sz w:val="24"/>
                <w:szCs w:val="24"/>
                <w:lang w:val="en-US" w:eastAsia="zh-CN" w:bidi="ar"/>
              </w:rPr>
              <w:t>，氨氮</w:t>
            </w:r>
            <w:r>
              <w:rPr>
                <w:rFonts w:hint="default" w:ascii="Times New Roman" w:hAnsi="Times New Roman" w:eastAsia="宋体" w:cs="Times New Roman"/>
                <w:color w:val="auto"/>
                <w:kern w:val="0"/>
                <w:sz w:val="24"/>
                <w:szCs w:val="24"/>
                <w:lang w:val="en-US" w:eastAsia="zh-CN" w:bidi="ar"/>
              </w:rPr>
              <w:t>50mg/L</w:t>
            </w:r>
            <w:r>
              <w:rPr>
                <w:rFonts w:hint="eastAsia" w:ascii="宋体" w:hAnsi="宋体" w:eastAsia="宋体" w:cs="宋体"/>
                <w:color w:val="auto"/>
                <w:kern w:val="0"/>
                <w:sz w:val="24"/>
                <w:szCs w:val="24"/>
                <w:lang w:val="en-US" w:eastAsia="zh-CN" w:bidi="ar"/>
              </w:rPr>
              <w:t>，总氮</w:t>
            </w:r>
            <w:r>
              <w:rPr>
                <w:rFonts w:hint="default" w:ascii="Times New Roman" w:hAnsi="Times New Roman" w:eastAsia="宋体" w:cs="Times New Roman"/>
                <w:color w:val="auto"/>
                <w:kern w:val="0"/>
                <w:sz w:val="24"/>
                <w:szCs w:val="24"/>
                <w:lang w:val="en-US" w:eastAsia="zh-CN" w:bidi="ar"/>
              </w:rPr>
              <w:t>60mg/L</w:t>
            </w:r>
            <w:r>
              <w:rPr>
                <w:rFonts w:hint="eastAsia" w:ascii="宋体" w:hAnsi="宋体" w:eastAsia="宋体" w:cs="宋体"/>
                <w:color w:val="auto"/>
                <w:kern w:val="0"/>
                <w:sz w:val="24"/>
                <w:szCs w:val="24"/>
                <w:lang w:val="en-US" w:eastAsia="zh-CN" w:bidi="ar"/>
              </w:rPr>
              <w:t>，总磷</w:t>
            </w:r>
            <w:r>
              <w:rPr>
                <w:rFonts w:hint="default" w:ascii="Times New Roman" w:hAnsi="Times New Roman" w:eastAsia="宋体" w:cs="Times New Roman"/>
                <w:color w:val="auto"/>
                <w:kern w:val="0"/>
                <w:sz w:val="24"/>
                <w:szCs w:val="24"/>
                <w:lang w:val="en-US" w:eastAsia="zh-CN" w:bidi="ar"/>
              </w:rPr>
              <w:t>10mg/L</w:t>
            </w: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LAS25mg/L</w:t>
            </w:r>
            <w:r>
              <w:rPr>
                <w:rFonts w:hint="eastAsia" w:ascii="宋体" w:hAnsi="宋体" w:eastAsia="宋体" w:cs="宋体"/>
                <w:color w:val="auto"/>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lang w:val="en-US" w:eastAsia="zh-CN"/>
              </w:rPr>
            </w:pPr>
            <w:r>
              <w:rPr>
                <w:rFonts w:hint="eastAsia"/>
                <w:color w:val="auto"/>
                <w:lang w:val="en-US" w:eastAsia="zh-CN"/>
              </w:rPr>
              <w:t>本项目生活污水污染物主要为 pH、SS、COD</w:t>
            </w:r>
            <w:r>
              <w:rPr>
                <w:rFonts w:hint="eastAsia"/>
                <w:color w:val="auto"/>
                <w:vertAlign w:val="subscript"/>
                <w:lang w:val="en-US" w:eastAsia="zh-CN"/>
              </w:rPr>
              <w:t>cr</w:t>
            </w: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、氨氮、总磷、总氮、LAS。参照《城市给排水工程规划设计实用全书》， 生活污水主要污染物浓度分别为 pH6~9、SS≤300mg/L、COD</w:t>
            </w:r>
            <w:r>
              <w:rPr>
                <w:rFonts w:hint="eastAsia"/>
                <w:color w:val="auto"/>
                <w:vertAlign w:val="subscript"/>
                <w:lang w:val="en-US" w:eastAsia="zh-CN"/>
              </w:rPr>
              <w:t>cr</w:t>
            </w:r>
            <w:r>
              <w:rPr>
                <w:rFonts w:hint="eastAsia"/>
                <w:color w:val="auto"/>
                <w:lang w:val="en-US" w:eastAsia="zh-CN"/>
              </w:rPr>
              <w:t>≤350mg/L、BOD</w:t>
            </w:r>
            <w:r>
              <w:rPr>
                <w:rFonts w:hint="eastAsia"/>
                <w:color w:val="auto"/>
                <w:vertAlign w:val="subscript"/>
                <w:lang w:val="en-US" w:eastAsia="zh-CN"/>
              </w:rPr>
              <w:t>5</w:t>
            </w:r>
            <w:r>
              <w:rPr>
                <w:rFonts w:hint="eastAsia"/>
                <w:color w:val="auto"/>
                <w:lang w:val="en-US" w:eastAsia="zh-CN"/>
              </w:rPr>
              <w:t>≤250mg/L、氨氮≤30mg/L、总磷≤3mg/L、总氮≤45mg/L、LAS≤5mg/L。</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实验</w:t>
            </w:r>
            <w:r>
              <w:rPr>
                <w:rFonts w:hint="eastAsia" w:ascii="Times New Roman" w:hAnsi="Times New Roman" w:eastAsia="宋体" w:cs="Times New Roman"/>
                <w:color w:val="auto"/>
                <w:lang w:val="en-US" w:eastAsia="zh-CN"/>
              </w:rPr>
              <w:t>第三次</w:t>
            </w:r>
            <w:r>
              <w:rPr>
                <w:rFonts w:hint="default" w:ascii="Times New Roman" w:hAnsi="Times New Roman" w:eastAsia="宋体" w:cs="Times New Roman"/>
                <w:color w:val="auto"/>
                <w:lang w:val="en-US" w:eastAsia="zh-CN"/>
              </w:rPr>
              <w:t>清洗是用</w:t>
            </w:r>
            <w:r>
              <w:rPr>
                <w:rFonts w:hint="eastAsia" w:ascii="Times New Roman" w:hAnsi="Times New Roman" w:eastAsia="宋体" w:cs="Times New Roman"/>
                <w:color w:val="auto"/>
                <w:lang w:val="en-US" w:eastAsia="zh-CN"/>
              </w:rPr>
              <w:t>纯水</w:t>
            </w:r>
            <w:r>
              <w:rPr>
                <w:rFonts w:hint="default" w:ascii="Times New Roman" w:hAnsi="Times New Roman" w:eastAsia="宋体" w:cs="Times New Roman"/>
                <w:color w:val="auto"/>
                <w:lang w:val="en-US" w:eastAsia="zh-CN"/>
              </w:rPr>
              <w:t>清洗</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是对自来水清洗后的</w:t>
            </w:r>
            <w:r>
              <w:rPr>
                <w:rFonts w:hint="eastAsia" w:ascii="Times New Roman" w:hAnsi="Times New Roman" w:eastAsia="宋体" w:cs="Times New Roman"/>
                <w:color w:val="auto"/>
                <w:lang w:val="en-US" w:eastAsia="zh-CN"/>
              </w:rPr>
              <w:t>实验器具</w:t>
            </w:r>
            <w:r>
              <w:rPr>
                <w:rFonts w:hint="default" w:ascii="Times New Roman" w:hAnsi="Times New Roman" w:eastAsia="宋体" w:cs="Times New Roman"/>
                <w:color w:val="auto"/>
                <w:lang w:val="en-US" w:eastAsia="zh-CN"/>
              </w:rPr>
              <w:t>进行第3次清洗以保证器皿壁干净无杂质。通过查阅资料《高校化学实验室废水处理研究环境保护概论》</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实验过程中冲洗器皿的废液因经大量水洗涮</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浓度极小</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重金属物质均未检出。</w:t>
            </w:r>
            <w:r>
              <w:rPr>
                <w:rFonts w:hint="eastAsia" w:ascii="Times New Roman" w:hAnsi="Times New Roman" w:eastAsia="宋体" w:cs="Times New Roman"/>
                <w:color w:val="auto"/>
                <w:lang w:val="en-US" w:eastAsia="zh-CN"/>
              </w:rPr>
              <w:t>本项目</w:t>
            </w:r>
            <w:r>
              <w:rPr>
                <w:rFonts w:hint="default" w:ascii="Times New Roman" w:hAnsi="Times New Roman" w:eastAsia="宋体" w:cs="Times New Roman"/>
                <w:color w:val="auto"/>
                <w:lang w:val="en-US" w:eastAsia="zh-CN"/>
              </w:rPr>
              <w:t>实验</w:t>
            </w:r>
            <w:r>
              <w:rPr>
                <w:rFonts w:hint="eastAsia" w:ascii="Times New Roman" w:hAnsi="Times New Roman" w:eastAsia="宋体" w:cs="Times New Roman"/>
                <w:color w:val="auto"/>
                <w:lang w:val="en-US" w:eastAsia="zh-CN"/>
              </w:rPr>
              <w:t>第三次</w:t>
            </w:r>
            <w:r>
              <w:rPr>
                <w:rFonts w:hint="default" w:ascii="Times New Roman" w:hAnsi="Times New Roman" w:eastAsia="宋体" w:cs="Times New Roman"/>
                <w:color w:val="auto"/>
                <w:lang w:val="en-US" w:eastAsia="zh-CN"/>
              </w:rPr>
              <w:t>清洗</w:t>
            </w:r>
            <w:r>
              <w:rPr>
                <w:rFonts w:hint="eastAsia" w:ascii="Times New Roman" w:hAnsi="Times New Roman" w:eastAsia="宋体" w:cs="Times New Roman"/>
                <w:color w:val="auto"/>
                <w:lang w:val="en-US" w:eastAsia="zh-CN"/>
              </w:rPr>
              <w:t>废水</w:t>
            </w:r>
            <w:r>
              <w:rPr>
                <w:rFonts w:hint="default" w:ascii="Times New Roman" w:hAnsi="Times New Roman" w:eastAsia="宋体" w:cs="Times New Roman"/>
                <w:color w:val="auto"/>
                <w:lang w:val="en-US" w:eastAsia="zh-CN"/>
              </w:rPr>
              <w:t>类比</w:t>
            </w:r>
            <w:r>
              <w:rPr>
                <w:rFonts w:hint="eastAsia" w:cs="Times New Roman"/>
                <w:color w:val="auto"/>
                <w:lang w:val="en-US" w:eastAsia="zh-CN"/>
              </w:rPr>
              <w:t>同类型实验室废水水质</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 xml:space="preserve">污染物浓度为pH6~9、SS </w:t>
            </w:r>
            <w:r>
              <w:rPr>
                <w:rFonts w:hint="eastAsia" w:cs="Times New Roman"/>
                <w:color w:val="auto"/>
                <w:lang w:val="en-US" w:eastAsia="zh-CN"/>
              </w:rPr>
              <w:t>200</w:t>
            </w:r>
            <w:r>
              <w:rPr>
                <w:rFonts w:hint="default" w:ascii="Times New Roman" w:hAnsi="Times New Roman" w:eastAsia="宋体" w:cs="Times New Roman"/>
                <w:color w:val="auto"/>
                <w:lang w:val="en-US" w:eastAsia="zh-CN"/>
              </w:rPr>
              <w:t>mg/L、COD</w:t>
            </w:r>
            <w:r>
              <w:rPr>
                <w:rFonts w:hint="eastAsia" w:ascii="Times New Roman" w:hAnsi="Times New Roman" w:eastAsia="宋体" w:cs="Times New Roman"/>
                <w:color w:val="auto"/>
                <w:vertAlign w:val="subscript"/>
                <w:lang w:val="en-US" w:eastAsia="zh-CN"/>
              </w:rPr>
              <w:t>cr</w:t>
            </w:r>
            <w:r>
              <w:rPr>
                <w:rFonts w:hint="eastAsia" w:cs="Times New Roman"/>
                <w:color w:val="auto"/>
                <w:lang w:val="en-US" w:eastAsia="zh-CN"/>
              </w:rPr>
              <w:t>300</w:t>
            </w:r>
            <w:r>
              <w:rPr>
                <w:rFonts w:hint="default" w:ascii="Times New Roman" w:hAnsi="Times New Roman" w:eastAsia="宋体" w:cs="Times New Roman"/>
                <w:color w:val="auto"/>
                <w:lang w:val="en-US" w:eastAsia="zh-CN"/>
              </w:rPr>
              <w:t>mg/L、</w:t>
            </w:r>
            <w:r>
              <w:rPr>
                <w:rFonts w:hint="eastAsia"/>
                <w:color w:val="auto"/>
                <w:lang w:val="en-US" w:eastAsia="zh-CN"/>
              </w:rPr>
              <w:t>BOD</w:t>
            </w:r>
            <w:r>
              <w:rPr>
                <w:rFonts w:hint="eastAsia"/>
                <w:color w:val="auto"/>
                <w:vertAlign w:val="subscript"/>
                <w:lang w:val="en-US" w:eastAsia="zh-CN"/>
              </w:rPr>
              <w:t>5</w:t>
            </w:r>
            <w:r>
              <w:rPr>
                <w:rFonts w:hint="eastAsia" w:cs="Times New Roman"/>
                <w:color w:val="auto"/>
                <w:lang w:val="en-US" w:eastAsia="zh-CN"/>
              </w:rPr>
              <w:t>200</w:t>
            </w:r>
            <w:r>
              <w:rPr>
                <w:rFonts w:hint="default" w:ascii="Times New Roman" w:hAnsi="Times New Roman" w:eastAsia="宋体" w:cs="Times New Roman"/>
                <w:color w:val="auto"/>
                <w:lang w:val="en-US" w:eastAsia="zh-CN"/>
              </w:rPr>
              <w:t>mg/L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氨氮</w:t>
            </w:r>
            <w:r>
              <w:rPr>
                <w:rFonts w:hint="eastAsia" w:cs="Times New Roman"/>
                <w:color w:val="auto"/>
                <w:lang w:val="en-US" w:eastAsia="zh-CN"/>
              </w:rPr>
              <w:t>20</w:t>
            </w:r>
            <w:r>
              <w:rPr>
                <w:rFonts w:hint="default" w:ascii="Times New Roman" w:hAnsi="Times New Roman" w:eastAsia="宋体" w:cs="Times New Roman"/>
                <w:color w:val="auto"/>
                <w:lang w:val="en-US" w:eastAsia="zh-CN"/>
              </w:rPr>
              <w:t xml:space="preserve">mg/L、总氮 </w:t>
            </w:r>
            <w:r>
              <w:rPr>
                <w:rFonts w:hint="eastAsia" w:cs="Times New Roman"/>
                <w:color w:val="auto"/>
                <w:lang w:val="en-US" w:eastAsia="zh-CN"/>
              </w:rPr>
              <w:t>30</w:t>
            </w:r>
            <w:r>
              <w:rPr>
                <w:rFonts w:hint="default" w:ascii="Times New Roman" w:hAnsi="Times New Roman" w:eastAsia="宋体" w:cs="Times New Roman"/>
                <w:color w:val="auto"/>
                <w:lang w:val="en-US" w:eastAsia="zh-CN"/>
              </w:rPr>
              <w:t>mg/L。</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净水机浓水</w:t>
            </w:r>
            <w:r>
              <w:rPr>
                <w:rFonts w:hint="default" w:ascii="Times New Roman" w:hAnsi="Times New Roman" w:eastAsia="宋体" w:cs="Times New Roman"/>
                <w:color w:val="auto"/>
                <w:lang w:val="en-US" w:eastAsia="zh-CN"/>
              </w:rPr>
              <w:t>属于清净下水</w:t>
            </w:r>
            <w:r>
              <w:rPr>
                <w:rFonts w:hint="eastAsia" w:cs="Times New Roman"/>
                <w:color w:val="auto"/>
                <w:lang w:val="en-US" w:eastAsia="zh-CN"/>
              </w:rPr>
              <w:t>，</w:t>
            </w:r>
            <w:r>
              <w:rPr>
                <w:rFonts w:hint="default" w:ascii="Times New Roman" w:hAnsi="Times New Roman" w:eastAsia="宋体" w:cs="Times New Roman"/>
                <w:color w:val="auto"/>
                <w:lang w:val="en-US" w:eastAsia="zh-CN"/>
              </w:rPr>
              <w:t>排放量约为</w:t>
            </w:r>
            <w:r>
              <w:rPr>
                <w:rFonts w:hint="eastAsia"/>
                <w:color w:val="auto"/>
                <w:lang w:val="en-US" w:eastAsia="zh-CN"/>
              </w:rPr>
              <w:t>0.009</w:t>
            </w:r>
            <w:r>
              <w:rPr>
                <w:rFonts w:hint="default"/>
                <w:color w:val="auto"/>
              </w:rPr>
              <w:t>m</w:t>
            </w:r>
            <w:r>
              <w:rPr>
                <w:rFonts w:hint="eastAsia"/>
                <w:color w:val="auto"/>
                <w:vertAlign w:val="superscript"/>
                <w:lang w:val="en-US" w:eastAsia="zh-CN"/>
              </w:rPr>
              <w:t>3</w:t>
            </w:r>
            <w:r>
              <w:rPr>
                <w:rFonts w:hint="default"/>
                <w:color w:val="auto"/>
              </w:rPr>
              <w:t>/d</w:t>
            </w:r>
            <w:r>
              <w:rPr>
                <w:rFonts w:hint="eastAsia"/>
                <w:color w:val="auto"/>
                <w:lang w:eastAsia="zh-CN"/>
              </w:rPr>
              <w:t>（</w:t>
            </w:r>
            <w:r>
              <w:rPr>
                <w:rFonts w:hint="eastAsia"/>
                <w:color w:val="auto"/>
                <w:lang w:val="en-US" w:eastAsia="zh-CN"/>
              </w:rPr>
              <w:t>2.25</w:t>
            </w:r>
            <w:r>
              <w:rPr>
                <w:rFonts w:hint="default"/>
                <w:color w:val="auto"/>
              </w:rPr>
              <w:t>m</w:t>
            </w:r>
            <w:r>
              <w:rPr>
                <w:rFonts w:hint="eastAsia"/>
                <w:color w:val="auto"/>
                <w:vertAlign w:val="superscript"/>
                <w:lang w:val="en-US" w:eastAsia="zh-CN"/>
              </w:rPr>
              <w:t>3</w:t>
            </w:r>
            <w:r>
              <w:rPr>
                <w:rFonts w:hint="default"/>
                <w:color w:val="auto"/>
              </w:rPr>
              <w:t>/</w:t>
            </w:r>
            <w:r>
              <w:rPr>
                <w:rFonts w:hint="eastAsia"/>
                <w:color w:val="auto"/>
                <w:lang w:val="en-US" w:eastAsia="zh-CN"/>
              </w:rPr>
              <w:t>a</w:t>
            </w:r>
            <w:r>
              <w:rPr>
                <w:rFonts w:hint="eastAsia"/>
                <w:color w:val="auto"/>
                <w:lang w:eastAsia="zh-CN"/>
              </w:rPr>
              <w:t>）</w:t>
            </w:r>
            <w:r>
              <w:rPr>
                <w:rFonts w:hint="default" w:ascii="Times New Roman" w:hAnsi="Times New Roman" w:eastAsia="宋体" w:cs="Times New Roman"/>
                <w:color w:val="auto"/>
                <w:lang w:val="en-US" w:eastAsia="zh-CN"/>
              </w:rPr>
              <w:t>。参考《反渗透/电去离子(RO/EDI )集成膜过程制备高纯水的研究》及同类工程实际运行资料</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主要污染物浓度为COD≤40mg/L、SS≤40mg/L。排入园区市政污水管网</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最终排至咸阳路污水处理厂处理。</w:t>
            </w:r>
          </w:p>
          <w:p>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color w:val="auto"/>
                <w:lang w:val="en-US" w:eastAsia="zh-CN"/>
              </w:rPr>
            </w:pPr>
            <w:r>
              <w:rPr>
                <w:rFonts w:hint="eastAsia" w:cs="Times New Roman"/>
                <w:color w:val="auto"/>
                <w:lang w:val="en-US" w:eastAsia="zh-CN"/>
              </w:rPr>
              <w:t>本项目动物饲养期间产生的粪便、尿液由笼子里的垫料收集，作为固体废物处理。</w:t>
            </w:r>
            <w:r>
              <w:rPr>
                <w:rFonts w:hint="eastAsia"/>
                <w:color w:val="auto"/>
                <w:highlight w:val="none"/>
                <w:lang w:val="en-US" w:eastAsia="zh-CN"/>
              </w:rPr>
              <w:t>动物房清洗废水、</w:t>
            </w:r>
            <w:r>
              <w:rPr>
                <w:rFonts w:hint="eastAsia" w:ascii="Times New Roman" w:hAnsi="Times New Roman" w:eastAsia="宋体" w:cs="Times New Roman"/>
                <w:color w:val="auto"/>
                <w:highlight w:val="none"/>
                <w:lang w:val="en-US" w:eastAsia="zh-CN"/>
              </w:rPr>
              <w:t>手</w:t>
            </w:r>
            <w:r>
              <w:rPr>
                <w:rFonts w:hint="eastAsia" w:ascii="Times New Roman" w:hAnsi="Times New Roman" w:eastAsia="宋体" w:cs="Times New Roman"/>
                <w:color w:val="auto"/>
                <w:lang w:val="en-US" w:eastAsia="zh-CN"/>
              </w:rPr>
              <w:t>术器具清洗废水产生浓度参考《医院污水处理工程技术规范》（HJ2029-2013）和《天津美联众合动物医院有限公司河北区滨海道分公司验收检测》（报告编号：YS200822）中废水水质监测结果中污水处理设备</w:t>
            </w:r>
            <w:r>
              <w:rPr>
                <w:rFonts w:hint="eastAsia" w:cs="Times New Roman"/>
                <w:color w:val="auto"/>
                <w:lang w:val="en-US" w:eastAsia="zh-CN"/>
              </w:rPr>
              <w:t>进口</w:t>
            </w:r>
            <w:r>
              <w:rPr>
                <w:rFonts w:hint="eastAsia" w:ascii="Times New Roman" w:hAnsi="Times New Roman" w:eastAsia="宋体" w:cs="Times New Roman"/>
                <w:color w:val="auto"/>
                <w:lang w:val="en-US" w:eastAsia="zh-CN"/>
              </w:rPr>
              <w:t>处的污染物监测浓度。天津美联众合动物医院有限公司河北区滨海道分公司主要承担宠物猫、宠物狗的</w:t>
            </w:r>
            <w:r>
              <w:rPr>
                <w:rFonts w:hint="eastAsia" w:cs="Times New Roman"/>
                <w:color w:val="auto"/>
                <w:lang w:val="en-US" w:eastAsia="zh-CN"/>
              </w:rPr>
              <w:t>三腔手术</w:t>
            </w:r>
            <w:r>
              <w:rPr>
                <w:rFonts w:hint="eastAsia" w:ascii="Times New Roman" w:hAnsi="Times New Roman" w:eastAsia="宋体" w:cs="Times New Roman"/>
                <w:color w:val="auto"/>
                <w:lang w:val="en-US" w:eastAsia="zh-CN"/>
              </w:rPr>
              <w:t>、清洗美容和短期寄养服务，</w:t>
            </w:r>
            <w:r>
              <w:rPr>
                <w:rFonts w:hint="eastAsia" w:cs="Times New Roman"/>
                <w:color w:val="auto"/>
                <w:lang w:val="en-US" w:eastAsia="zh-CN"/>
              </w:rPr>
              <w:t>排放废水为</w:t>
            </w:r>
            <w:r>
              <w:rPr>
                <w:rFonts w:hint="eastAsia" w:ascii="Times New Roman" w:hAnsi="Times New Roman" w:eastAsia="宋体" w:cs="Times New Roman"/>
                <w:color w:val="auto"/>
                <w:lang w:val="en-US" w:eastAsia="zh-CN"/>
              </w:rPr>
              <w:t>医疗废水</w:t>
            </w:r>
            <w:r>
              <w:rPr>
                <w:rFonts w:hint="eastAsia" w:cs="Times New Roman"/>
                <w:color w:val="auto"/>
                <w:lang w:val="en-US" w:eastAsia="zh-CN"/>
              </w:rPr>
              <w:t>（包括诊室洗手用水、高压灭菌锅消毒用水、手术室用水、化验室仪器低浓度清洗废水以及清洗动物笼具底盘用水等）</w:t>
            </w:r>
            <w:r>
              <w:rPr>
                <w:rFonts w:hint="eastAsia" w:ascii="Times New Roman" w:hAnsi="Times New Roman" w:eastAsia="宋体" w:cs="Times New Roman"/>
                <w:color w:val="auto"/>
                <w:lang w:val="en-US" w:eastAsia="zh-CN"/>
              </w:rPr>
              <w:t>经废水处理设施处理后进入市政污水管网。废水来源</w:t>
            </w:r>
            <w:r>
              <w:rPr>
                <w:rFonts w:hint="eastAsia" w:cs="Times New Roman"/>
                <w:color w:val="auto"/>
                <w:lang w:val="en-US" w:eastAsia="zh-CN"/>
              </w:rPr>
              <w:t>相似</w:t>
            </w:r>
            <w:r>
              <w:rPr>
                <w:rFonts w:hint="eastAsia" w:ascii="Times New Roman" w:hAnsi="Times New Roman" w:eastAsia="宋体" w:cs="Times New Roman"/>
                <w:color w:val="auto"/>
                <w:lang w:val="en-US" w:eastAsia="zh-CN"/>
              </w:rPr>
              <w:t>，具有可参考性。</w:t>
            </w:r>
            <w:r>
              <w:rPr>
                <w:rFonts w:hint="eastAsia"/>
                <w:color w:val="auto"/>
                <w:lang w:val="en-US" w:eastAsia="zh-CN"/>
              </w:rPr>
              <w:t>主要污染物浓度分别为pH7.55~7.68、SS≤183mg/L、COD</w:t>
            </w:r>
            <w:r>
              <w:rPr>
                <w:rFonts w:hint="eastAsia"/>
                <w:color w:val="auto"/>
                <w:vertAlign w:val="subscript"/>
                <w:lang w:val="en-US" w:eastAsia="zh-CN"/>
              </w:rPr>
              <w:t>cr</w:t>
            </w:r>
            <w:r>
              <w:rPr>
                <w:rFonts w:hint="eastAsia"/>
                <w:color w:val="auto"/>
                <w:lang w:val="en-US" w:eastAsia="zh-CN"/>
              </w:rPr>
              <w:t>≤235mg/L、BOD</w:t>
            </w:r>
            <w:r>
              <w:rPr>
                <w:rFonts w:hint="eastAsia"/>
                <w:color w:val="auto"/>
                <w:vertAlign w:val="subscript"/>
                <w:lang w:val="en-US" w:eastAsia="zh-CN"/>
              </w:rPr>
              <w:t>5</w:t>
            </w:r>
            <w:r>
              <w:rPr>
                <w:rFonts w:hint="eastAsia"/>
                <w:color w:val="auto"/>
                <w:lang w:val="en-US" w:eastAsia="zh-CN"/>
              </w:rPr>
              <w:t>≤82mg/L、氨氮≤29.4mg/L、总磷≤3.23mg/L、总氮≤41.9mg/L、粪大肠菌群数1800MPN/L。</w:t>
            </w:r>
          </w:p>
          <w:p>
            <w:pPr>
              <w:pStyle w:val="8"/>
              <w:ind w:firstLine="480"/>
              <w:rPr>
                <w:color w:val="auto"/>
              </w:rPr>
            </w:pPr>
            <w:r>
              <w:rPr>
                <w:bCs/>
                <w:color w:val="auto"/>
                <w:kern w:val="0"/>
                <w:lang w:val="en-US" w:eastAsia="zh-CN"/>
              </w:rPr>
              <w:t>本</w:t>
            </w:r>
            <w:r>
              <w:rPr>
                <w:rFonts w:hint="eastAsia"/>
                <w:bCs/>
                <w:color w:val="auto"/>
                <w:kern w:val="0"/>
                <w:lang w:val="en-US" w:eastAsia="zh-CN"/>
              </w:rPr>
              <w:t>项目</w:t>
            </w:r>
            <w:r>
              <w:rPr>
                <w:bCs/>
                <w:color w:val="auto"/>
                <w:kern w:val="0"/>
                <w:lang w:val="en-US" w:eastAsia="zh-CN"/>
              </w:rPr>
              <w:t>采用1套一体机，尺寸为0.</w:t>
            </w:r>
            <w:r>
              <w:rPr>
                <w:rFonts w:hint="eastAsia"/>
                <w:bCs/>
                <w:color w:val="auto"/>
                <w:kern w:val="0"/>
                <w:lang w:val="en-US" w:eastAsia="zh-CN"/>
              </w:rPr>
              <w:t>67</w:t>
            </w:r>
            <w:r>
              <w:rPr>
                <w:bCs/>
                <w:color w:val="auto"/>
                <w:kern w:val="0"/>
                <w:lang w:val="en-US" w:eastAsia="zh-CN"/>
              </w:rPr>
              <w:t>m×0.</w:t>
            </w:r>
            <w:r>
              <w:rPr>
                <w:rFonts w:hint="eastAsia"/>
                <w:bCs/>
                <w:color w:val="auto"/>
                <w:kern w:val="0"/>
                <w:lang w:val="en-US" w:eastAsia="zh-CN"/>
              </w:rPr>
              <w:t>42</w:t>
            </w:r>
            <w:r>
              <w:rPr>
                <w:bCs/>
                <w:color w:val="auto"/>
                <w:kern w:val="0"/>
                <w:lang w:val="en-US" w:eastAsia="zh-CN"/>
              </w:rPr>
              <w:t>m×</w:t>
            </w:r>
            <w:r>
              <w:rPr>
                <w:rFonts w:hint="eastAsia"/>
                <w:bCs/>
                <w:color w:val="auto"/>
                <w:kern w:val="0"/>
                <w:lang w:val="en-US" w:eastAsia="zh-CN"/>
              </w:rPr>
              <w:t>1</w:t>
            </w:r>
            <w:r>
              <w:rPr>
                <w:bCs/>
                <w:color w:val="auto"/>
                <w:kern w:val="0"/>
                <w:lang w:val="en-US" w:eastAsia="zh-CN"/>
              </w:rPr>
              <w:t>m，</w:t>
            </w:r>
            <w:r>
              <w:rPr>
                <w:rFonts w:hint="default"/>
                <w:bCs/>
                <w:color w:val="auto"/>
                <w:kern w:val="0"/>
                <w:lang w:val="en-US" w:eastAsia="zh-CN"/>
              </w:rPr>
              <w:t>处理规模为</w:t>
            </w:r>
            <w:r>
              <w:rPr>
                <w:rFonts w:hint="eastAsia"/>
                <w:bCs/>
                <w:color w:val="auto"/>
                <w:kern w:val="0"/>
                <w:lang w:val="en-US" w:eastAsia="zh-CN"/>
              </w:rPr>
              <w:t>1</w:t>
            </w:r>
            <w:r>
              <w:rPr>
                <w:rFonts w:hint="default"/>
                <w:bCs/>
                <w:color w:val="auto"/>
                <w:kern w:val="0"/>
                <w:lang w:val="en-US" w:eastAsia="zh-CN"/>
              </w:rPr>
              <w:t>m</w:t>
            </w:r>
            <w:r>
              <w:rPr>
                <w:rFonts w:hint="eastAsia"/>
                <w:bCs/>
                <w:color w:val="auto"/>
                <w:kern w:val="0"/>
                <w:vertAlign w:val="superscript"/>
                <w:lang w:val="en-US" w:eastAsia="zh-CN"/>
              </w:rPr>
              <w:t>3</w:t>
            </w:r>
            <w:r>
              <w:rPr>
                <w:rFonts w:hint="default"/>
                <w:bCs/>
                <w:color w:val="auto"/>
                <w:kern w:val="0"/>
                <w:lang w:val="en-US" w:eastAsia="zh-CN"/>
              </w:rPr>
              <w:t>/</w:t>
            </w:r>
            <w:r>
              <w:rPr>
                <w:rFonts w:hint="eastAsia"/>
                <w:bCs/>
                <w:color w:val="auto"/>
                <w:kern w:val="0"/>
                <w:lang w:val="en-US" w:eastAsia="zh-CN"/>
              </w:rPr>
              <w:t>h</w:t>
            </w:r>
            <w:r>
              <w:rPr>
                <w:rFonts w:hint="default"/>
                <w:bCs/>
                <w:color w:val="auto"/>
                <w:kern w:val="0"/>
                <w:lang w:val="en-US" w:eastAsia="zh-CN"/>
              </w:rPr>
              <w:t>，处理工艺为</w:t>
            </w:r>
            <w:r>
              <w:rPr>
                <w:rFonts w:hint="eastAsia"/>
                <w:bCs/>
                <w:color w:val="auto"/>
                <w:kern w:val="0"/>
                <w:lang w:val="en-US" w:eastAsia="zh-CN"/>
              </w:rPr>
              <w:t>“</w:t>
            </w:r>
            <w:r>
              <w:rPr>
                <w:rFonts w:hint="default"/>
                <w:bCs/>
                <w:color w:val="auto"/>
                <w:kern w:val="0"/>
                <w:lang w:val="en-US" w:eastAsia="zh-CN"/>
              </w:rPr>
              <w:t>过滤+二氧化氯消毒</w:t>
            </w:r>
            <w:r>
              <w:rPr>
                <w:rFonts w:hint="eastAsia"/>
                <w:bCs/>
                <w:color w:val="auto"/>
                <w:kern w:val="0"/>
                <w:lang w:val="en-US" w:eastAsia="zh-CN"/>
              </w:rPr>
              <w:t>”</w:t>
            </w:r>
            <w:r>
              <w:rPr>
                <w:rFonts w:hint="default"/>
                <w:bCs/>
                <w:color w:val="auto"/>
                <w:kern w:val="0"/>
                <w:lang w:val="en-US" w:eastAsia="zh-CN"/>
              </w:rPr>
              <w:t>，</w:t>
            </w:r>
            <w:r>
              <w:rPr>
                <w:rFonts w:hint="eastAsia"/>
                <w:bCs/>
                <w:color w:val="auto"/>
                <w:kern w:val="0"/>
                <w:lang w:val="en-US" w:eastAsia="zh-CN"/>
              </w:rPr>
              <w:t>本项目</w:t>
            </w:r>
            <w:r>
              <w:rPr>
                <w:rFonts w:hint="default"/>
                <w:bCs/>
                <w:color w:val="auto"/>
                <w:kern w:val="0"/>
                <w:lang w:val="en-US" w:eastAsia="zh-CN"/>
              </w:rPr>
              <w:t>废水排放量约为</w:t>
            </w:r>
            <w:r>
              <w:rPr>
                <w:rFonts w:hint="eastAsia"/>
                <w:bCs/>
                <w:color w:val="auto"/>
                <w:kern w:val="0"/>
                <w:lang w:val="en-US" w:eastAsia="zh-CN"/>
              </w:rPr>
              <w:t>0.76</w:t>
            </w:r>
            <w:r>
              <w:rPr>
                <w:rFonts w:hint="default"/>
                <w:bCs/>
                <w:color w:val="auto"/>
                <w:kern w:val="0"/>
                <w:lang w:val="en-US" w:eastAsia="zh-CN"/>
              </w:rPr>
              <w:t>m</w:t>
            </w:r>
            <w:r>
              <w:rPr>
                <w:rFonts w:hint="eastAsia"/>
                <w:bCs/>
                <w:color w:val="auto"/>
                <w:kern w:val="0"/>
                <w:vertAlign w:val="superscript"/>
                <w:lang w:val="en-US" w:eastAsia="zh-CN"/>
              </w:rPr>
              <w:t>3</w:t>
            </w:r>
            <w:r>
              <w:rPr>
                <w:rFonts w:hint="default"/>
                <w:bCs/>
                <w:color w:val="auto"/>
                <w:kern w:val="0"/>
                <w:lang w:val="en-US" w:eastAsia="zh-CN"/>
              </w:rPr>
              <w:t>/d，污水处理设备满足建设要求</w:t>
            </w:r>
            <w:r>
              <w:rPr>
                <w:rFonts w:hint="eastAsia"/>
                <w:bCs/>
                <w:color w:val="auto"/>
                <w:kern w:val="0"/>
                <w:lang w:val="en-US" w:eastAsia="zh-CN"/>
              </w:rPr>
              <w:t>。</w:t>
            </w:r>
            <w:r>
              <w:rPr>
                <w:rFonts w:hint="default"/>
                <w:bCs/>
                <w:color w:val="auto"/>
                <w:kern w:val="0"/>
                <w:lang w:val="en-US" w:eastAsia="zh-CN"/>
              </w:rPr>
              <w:t>根据《排污许可证申请与核发技术规范 水处理通用工序》（HJ1120-2020）中附录A废水污染防治可行技术参考表可知，本项目废水治理设施属于</w:t>
            </w:r>
            <w:r>
              <w:rPr>
                <w:rFonts w:hint="eastAsia"/>
                <w:bCs/>
                <w:color w:val="auto"/>
                <w:kern w:val="0"/>
                <w:lang w:val="en-US" w:eastAsia="zh-CN"/>
              </w:rPr>
              <w:t>“</w:t>
            </w:r>
            <w:r>
              <w:rPr>
                <w:rFonts w:hint="default"/>
                <w:bCs/>
                <w:color w:val="auto"/>
                <w:kern w:val="0"/>
                <w:lang w:val="en-US" w:eastAsia="zh-CN"/>
              </w:rPr>
              <w:t>服务类排污单位废水</w:t>
            </w:r>
            <w:r>
              <w:rPr>
                <w:rFonts w:hint="eastAsia"/>
                <w:bCs/>
                <w:color w:val="auto"/>
                <w:kern w:val="0"/>
                <w:lang w:val="en-US" w:eastAsia="zh-CN"/>
              </w:rPr>
              <w:t>”</w:t>
            </w:r>
            <w:r>
              <w:rPr>
                <w:rFonts w:hint="default"/>
                <w:bCs/>
                <w:color w:val="auto"/>
                <w:kern w:val="0"/>
                <w:lang w:val="en-US" w:eastAsia="zh-CN"/>
              </w:rPr>
              <w:t>类别可行技术。</w:t>
            </w:r>
            <w:r>
              <w:rPr>
                <w:rFonts w:hint="eastAsia"/>
                <w:color w:val="auto"/>
              </w:rPr>
              <w:t>项目营运期</w:t>
            </w:r>
            <w:r>
              <w:rPr>
                <w:rFonts w:hint="eastAsia"/>
                <w:color w:val="auto"/>
                <w:lang w:val="en-US" w:eastAsia="zh-CN"/>
              </w:rPr>
              <w:t>废水</w:t>
            </w:r>
            <w:r>
              <w:rPr>
                <w:rFonts w:hint="eastAsia"/>
                <w:color w:val="auto"/>
              </w:rPr>
              <w:t>水质预测值</w:t>
            </w:r>
            <w:r>
              <w:rPr>
                <w:rFonts w:hint="eastAsia"/>
                <w:color w:val="auto"/>
                <w:lang w:eastAsia="zh-CN"/>
              </w:rPr>
              <w:t>、设备处理效率、达标排放情况</w:t>
            </w:r>
            <w:r>
              <w:rPr>
                <w:rFonts w:hint="eastAsia"/>
                <w:color w:val="auto"/>
              </w:rPr>
              <w:t>见下表。</w:t>
            </w:r>
          </w:p>
          <w:p>
            <w:pPr>
              <w:pStyle w:val="83"/>
              <w:spacing w:before="120"/>
              <w:rPr>
                <w:bCs/>
                <w:color w:val="auto"/>
              </w:rPr>
            </w:pPr>
            <w:r>
              <w:rPr>
                <w:rFonts w:hint="eastAsia"/>
                <w:color w:val="auto"/>
              </w:rPr>
              <w:t>表4-</w:t>
            </w:r>
            <w:r>
              <w:rPr>
                <w:rFonts w:hint="eastAsia"/>
                <w:color w:val="auto"/>
                <w:lang w:val="en-US" w:eastAsia="zh-CN"/>
              </w:rPr>
              <w:t>13</w:t>
            </w:r>
            <w:r>
              <w:rPr>
                <w:rFonts w:hint="eastAsia"/>
                <w:color w:val="auto"/>
              </w:rPr>
              <w:t xml:space="preserve">    本项目</w:t>
            </w:r>
            <w:r>
              <w:rPr>
                <w:rFonts w:hint="eastAsia"/>
                <w:color w:val="auto"/>
                <w:lang w:eastAsia="zh-CN"/>
              </w:rPr>
              <w:t>污水处理设备处理效率及</w:t>
            </w:r>
            <w:r>
              <w:rPr>
                <w:rFonts w:hint="eastAsia"/>
                <w:color w:val="auto"/>
              </w:rPr>
              <w:t>废水</w:t>
            </w:r>
            <w:r>
              <w:rPr>
                <w:rFonts w:hint="eastAsia"/>
                <w:color w:val="auto"/>
                <w:lang w:eastAsia="zh-CN"/>
              </w:rPr>
              <w:t>排放、达标</w:t>
            </w:r>
            <w:r>
              <w:rPr>
                <w:rFonts w:hint="eastAsia"/>
                <w:color w:val="auto"/>
              </w:rPr>
              <w:t>情况一览表</w:t>
            </w:r>
          </w:p>
          <w:tbl>
            <w:tblPr>
              <w:tblStyle w:val="29"/>
              <w:tblW w:w="844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09"/>
              <w:gridCol w:w="1372"/>
              <w:gridCol w:w="859"/>
              <w:gridCol w:w="694"/>
              <w:gridCol w:w="534"/>
              <w:gridCol w:w="507"/>
              <w:gridCol w:w="559"/>
              <w:gridCol w:w="559"/>
              <w:gridCol w:w="590"/>
              <w:gridCol w:w="570"/>
              <w:gridCol w:w="714"/>
              <w:gridCol w:w="6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2181"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rPr>
                    <w:t>环节</w:t>
                  </w:r>
                </w:p>
              </w:tc>
              <w:tc>
                <w:tcPr>
                  <w:tcW w:w="6260" w:type="dxa"/>
                  <w:gridSpan w:val="10"/>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rPr>
                    <w:t>污染物浓度（mg/L）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81"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vertAlign w:val="subscript"/>
                    </w:rPr>
                  </w:pPr>
                  <w:r>
                    <w:rPr>
                      <w:rFonts w:hint="eastAsia"/>
                      <w:b/>
                      <w:bCs/>
                      <w:color w:val="auto"/>
                      <w:sz w:val="21"/>
                      <w:szCs w:val="21"/>
                    </w:rPr>
                    <w:t>p</w:t>
                  </w:r>
                  <w:r>
                    <w:rPr>
                      <w:b/>
                      <w:bCs/>
                      <w:color w:val="auto"/>
                      <w:sz w:val="21"/>
                      <w:szCs w:val="21"/>
                    </w:rPr>
                    <w:t>H</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vertAlign w:val="subscript"/>
                    </w:rPr>
                  </w:pPr>
                  <w:r>
                    <w:rPr>
                      <w:b/>
                      <w:bCs/>
                      <w:color w:val="auto"/>
                      <w:sz w:val="21"/>
                      <w:szCs w:val="21"/>
                    </w:rPr>
                    <w:t>COD</w:t>
                  </w:r>
                  <w:r>
                    <w:rPr>
                      <w:b/>
                      <w:bCs/>
                      <w:color w:val="auto"/>
                      <w:sz w:val="21"/>
                      <w:szCs w:val="21"/>
                      <w:vertAlign w:val="subscript"/>
                    </w:rPr>
                    <w:t>cr</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BOD</w:t>
                  </w:r>
                  <w:r>
                    <w:rPr>
                      <w:b/>
                      <w:bCs/>
                      <w:color w:val="auto"/>
                      <w:sz w:val="21"/>
                      <w:szCs w:val="21"/>
                      <w:vertAlign w:val="subscript"/>
                    </w:rPr>
                    <w:t>5</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SS</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氨氮</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b/>
                      <w:bCs/>
                      <w:color w:val="auto"/>
                      <w:sz w:val="21"/>
                      <w:szCs w:val="21"/>
                    </w:rPr>
                    <w:t>总磷</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b/>
                      <w:bCs/>
                      <w:color w:val="auto"/>
                      <w:sz w:val="21"/>
                      <w:szCs w:val="21"/>
                    </w:rPr>
                    <w:t>总氮</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rPr>
                    <w:t>LAS</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b/>
                      <w:bCs/>
                      <w:color w:val="auto"/>
                      <w:sz w:val="21"/>
                      <w:szCs w:val="21"/>
                    </w:rPr>
                    <w:t>粪大肠菌群数</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rPr>
                    <w:t>余氯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eastAsia="zh-CN"/>
                    </w:rPr>
                  </w:pPr>
                  <w:r>
                    <w:rPr>
                      <w:rFonts w:hint="eastAsia"/>
                      <w:b/>
                      <w:bCs/>
                      <w:color w:val="auto"/>
                      <w:sz w:val="21"/>
                      <w:szCs w:val="21"/>
                      <w:highlight w:val="none"/>
                    </w:rPr>
                    <w:t>实验第三次清洗废水</w:t>
                  </w:r>
                  <w:r>
                    <w:rPr>
                      <w:rFonts w:hint="eastAsia"/>
                      <w:b/>
                      <w:bCs/>
                      <w:color w:val="auto"/>
                      <w:sz w:val="21"/>
                      <w:szCs w:val="21"/>
                      <w:highlight w:val="none"/>
                      <w:lang w:eastAsia="zh-CN"/>
                    </w:rPr>
                    <w:t>（</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045</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highlight w:val="none"/>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300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200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200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30</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auto"/>
                      <w:sz w:val="21"/>
                      <w:szCs w:val="21"/>
                    </w:rPr>
                  </w:pPr>
                  <w:r>
                    <w:rPr>
                      <w:rFonts w:hint="eastAsia"/>
                      <w:b w:val="0"/>
                      <w:bCs w:val="0"/>
                      <w:color w:val="auto"/>
                      <w:sz w:val="21"/>
                      <w:szCs w:val="21"/>
                      <w:lang w:val="en-US" w:eastAsia="zh-CN"/>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bCs/>
                      <w:color w:val="auto"/>
                      <w:sz w:val="21"/>
                      <w:szCs w:val="21"/>
                    </w:rPr>
                  </w:pPr>
                  <w:r>
                    <w:rPr>
                      <w:rFonts w:hint="eastAsia"/>
                      <w:b/>
                      <w:bCs/>
                      <w:color w:val="auto"/>
                      <w:sz w:val="21"/>
                      <w:szCs w:val="21"/>
                      <w:lang w:val="en-US" w:eastAsia="zh-CN"/>
                    </w:rPr>
                    <w:t>/</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lang w:eastAsia="zh-CN"/>
                    </w:rPr>
                    <w:t>实验服清洗废水（</w:t>
                  </w:r>
                  <w:r>
                    <w:rPr>
                      <w:rFonts w:hint="eastAsia" w:cs="Times New Roman"/>
                      <w:color w:val="auto"/>
                      <w:sz w:val="21"/>
                      <w:szCs w:val="21"/>
                      <w:lang w:val="en-US" w:eastAsia="zh-CN"/>
                    </w:rPr>
                    <w:t>11.25</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b/>
                      <w:bCs/>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400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220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300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50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10</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60</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val="0"/>
                      <w:bCs w:val="0"/>
                      <w:color w:val="auto"/>
                      <w:sz w:val="21"/>
                      <w:szCs w:val="21"/>
                      <w:lang w:val="en-US" w:eastAsia="zh-CN"/>
                    </w:rPr>
                  </w:pPr>
                  <w:r>
                    <w:rPr>
                      <w:rFonts w:hint="eastAsia"/>
                      <w:b w:val="0"/>
                      <w:bCs w:val="0"/>
                      <w:color w:val="auto"/>
                      <w:sz w:val="21"/>
                      <w:szCs w:val="21"/>
                      <w:lang w:val="en-US" w:eastAsia="zh-CN"/>
                    </w:rPr>
                    <w:t>25</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eastAsia="宋体"/>
                      <w:b/>
                      <w:bCs/>
                      <w:color w:val="auto"/>
                      <w:sz w:val="21"/>
                      <w:szCs w:val="21"/>
                      <w:lang w:val="en-US" w:eastAsia="zh-CN"/>
                    </w:rPr>
                  </w:pPr>
                  <w:r>
                    <w:rPr>
                      <w:rFonts w:hint="eastAsia"/>
                      <w:b/>
                      <w:bCs/>
                      <w:color w:val="auto"/>
                      <w:sz w:val="21"/>
                      <w:szCs w:val="21"/>
                      <w:lang w:val="en-US" w:eastAsia="zh-CN"/>
                    </w:rPr>
                    <w:t>/</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val="en-US" w:eastAsia="zh-CN"/>
                    </w:rPr>
                  </w:pPr>
                  <w:r>
                    <w:rPr>
                      <w:rFonts w:hint="eastAsia"/>
                      <w:b/>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90"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eastAsia="zh-CN"/>
                    </w:rPr>
                  </w:pPr>
                  <w:r>
                    <w:rPr>
                      <w:rFonts w:hint="eastAsia"/>
                      <w:b/>
                      <w:bCs/>
                      <w:color w:val="auto"/>
                      <w:sz w:val="21"/>
                      <w:szCs w:val="21"/>
                      <w:highlight w:val="none"/>
                    </w:rPr>
                    <w:t>动物房清洗废水、手术器具清洗废水</w:t>
                  </w:r>
                  <w:r>
                    <w:rPr>
                      <w:rFonts w:hint="eastAsia"/>
                      <w:b/>
                      <w:bCs/>
                      <w:color w:val="auto"/>
                      <w:sz w:val="21"/>
                      <w:szCs w:val="21"/>
                      <w:highlight w:val="none"/>
                      <w:lang w:eastAsia="zh-CN"/>
                    </w:rPr>
                    <w:t>（</w:t>
                  </w:r>
                  <w:r>
                    <w:rPr>
                      <w:rFonts w:hint="eastAsia" w:cs="Times New Roman"/>
                      <w:color w:val="auto"/>
                      <w:sz w:val="21"/>
                      <w:szCs w:val="21"/>
                      <w:lang w:val="en-US" w:eastAsia="zh-CN"/>
                    </w:rPr>
                    <w:t>178.884</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highlight w:val="none"/>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b/>
                      <w:bCs/>
                      <w:color w:val="auto"/>
                      <w:sz w:val="21"/>
                      <w:szCs w:val="21"/>
                    </w:rPr>
                  </w:pPr>
                  <w:r>
                    <w:rPr>
                      <w:rFonts w:hint="eastAsia"/>
                      <w:color w:val="auto"/>
                      <w:sz w:val="21"/>
                      <w:szCs w:val="21"/>
                    </w:rPr>
                    <w:t>7.55~7.68</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235</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82</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183</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29.4</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3.23</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41.9</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auto"/>
                      <w:sz w:val="21"/>
                      <w:szCs w:val="21"/>
                    </w:rPr>
                  </w:pPr>
                  <w:r>
                    <w:rPr>
                      <w:rFonts w:hint="eastAsia"/>
                      <w:b w:val="0"/>
                      <w:bCs w:val="0"/>
                      <w:color w:val="auto"/>
                      <w:sz w:val="21"/>
                      <w:szCs w:val="21"/>
                      <w:lang w:val="en-US" w:eastAsia="zh-CN"/>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val="0"/>
                      <w:bCs w:val="0"/>
                      <w:color w:val="auto"/>
                      <w:sz w:val="21"/>
                      <w:szCs w:val="21"/>
                      <w:lang w:val="en-US" w:eastAsia="zh-CN"/>
                    </w:rPr>
                  </w:pPr>
                  <w:r>
                    <w:rPr>
                      <w:rFonts w:hint="eastAsia"/>
                      <w:b w:val="0"/>
                      <w:bCs w:val="0"/>
                      <w:color w:val="auto"/>
                      <w:sz w:val="21"/>
                      <w:szCs w:val="21"/>
                      <w:lang w:val="en-US" w:eastAsia="zh-CN"/>
                    </w:rPr>
                    <w:t>1800</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b w:val="0"/>
                      <w:bCs w:val="0"/>
                      <w:color w:val="auto"/>
                      <w:sz w:val="21"/>
                      <w:szCs w:val="21"/>
                    </w:rPr>
                  </w:pPr>
                  <w:r>
                    <w:rPr>
                      <w:rFonts w:hint="eastAsia"/>
                      <w:b w:val="0"/>
                      <w:bCs w:val="0"/>
                      <w:color w:val="auto"/>
                      <w:sz w:val="21"/>
                      <w:szCs w:val="21"/>
                      <w:lang w:val="en-US" w:eastAsia="zh-CN"/>
                    </w:rPr>
                    <w:t>MPN/L</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b/>
                      <w:bCs/>
                      <w:color w:val="auto"/>
                      <w:sz w:val="21"/>
                      <w:szCs w:val="21"/>
                    </w:rPr>
                  </w:pPr>
                  <w:r>
                    <w:rPr>
                      <w:rFonts w:hint="eastAsia"/>
                      <w:b/>
                      <w:bCs/>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eastAsia="zh-CN"/>
                    </w:rPr>
                  </w:pPr>
                  <w:r>
                    <w:rPr>
                      <w:rFonts w:hint="eastAsia"/>
                      <w:b/>
                      <w:bCs/>
                      <w:color w:val="auto"/>
                      <w:sz w:val="21"/>
                      <w:szCs w:val="21"/>
                    </w:rPr>
                    <w:t>进水</w:t>
                  </w:r>
                  <w:r>
                    <w:rPr>
                      <w:rFonts w:hint="eastAsia"/>
                      <w:b/>
                      <w:bCs/>
                      <w:color w:val="auto"/>
                      <w:sz w:val="21"/>
                      <w:szCs w:val="21"/>
                      <w:lang w:eastAsia="zh-CN"/>
                    </w:rPr>
                    <w:t>（</w:t>
                  </w:r>
                  <w:r>
                    <w:rPr>
                      <w:rFonts w:hint="eastAsia" w:cs="Times New Roman"/>
                      <w:color w:val="auto"/>
                      <w:sz w:val="21"/>
                      <w:szCs w:val="21"/>
                      <w:lang w:val="en-US" w:eastAsia="zh-CN"/>
                    </w:rPr>
                    <w:t>190.179</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245</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90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190</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31</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3.64</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43</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1</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1693</w:t>
                  </w:r>
                  <w:r>
                    <w:rPr>
                      <w:rFonts w:hint="eastAsia" w:ascii="Times New Roman" w:hAnsi="Times New Roman" w:cs="Times New Roman"/>
                      <w:color w:val="auto"/>
                      <w:sz w:val="21"/>
                      <w:szCs w:val="21"/>
                      <w:lang w:val="en-US" w:eastAsia="zh-CN"/>
                    </w:rPr>
                    <w:t xml:space="preserve"> </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80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lang w:eastAsia="zh-CN"/>
                    </w:rPr>
                    <w:t>过滤</w:t>
                  </w:r>
                  <w:r>
                    <w:rPr>
                      <w:rFonts w:hint="eastAsia"/>
                      <w:b/>
                      <w:bCs/>
                      <w:color w:val="auto"/>
                      <w:sz w:val="21"/>
                      <w:szCs w:val="21"/>
                      <w:lang w:val="en-US" w:eastAsia="zh-CN"/>
                    </w:rPr>
                    <w:t>+</w:t>
                  </w:r>
                  <w:r>
                    <w:rPr>
                      <w:rFonts w:hint="eastAsia"/>
                      <w:b/>
                      <w:bCs/>
                      <w:color w:val="auto"/>
                      <w:sz w:val="21"/>
                      <w:szCs w:val="21"/>
                    </w:rPr>
                    <w:t>消毒</w:t>
                  </w:r>
                </w:p>
              </w:tc>
              <w:tc>
                <w:tcPr>
                  <w:tcW w:w="1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b/>
                      <w:bCs/>
                      <w:color w:val="auto"/>
                      <w:sz w:val="21"/>
                      <w:szCs w:val="21"/>
                    </w:rPr>
                    <w:t>去除率（%）</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b/>
                      <w:bCs/>
                      <w:color w:val="auto"/>
                      <w:sz w:val="21"/>
                      <w:szCs w:val="21"/>
                      <w:lang w:val="en-US" w:eastAsia="zh-CN"/>
                    </w:rPr>
                  </w:pPr>
                  <w:r>
                    <w:rPr>
                      <w:rFonts w:hint="eastAsia"/>
                      <w:b w:val="0"/>
                      <w:bCs w:val="0"/>
                      <w:color w:val="auto"/>
                      <w:sz w:val="21"/>
                      <w:szCs w:val="21"/>
                      <w:lang w:val="en-US" w:eastAsia="zh-CN"/>
                    </w:rPr>
                    <w:t>70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b/>
                      <w:bCs/>
                      <w:color w:val="auto"/>
                      <w:sz w:val="21"/>
                      <w:szCs w:val="21"/>
                    </w:rPr>
                  </w:pPr>
                  <w:r>
                    <w:rPr>
                      <w:rFonts w:hint="eastAsia"/>
                      <w:color w:val="auto"/>
                      <w:sz w:val="21"/>
                      <w:szCs w:val="21"/>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99</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27" w:hRule="atLeast"/>
                <w:jc w:val="center"/>
              </w:trPr>
              <w:tc>
                <w:tcPr>
                  <w:tcW w:w="80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p>
              </w:tc>
              <w:tc>
                <w:tcPr>
                  <w:tcW w:w="13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b/>
                      <w:bCs/>
                      <w:color w:val="auto"/>
                      <w:sz w:val="21"/>
                      <w:szCs w:val="21"/>
                    </w:rPr>
                    <w:t>水质</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245</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90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57</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31</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3.64</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43</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s="Times New Roman"/>
                      <w:color w:val="auto"/>
                      <w:sz w:val="21"/>
                      <w:szCs w:val="21"/>
                      <w:lang w:val="en-US" w:eastAsia="zh-CN"/>
                    </w:rPr>
                    <w:t>1</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17</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26"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rPr>
                  </w:pPr>
                  <w:r>
                    <w:rPr>
                      <w:rFonts w:hint="eastAsia"/>
                      <w:b/>
                      <w:bCs/>
                      <w:color w:val="auto"/>
                      <w:sz w:val="21"/>
                      <w:szCs w:val="21"/>
                      <w:lang w:eastAsia="zh-CN"/>
                    </w:rPr>
                    <w:t>污水处理设备</w:t>
                  </w:r>
                  <w:r>
                    <w:rPr>
                      <w:rFonts w:hint="eastAsia"/>
                      <w:b/>
                      <w:bCs/>
                      <w:color w:val="auto"/>
                      <w:sz w:val="21"/>
                      <w:szCs w:val="21"/>
                    </w:rPr>
                    <w:t>出水</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rPr>
                    <w:t>（预测值）</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245</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90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57</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31</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3.64</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43</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b/>
                      <w:bCs/>
                      <w:color w:val="auto"/>
                      <w:sz w:val="21"/>
                      <w:szCs w:val="21"/>
                    </w:rPr>
                  </w:pPr>
                  <w:r>
                    <w:rPr>
                      <w:rFonts w:hint="eastAsia" w:cs="Times New Roman"/>
                      <w:color w:val="auto"/>
                      <w:sz w:val="21"/>
                      <w:szCs w:val="21"/>
                      <w:lang w:val="en-US" w:eastAsia="zh-CN"/>
                    </w:rPr>
                    <w:t>1</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color w:val="auto"/>
                      <w:sz w:val="21"/>
                      <w:szCs w:val="21"/>
                      <w:lang w:val="en-US"/>
                    </w:rPr>
                  </w:pPr>
                  <w:r>
                    <w:rPr>
                      <w:rFonts w:hint="eastAsia"/>
                      <w:color w:val="auto"/>
                      <w:sz w:val="21"/>
                      <w:szCs w:val="21"/>
                      <w:lang w:val="en-US" w:eastAsia="zh-CN"/>
                    </w:rPr>
                    <w:t>17</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b/>
                      <w:bCs/>
                      <w:color w:val="auto"/>
                      <w:sz w:val="21"/>
                      <w:szCs w:val="21"/>
                    </w:rPr>
                    <w:t>医疗机构水污染物排放标准</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250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100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60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45</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8</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70</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10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5000</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color w:val="auto"/>
                      <w:sz w:val="21"/>
                      <w:szCs w:val="21"/>
                    </w:rPr>
                  </w:pPr>
                  <w:r>
                    <w:rPr>
                      <w:rFonts w:hint="eastAsia"/>
                      <w:color w:val="auto"/>
                      <w:sz w:val="21"/>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lang w:eastAsia="zh-CN"/>
                    </w:rPr>
                    <w:t>生活污水（</w:t>
                  </w:r>
                  <w:r>
                    <w:rPr>
                      <w:rFonts w:hint="eastAsia" w:cs="Times New Roman"/>
                      <w:color w:val="auto"/>
                      <w:sz w:val="21"/>
                      <w:szCs w:val="21"/>
                      <w:lang w:val="en-US" w:eastAsia="zh-CN"/>
                    </w:rPr>
                    <w:t>222.75</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350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250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300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3</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45</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5</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1000</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b/>
                      <w:bCs/>
                      <w:color w:val="auto"/>
                      <w:sz w:val="21"/>
                      <w:szCs w:val="21"/>
                    </w:rPr>
                  </w:pPr>
                  <w:r>
                    <w:rPr>
                      <w:rFonts w:hint="eastAsia"/>
                      <w:b/>
                      <w:bCs/>
                      <w:color w:val="auto"/>
                      <w:sz w:val="21"/>
                      <w:szCs w:val="21"/>
                      <w:lang w:eastAsia="zh-CN"/>
                    </w:rPr>
                    <w:t>净水机浓水（</w:t>
                  </w:r>
                  <w:r>
                    <w:rPr>
                      <w:rFonts w:hint="eastAsia" w:cs="Times New Roman"/>
                      <w:color w:val="auto"/>
                      <w:sz w:val="21"/>
                      <w:szCs w:val="21"/>
                      <w:lang w:val="en-US" w:eastAsia="zh-CN"/>
                    </w:rPr>
                    <w:t>2.25</w:t>
                  </w:r>
                  <w:r>
                    <w:rPr>
                      <w:rFonts w:hint="eastAsia"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rPr>
                    <w:t>/a</w:t>
                  </w:r>
                  <w:r>
                    <w:rPr>
                      <w:rFonts w:hint="eastAsia"/>
                      <w:b/>
                      <w:bCs/>
                      <w:color w:val="auto"/>
                      <w:sz w:val="21"/>
                      <w:szCs w:val="21"/>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color w:val="auto"/>
                      <w:sz w:val="21"/>
                      <w:szCs w:val="21"/>
                    </w:rPr>
                  </w:pPr>
                  <w:r>
                    <w:rPr>
                      <w:rFonts w:hint="eastAsia"/>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40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rFonts w:hint="eastAsia"/>
                      <w:color w:val="auto"/>
                      <w:sz w:val="21"/>
                      <w:szCs w:val="21"/>
                    </w:rPr>
                    <w:t>/</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40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rPr>
                  </w:pPr>
                  <w:r>
                    <w:rPr>
                      <w:rFonts w:hint="eastAsia"/>
                      <w:color w:val="auto"/>
                      <w:sz w:val="21"/>
                      <w:szCs w:val="21"/>
                    </w:rPr>
                    <w:t>/</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rPr>
                  </w:pPr>
                  <w:r>
                    <w:rPr>
                      <w:rFonts w:hint="eastAsia"/>
                      <w:color w:val="auto"/>
                      <w:sz w:val="21"/>
                      <w:szCs w:val="21"/>
                    </w:rPr>
                    <w:t>/</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auto"/>
                      <w:sz w:val="21"/>
                      <w:szCs w:val="21"/>
                    </w:rPr>
                  </w:pPr>
                  <w:r>
                    <w:rPr>
                      <w:rFonts w:hint="eastAsia"/>
                      <w:color w:val="auto"/>
                      <w:sz w:val="21"/>
                      <w:szCs w:val="21"/>
                    </w:rPr>
                    <w:t>/</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总排口废水水质</w:t>
                  </w:r>
                  <w:r>
                    <w:rPr>
                      <w:rFonts w:hint="eastAsia"/>
                      <w:b w:val="0"/>
                      <w:bCs w:val="0"/>
                      <w:color w:val="auto"/>
                      <w:sz w:val="21"/>
                      <w:szCs w:val="21"/>
                      <w:lang w:eastAsia="zh-CN"/>
                    </w:rPr>
                    <w:t>（</w:t>
                  </w:r>
                  <w:r>
                    <w:rPr>
                      <w:rFonts w:hint="eastAsia"/>
                      <w:b w:val="0"/>
                      <w:bCs w:val="0"/>
                      <w:color w:val="auto"/>
                      <w:sz w:val="21"/>
                      <w:szCs w:val="21"/>
                      <w:lang w:val="en-US" w:eastAsia="zh-CN"/>
                    </w:rPr>
                    <w:t>415.179</w:t>
                  </w:r>
                  <w:r>
                    <w:rPr>
                      <w:rFonts w:hint="eastAsia" w:ascii="Times New Roman" w:hAnsi="Times New Roman" w:cs="Times New Roman"/>
                      <w:b w:val="0"/>
                      <w:bCs w:val="0"/>
                      <w:color w:val="auto"/>
                      <w:sz w:val="21"/>
                      <w:szCs w:val="21"/>
                      <w:lang w:val="en-US" w:eastAsia="zh-CN"/>
                    </w:rPr>
                    <w:t>m</w:t>
                  </w:r>
                  <w:r>
                    <w:rPr>
                      <w:rFonts w:hint="default" w:ascii="Times New Roman" w:hAnsi="Times New Roman" w:cs="Times New Roman"/>
                      <w:b w:val="0"/>
                      <w:bCs w:val="0"/>
                      <w:color w:val="auto"/>
                      <w:sz w:val="21"/>
                      <w:szCs w:val="21"/>
                      <w:vertAlign w:val="superscript"/>
                      <w:lang w:val="en-US" w:eastAsia="zh-CN"/>
                    </w:rPr>
                    <w:t>3</w:t>
                  </w:r>
                  <w:r>
                    <w:rPr>
                      <w:rFonts w:hint="default" w:ascii="Times New Roman" w:hAnsi="Times New Roman" w:cs="Times New Roman"/>
                      <w:b w:val="0"/>
                      <w:bCs w:val="0"/>
                      <w:color w:val="auto"/>
                      <w:sz w:val="21"/>
                      <w:szCs w:val="21"/>
                    </w:rPr>
                    <w:t>/a</w:t>
                  </w:r>
                  <w:r>
                    <w:rPr>
                      <w:rFonts w:hint="eastAsia"/>
                      <w:b w:val="0"/>
                      <w:bCs w:val="0"/>
                      <w:color w:val="auto"/>
                      <w:sz w:val="21"/>
                      <w:szCs w:val="21"/>
                      <w:lang w:eastAsia="zh-CN"/>
                    </w:rPr>
                    <w:t>）</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color w:val="auto"/>
                      <w:sz w:val="21"/>
                      <w:szCs w:val="21"/>
                      <w:lang w:val="en-US"/>
                    </w:rPr>
                  </w:pPr>
                  <w:r>
                    <w:rPr>
                      <w:rFonts w:hint="eastAsia" w:ascii="Times New Roman" w:hAnsi="Times New Roman" w:cs="Times New Roman"/>
                      <w:color w:val="auto"/>
                      <w:sz w:val="21"/>
                      <w:szCs w:val="21"/>
                      <w:lang w:val="en-US" w:eastAsia="zh-CN"/>
                    </w:rPr>
                    <w:t>30</w:t>
                  </w:r>
                  <w:r>
                    <w:rPr>
                      <w:rFonts w:hint="eastAsia" w:cs="Times New Roman"/>
                      <w:color w:val="auto"/>
                      <w:sz w:val="21"/>
                      <w:szCs w:val="21"/>
                      <w:lang w:val="en-US" w:eastAsia="zh-CN"/>
                    </w:rPr>
                    <w:t>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hint="eastAsia" w:cs="Times New Roman"/>
                      <w:color w:val="auto"/>
                      <w:sz w:val="21"/>
                      <w:szCs w:val="21"/>
                      <w:lang w:val="en-US" w:eastAsia="zh-CN"/>
                    </w:rPr>
                    <w:t>75</w:t>
                  </w:r>
                  <w:r>
                    <w:rPr>
                      <w:rFonts w:hint="eastAsia" w:ascii="Times New Roman" w:hAnsi="Times New Roman" w:cs="Times New Roman"/>
                      <w:color w:val="auto"/>
                      <w:sz w:val="21"/>
                      <w:szCs w:val="21"/>
                      <w:lang w:val="en-US" w:eastAsia="zh-CN"/>
                    </w:rPr>
                    <w:t xml:space="preserve"> </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248</w:t>
                  </w:r>
                  <w:r>
                    <w:rPr>
                      <w:rFonts w:hint="eastAsia" w:ascii="Times New Roman" w:hAnsi="Times New Roman" w:cs="Times New Roman"/>
                      <w:color w:val="auto"/>
                      <w:sz w:val="21"/>
                      <w:szCs w:val="21"/>
                      <w:lang w:val="en-US" w:eastAsia="zh-CN"/>
                    </w:rPr>
                    <w:t xml:space="preserve">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30 </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w:t>
                  </w:r>
                  <w:r>
                    <w:rPr>
                      <w:rFonts w:hint="eastAsia" w:cs="Times New Roman"/>
                      <w:color w:val="auto"/>
                      <w:sz w:val="21"/>
                      <w:szCs w:val="21"/>
                      <w:lang w:val="en-US" w:eastAsia="zh-CN"/>
                    </w:rPr>
                    <w:t>.28</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color w:val="auto"/>
                      <w:sz w:val="21"/>
                      <w:szCs w:val="21"/>
                    </w:rPr>
                  </w:pPr>
                  <w:r>
                    <w:rPr>
                      <w:rFonts w:hint="eastAsia" w:cs="Times New Roman"/>
                      <w:color w:val="auto"/>
                      <w:sz w:val="21"/>
                      <w:szCs w:val="21"/>
                      <w:lang w:val="en-US" w:eastAsia="zh-CN"/>
                    </w:rPr>
                    <w:t>44</w:t>
                  </w:r>
                  <w:r>
                    <w:rPr>
                      <w:rFonts w:hint="eastAsia" w:ascii="Times New Roman" w:hAnsi="Times New Roman" w:cs="Times New Roman"/>
                      <w:color w:val="auto"/>
                      <w:sz w:val="21"/>
                      <w:szCs w:val="21"/>
                      <w:lang w:val="en-US" w:eastAsia="zh-CN"/>
                    </w:rPr>
                    <w:t xml:space="preserve"> </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 xml:space="preserve">3 </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544</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85" w:hRule="atLeast"/>
                <w:jc w:val="center"/>
              </w:trPr>
              <w:tc>
                <w:tcPr>
                  <w:tcW w:w="2181"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eastAsia="zh-CN"/>
                    </w:rPr>
                    <w:t>污水综合排放标准</w:t>
                  </w:r>
                </w:p>
              </w:tc>
              <w:tc>
                <w:tcPr>
                  <w:tcW w:w="8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color w:val="auto"/>
                      <w:sz w:val="21"/>
                      <w:szCs w:val="21"/>
                    </w:rPr>
                  </w:pPr>
                  <w:r>
                    <w:rPr>
                      <w:color w:val="auto"/>
                      <w:sz w:val="21"/>
                      <w:szCs w:val="21"/>
                    </w:rPr>
                    <w:t>6-9</w:t>
                  </w:r>
                </w:p>
              </w:tc>
              <w:tc>
                <w:tcPr>
                  <w:tcW w:w="69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500</w:t>
                  </w:r>
                </w:p>
              </w:tc>
              <w:tc>
                <w:tcPr>
                  <w:tcW w:w="5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300</w:t>
                  </w:r>
                </w:p>
              </w:tc>
              <w:tc>
                <w:tcPr>
                  <w:tcW w:w="5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400</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45</w:t>
                  </w:r>
                </w:p>
              </w:tc>
              <w:tc>
                <w:tcPr>
                  <w:tcW w:w="5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8</w:t>
                  </w:r>
                </w:p>
              </w:tc>
              <w:tc>
                <w:tcPr>
                  <w:tcW w:w="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70</w:t>
                  </w:r>
                </w:p>
              </w:tc>
              <w:tc>
                <w:tcPr>
                  <w:tcW w:w="5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20</w:t>
                  </w:r>
                </w:p>
              </w:tc>
              <w:tc>
                <w:tcPr>
                  <w:tcW w:w="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eastAsia="宋体"/>
                      <w:color w:val="auto"/>
                      <w:sz w:val="21"/>
                      <w:szCs w:val="21"/>
                      <w:lang w:val="en-US" w:eastAsia="zh-CN"/>
                    </w:rPr>
                  </w:pPr>
                  <w:r>
                    <w:rPr>
                      <w:rFonts w:hint="eastAsia"/>
                      <w:color w:val="auto"/>
                      <w:sz w:val="21"/>
                      <w:szCs w:val="21"/>
                      <w:lang w:val="en-US" w:eastAsia="zh-CN"/>
                    </w:rPr>
                    <w:t>10000</w:t>
                  </w:r>
                  <w:r>
                    <w:rPr>
                      <w:rFonts w:hint="eastAsia"/>
                      <w:color w:val="auto"/>
                      <w:kern w:val="0"/>
                      <w:sz w:val="21"/>
                      <w:szCs w:val="21"/>
                      <w:lang w:val="en-US" w:eastAsia="zh-CN"/>
                    </w:rPr>
                    <w:t>个</w:t>
                  </w:r>
                  <w:r>
                    <w:rPr>
                      <w:color w:val="auto"/>
                      <w:kern w:val="0"/>
                      <w:sz w:val="21"/>
                      <w:szCs w:val="21"/>
                    </w:rPr>
                    <w:t>/L</w:t>
                  </w:r>
                </w:p>
              </w:tc>
              <w:tc>
                <w:tcPr>
                  <w:tcW w:w="67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eastAsia="宋体"/>
                      <w:color w:val="auto"/>
                      <w:sz w:val="21"/>
                      <w:szCs w:val="21"/>
                      <w:lang w:val="en-US" w:eastAsia="zh-CN"/>
                    </w:rPr>
                  </w:pPr>
                  <w:r>
                    <w:rPr>
                      <w:rFonts w:hint="eastAsia"/>
                      <w:color w:val="auto"/>
                      <w:sz w:val="21"/>
                      <w:szCs w:val="21"/>
                      <w:lang w:val="en-US" w:eastAsia="zh-CN"/>
                    </w:rPr>
                    <w:t>/</w:t>
                  </w:r>
                </w:p>
              </w:tc>
            </w:tr>
          </w:tbl>
          <w:p>
            <w:pPr>
              <w:pStyle w:val="8"/>
              <w:ind w:firstLine="480"/>
              <w:rPr>
                <w:color w:val="auto"/>
              </w:rPr>
            </w:pPr>
            <w:r>
              <w:rPr>
                <w:bCs/>
                <w:color w:val="auto"/>
                <w:kern w:val="0"/>
              </w:rPr>
              <w:t>由上表可知，</w:t>
            </w:r>
            <w:r>
              <w:rPr>
                <w:rFonts w:hint="eastAsia"/>
                <w:bCs/>
                <w:color w:val="auto"/>
                <w:kern w:val="0"/>
              </w:rPr>
              <w:t>本项目</w:t>
            </w:r>
            <w:r>
              <w:rPr>
                <w:rFonts w:hint="eastAsia"/>
                <w:color w:val="auto"/>
                <w:lang w:val="en-US" w:eastAsia="zh-CN"/>
              </w:rPr>
              <w:t>动物房清洗废水、手术器具清洁废水、第三次实验清洗废水、实验服清洗废水</w:t>
            </w:r>
            <w:r>
              <w:rPr>
                <w:rFonts w:hint="eastAsia"/>
                <w:bCs/>
                <w:color w:val="auto"/>
                <w:kern w:val="0"/>
              </w:rPr>
              <w:t>经</w:t>
            </w:r>
            <w:r>
              <w:rPr>
                <w:rFonts w:hint="eastAsia"/>
                <w:bCs/>
                <w:color w:val="auto"/>
                <w:kern w:val="0"/>
                <w:lang w:eastAsia="zh-CN"/>
              </w:rPr>
              <w:t>过滤、消毒处理</w:t>
            </w:r>
            <w:r>
              <w:rPr>
                <w:rFonts w:hint="eastAsia"/>
                <w:bCs/>
                <w:color w:val="auto"/>
                <w:kern w:val="0"/>
              </w:rPr>
              <w:t>后，</w:t>
            </w:r>
            <w:r>
              <w:rPr>
                <w:rFonts w:hint="eastAsia"/>
                <w:color w:val="auto"/>
                <w:lang w:eastAsia="zh-CN"/>
              </w:rPr>
              <w:t>废水污染物</w:t>
            </w:r>
            <w:r>
              <w:rPr>
                <w:rFonts w:hint="eastAsia"/>
                <w:color w:val="auto"/>
                <w:lang w:val="en-US" w:eastAsia="zh-CN"/>
              </w:rPr>
              <w:t>pH、SS、COD</w:t>
            </w:r>
            <w:r>
              <w:rPr>
                <w:rFonts w:hint="eastAsia"/>
                <w:color w:val="auto"/>
                <w:vertAlign w:val="subscript"/>
                <w:lang w:val="en-US" w:eastAsia="zh-CN"/>
              </w:rPr>
              <w:t>cr</w:t>
            </w:r>
            <w:r>
              <w:rPr>
                <w:rFonts w:hint="eastAsia"/>
                <w:color w:val="auto"/>
                <w:lang w:val="en-US" w:eastAsia="zh-CN"/>
              </w:rPr>
              <w:t>、BOD</w:t>
            </w:r>
            <w:r>
              <w:rPr>
                <w:rFonts w:hint="eastAsia"/>
                <w:color w:val="auto"/>
                <w:vertAlign w:val="subscript"/>
                <w:lang w:val="en-US" w:eastAsia="zh-CN"/>
              </w:rPr>
              <w:t>5</w:t>
            </w:r>
            <w:r>
              <w:rPr>
                <w:rFonts w:hint="eastAsia"/>
                <w:color w:val="auto"/>
                <w:lang w:val="en-US" w:eastAsia="zh-CN"/>
              </w:rPr>
              <w:t>、LAS、粪大肠菌群数、总余氯</w:t>
            </w:r>
            <w:r>
              <w:rPr>
                <w:rFonts w:hint="eastAsia"/>
                <w:color w:val="auto"/>
                <w:lang w:eastAsia="zh-CN"/>
              </w:rPr>
              <w:t>排放浓度</w:t>
            </w:r>
            <w:r>
              <w:rPr>
                <w:rFonts w:hint="eastAsia"/>
                <w:color w:val="auto"/>
              </w:rPr>
              <w:t>满足</w:t>
            </w:r>
            <w:r>
              <w:rPr>
                <w:color w:val="auto"/>
              </w:rPr>
              <w:t>《医疗机构水污染物排放标准》（GB18466-2005）中</w:t>
            </w:r>
            <w:r>
              <w:rPr>
                <w:rFonts w:hint="eastAsia"/>
                <w:color w:val="auto"/>
              </w:rPr>
              <w:t>表2</w:t>
            </w:r>
            <w:r>
              <w:rPr>
                <w:color w:val="auto"/>
              </w:rPr>
              <w:t>综合医疗机构和其他医疗机构水污染物排放标准限值要求，</w:t>
            </w:r>
            <w:r>
              <w:rPr>
                <w:rFonts w:hint="eastAsia"/>
                <w:color w:val="auto"/>
                <w:lang w:val="en-US" w:eastAsia="zh-CN"/>
              </w:rPr>
              <w:t>氨氮、总磷、总氮</w:t>
            </w:r>
            <w:r>
              <w:rPr>
                <w:rFonts w:hint="eastAsia"/>
                <w:color w:val="auto"/>
                <w:lang w:eastAsia="zh-CN"/>
              </w:rPr>
              <w:t>排放浓度</w:t>
            </w:r>
            <w:r>
              <w:rPr>
                <w:rFonts w:hint="eastAsia"/>
                <w:color w:val="auto"/>
              </w:rPr>
              <w:t>满足《污水综合排放标准》（DB12/356-2018）三级标准。</w:t>
            </w:r>
            <w:r>
              <w:rPr>
                <w:rFonts w:hint="eastAsia"/>
                <w:color w:val="auto"/>
                <w:lang w:eastAsia="zh-CN"/>
              </w:rPr>
              <w:t>污水总排口废水排放浓度满足</w:t>
            </w:r>
            <w:r>
              <w:rPr>
                <w:rFonts w:hint="eastAsia"/>
                <w:color w:val="auto"/>
              </w:rPr>
              <w:t>《污水综合排放标准》（DB12/356-2018）三级标准。</w:t>
            </w:r>
          </w:p>
          <w:p>
            <w:pPr>
              <w:pStyle w:val="4"/>
              <w:bidi w:val="0"/>
              <w:rPr>
                <w:color w:val="auto"/>
              </w:rPr>
            </w:pPr>
            <w:r>
              <w:rPr>
                <w:rFonts w:hint="eastAsia"/>
                <w:color w:val="auto"/>
                <w:lang w:val="en-US" w:eastAsia="zh-CN"/>
              </w:rPr>
              <w:t>4.3.2</w:t>
            </w:r>
            <w:r>
              <w:rPr>
                <w:color w:val="auto"/>
              </w:rPr>
              <w:t>依托污水处理设施可行性</w:t>
            </w:r>
          </w:p>
          <w:p>
            <w:pPr>
              <w:pStyle w:val="8"/>
              <w:bidi w:val="0"/>
              <w:rPr>
                <w:rFonts w:hint="eastAsia"/>
                <w:color w:val="auto"/>
                <w:lang w:val="en-US" w:eastAsia="zh-CN"/>
              </w:rPr>
            </w:pPr>
            <w:r>
              <w:rPr>
                <w:rFonts w:hint="eastAsia"/>
                <w:color w:val="auto"/>
                <w:lang w:val="en-US" w:eastAsia="zh-CN"/>
              </w:rPr>
              <w:t>天津创业环保集团股份有限公司咸阳路污水处理厂于2017年建设，由天津市市政工程设计院负责设计，污水处理厂建设规模为45万</w:t>
            </w:r>
            <w:r>
              <w:rPr>
                <w:color w:val="auto"/>
              </w:rPr>
              <w:t>m</w:t>
            </w:r>
            <w:r>
              <w:rPr>
                <w:rFonts w:hint="eastAsia"/>
                <w:color w:val="auto"/>
                <w:vertAlign w:val="superscript"/>
                <w:lang w:val="en-US" w:eastAsia="zh-CN"/>
              </w:rPr>
              <w:t>3</w:t>
            </w:r>
            <w:r>
              <w:rPr>
                <w:rFonts w:hint="eastAsia"/>
                <w:color w:val="auto"/>
                <w:lang w:val="en-US" w:eastAsia="zh-CN"/>
              </w:rPr>
              <w:t>/d，规划远期达到60万</w:t>
            </w:r>
            <w:r>
              <w:rPr>
                <w:color w:val="auto"/>
              </w:rPr>
              <w:t>m</w:t>
            </w:r>
            <w:r>
              <w:rPr>
                <w:rFonts w:hint="eastAsia"/>
                <w:color w:val="auto"/>
                <w:vertAlign w:val="superscript"/>
                <w:lang w:val="en-US" w:eastAsia="zh-CN"/>
              </w:rPr>
              <w:t>3</w:t>
            </w:r>
            <w:r>
              <w:rPr>
                <w:rFonts w:hint="eastAsia"/>
                <w:color w:val="auto"/>
                <w:lang w:val="en-US" w:eastAsia="zh-CN"/>
              </w:rPr>
              <w:t>/d 处理能力，污水处理采用“曝气沉砂池+速沉池+多级AO生物反应池+矩形周进周出沉淀池+反硝化生物滤池+高密度澄清池+V型滤池+臭氧高级催化氧化+紫外线消毒”处理工艺；污泥处理采用“机械浓缩脱水”工艺。出水水质达到天津市地方标准《城镇污水处理污染物排放标准》（DB12/599-2015）的A标准，最终排入大沽排水河。收水范围为咸阳路系统环内部分及西青环外两部分废水，环外两部分的污水。环内部分收水范围四至为：北至北运河、丁字沽三号路小区，南至宾水道，东至北门内大街、南开三马路、崇明路、津盐公路，西至华山南路。环内部分收水面积7310公顷。西青环外现状收水区域服务范围四至为：北至子牙河，东至外环线，南至津沫公路、独流减河，西至西青区区界线，服务面积14537公顷。西青环外远期收水区域服务范围：由陈台子排水河、独流减河、津沫公路围合的区域，区域面积约28km</w:t>
            </w:r>
            <w:r>
              <w:rPr>
                <w:rFonts w:hint="eastAsia"/>
                <w:color w:val="auto"/>
                <w:vertAlign w:val="superscript"/>
                <w:lang w:val="en-US" w:eastAsia="zh-CN"/>
              </w:rPr>
              <w:t>2</w:t>
            </w:r>
            <w:r>
              <w:rPr>
                <w:rFonts w:hint="eastAsia"/>
                <w:color w:val="auto"/>
                <w:lang w:val="en-US" w:eastAsia="zh-CN"/>
              </w:rPr>
              <w:t>。</w:t>
            </w:r>
          </w:p>
          <w:p>
            <w:pPr>
              <w:pStyle w:val="8"/>
              <w:bidi w:val="0"/>
              <w:ind w:firstLine="480"/>
              <w:rPr>
                <w:color w:val="auto"/>
              </w:rPr>
            </w:pPr>
            <w:r>
              <w:rPr>
                <w:rFonts w:hint="eastAsia"/>
                <w:color w:val="auto"/>
              </w:rPr>
              <w:t>根据天津市污染源监测数据管理与信息共享平台公布的数据，天津市咸阳路污水处理厂总排放口水质达标排放，</w:t>
            </w:r>
            <w:r>
              <w:rPr>
                <w:rFonts w:hint="eastAsia"/>
                <w:color w:val="auto"/>
                <w:lang w:val="en-US" w:eastAsia="zh-CN"/>
              </w:rPr>
              <w:t xml:space="preserve">水质情况如下。 </w:t>
            </w:r>
          </w:p>
          <w:p>
            <w:pPr>
              <w:pStyle w:val="83"/>
              <w:spacing w:before="120"/>
              <w:rPr>
                <w:color w:val="auto"/>
                <w:lang w:val="en-GB"/>
              </w:rPr>
            </w:pPr>
            <w:r>
              <w:rPr>
                <w:rFonts w:hint="eastAsia"/>
                <w:color w:val="auto"/>
              </w:rPr>
              <w:t>表4-1</w:t>
            </w:r>
            <w:r>
              <w:rPr>
                <w:rFonts w:hint="eastAsia"/>
                <w:color w:val="auto"/>
                <w:lang w:val="en-US" w:eastAsia="zh-CN"/>
              </w:rPr>
              <w:t>4</w:t>
            </w:r>
            <w:r>
              <w:rPr>
                <w:rFonts w:hint="eastAsia"/>
                <w:color w:val="auto"/>
              </w:rPr>
              <w:t xml:space="preserve">  </w:t>
            </w:r>
            <w:r>
              <w:rPr>
                <w:rFonts w:hint="eastAsia"/>
                <w:color w:val="auto"/>
                <w:lang w:val="en-US" w:eastAsia="zh-CN"/>
              </w:rPr>
              <w:t>咸阳路污水处理厂</w:t>
            </w:r>
            <w:r>
              <w:rPr>
                <w:rFonts w:hint="eastAsia"/>
                <w:color w:val="auto"/>
                <w:lang w:val="en-GB"/>
              </w:rPr>
              <w:t>近期出水水质情况</w:t>
            </w:r>
          </w:p>
          <w:tbl>
            <w:tblPr>
              <w:tblStyle w:val="29"/>
              <w:tblW w:w="837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493"/>
              <w:gridCol w:w="1421"/>
              <w:gridCol w:w="1618"/>
              <w:gridCol w:w="1543"/>
              <w:gridCol w:w="23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vMerge w:val="restart"/>
                  <w:tcBorders>
                    <w:tl2br w:val="nil"/>
                    <w:tr2bl w:val="nil"/>
                  </w:tcBorders>
                  <w:vAlign w:val="center"/>
                </w:tcPr>
                <w:p>
                  <w:pPr>
                    <w:spacing w:line="240" w:lineRule="auto"/>
                    <w:contextualSpacing/>
                    <w:jc w:val="center"/>
                    <w:rPr>
                      <w:b/>
                      <w:bCs/>
                      <w:color w:val="auto"/>
                      <w:sz w:val="21"/>
                      <w:szCs w:val="21"/>
                    </w:rPr>
                  </w:pPr>
                  <w:r>
                    <w:rPr>
                      <w:rFonts w:hint="eastAsia"/>
                      <w:b/>
                      <w:bCs/>
                      <w:color w:val="auto"/>
                      <w:sz w:val="21"/>
                      <w:szCs w:val="21"/>
                    </w:rPr>
                    <w:t>污染物</w:t>
                  </w:r>
                </w:p>
              </w:tc>
              <w:tc>
                <w:tcPr>
                  <w:tcW w:w="4582" w:type="dxa"/>
                  <w:gridSpan w:val="3"/>
                  <w:tcBorders>
                    <w:tl2br w:val="nil"/>
                    <w:tr2bl w:val="nil"/>
                  </w:tcBorders>
                  <w:vAlign w:val="center"/>
                </w:tcPr>
                <w:p>
                  <w:pPr>
                    <w:spacing w:line="240" w:lineRule="auto"/>
                    <w:contextualSpacing/>
                    <w:jc w:val="center"/>
                    <w:rPr>
                      <w:rFonts w:hint="eastAsia"/>
                      <w:b/>
                      <w:bCs/>
                      <w:color w:val="auto"/>
                      <w:sz w:val="21"/>
                      <w:szCs w:val="21"/>
                    </w:rPr>
                  </w:pPr>
                  <w:r>
                    <w:rPr>
                      <w:rFonts w:hint="eastAsia"/>
                      <w:b/>
                      <w:bCs/>
                      <w:color w:val="auto"/>
                      <w:sz w:val="21"/>
                      <w:szCs w:val="21"/>
                    </w:rPr>
                    <w:t>出水水质（</w:t>
                  </w:r>
                  <w:r>
                    <w:rPr>
                      <w:b/>
                      <w:bCs/>
                      <w:color w:val="auto"/>
                      <w:sz w:val="21"/>
                      <w:szCs w:val="21"/>
                    </w:rPr>
                    <w:t>mg/L</w:t>
                  </w:r>
                  <w:r>
                    <w:rPr>
                      <w:rFonts w:hint="eastAsia"/>
                      <w:b/>
                      <w:bCs/>
                      <w:color w:val="auto"/>
                      <w:sz w:val="21"/>
                      <w:szCs w:val="21"/>
                    </w:rPr>
                    <w:t>）</w:t>
                  </w:r>
                </w:p>
              </w:tc>
              <w:tc>
                <w:tcPr>
                  <w:tcW w:w="2304" w:type="dxa"/>
                  <w:vMerge w:val="restart"/>
                  <w:tcBorders>
                    <w:tl2br w:val="nil"/>
                    <w:tr2bl w:val="nil"/>
                  </w:tcBorders>
                  <w:vAlign w:val="center"/>
                </w:tcPr>
                <w:p>
                  <w:pPr>
                    <w:spacing w:line="240" w:lineRule="auto"/>
                    <w:contextualSpacing/>
                    <w:jc w:val="center"/>
                    <w:rPr>
                      <w:color w:val="auto"/>
                      <w:sz w:val="21"/>
                      <w:szCs w:val="21"/>
                    </w:rPr>
                  </w:pPr>
                  <w:r>
                    <w:rPr>
                      <w:rFonts w:hint="eastAsia"/>
                      <w:b/>
                      <w:bCs/>
                      <w:color w:val="auto"/>
                      <w:sz w:val="21"/>
                      <w:szCs w:val="21"/>
                    </w:rPr>
                    <w:t>标准限值（</w:t>
                  </w:r>
                  <w:r>
                    <w:rPr>
                      <w:b/>
                      <w:bCs/>
                      <w:color w:val="auto"/>
                      <w:sz w:val="21"/>
                      <w:szCs w:val="21"/>
                    </w:rPr>
                    <w:t>mg/L</w:t>
                  </w:r>
                  <w:r>
                    <w:rPr>
                      <w:rFonts w:hint="eastAsia"/>
                      <w:b/>
                      <w:bCs/>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vMerge w:val="continue"/>
                  <w:tcBorders>
                    <w:tl2br w:val="nil"/>
                    <w:tr2bl w:val="nil"/>
                  </w:tcBorders>
                  <w:vAlign w:val="center"/>
                </w:tcPr>
                <w:p>
                  <w:pPr>
                    <w:spacing w:line="240" w:lineRule="auto"/>
                    <w:contextualSpacing/>
                    <w:jc w:val="center"/>
                    <w:rPr>
                      <w:color w:val="auto"/>
                    </w:rPr>
                  </w:pPr>
                </w:p>
              </w:tc>
              <w:tc>
                <w:tcPr>
                  <w:tcW w:w="1421" w:type="dxa"/>
                  <w:tcBorders>
                    <w:tl2br w:val="nil"/>
                    <w:tr2bl w:val="nil"/>
                  </w:tcBorders>
                  <w:vAlign w:val="center"/>
                </w:tcPr>
                <w:p>
                  <w:pPr>
                    <w:spacing w:line="240" w:lineRule="auto"/>
                    <w:contextualSpacing/>
                    <w:jc w:val="center"/>
                    <w:rPr>
                      <w:rFonts w:hint="default" w:eastAsia="宋体"/>
                      <w:b/>
                      <w:bCs/>
                      <w:color w:val="auto"/>
                      <w:sz w:val="21"/>
                      <w:szCs w:val="21"/>
                      <w:lang w:val="en-US" w:eastAsia="zh-CN"/>
                    </w:rPr>
                  </w:pPr>
                  <w:r>
                    <w:rPr>
                      <w:rFonts w:hint="eastAsia"/>
                      <w:b/>
                      <w:bCs/>
                      <w:color w:val="auto"/>
                      <w:sz w:val="21"/>
                      <w:szCs w:val="21"/>
                      <w:lang w:val="en-US" w:eastAsia="zh-CN"/>
                    </w:rPr>
                    <w:t>2022.11.1</w:t>
                  </w:r>
                </w:p>
              </w:tc>
              <w:tc>
                <w:tcPr>
                  <w:tcW w:w="1618" w:type="dxa"/>
                  <w:tcBorders>
                    <w:tl2br w:val="nil"/>
                    <w:tr2bl w:val="nil"/>
                  </w:tcBorders>
                  <w:vAlign w:val="center"/>
                </w:tcPr>
                <w:p>
                  <w:pPr>
                    <w:spacing w:line="240" w:lineRule="auto"/>
                    <w:contextualSpacing/>
                    <w:jc w:val="center"/>
                    <w:rPr>
                      <w:rFonts w:hint="default" w:eastAsia="宋体"/>
                      <w:b/>
                      <w:bCs/>
                      <w:color w:val="auto"/>
                      <w:sz w:val="21"/>
                      <w:szCs w:val="21"/>
                      <w:lang w:val="en-US" w:eastAsia="zh-CN"/>
                    </w:rPr>
                  </w:pPr>
                  <w:r>
                    <w:rPr>
                      <w:rFonts w:hint="eastAsia"/>
                      <w:b/>
                      <w:bCs/>
                      <w:color w:val="auto"/>
                      <w:sz w:val="21"/>
                      <w:szCs w:val="21"/>
                      <w:lang w:val="en-US" w:eastAsia="zh-CN"/>
                    </w:rPr>
                    <w:t>2022.11.10</w:t>
                  </w:r>
                </w:p>
              </w:tc>
              <w:tc>
                <w:tcPr>
                  <w:tcW w:w="1543" w:type="dxa"/>
                  <w:tcBorders>
                    <w:tl2br w:val="nil"/>
                    <w:tr2bl w:val="nil"/>
                  </w:tcBorders>
                  <w:vAlign w:val="center"/>
                </w:tcPr>
                <w:p>
                  <w:pPr>
                    <w:spacing w:line="240" w:lineRule="auto"/>
                    <w:contextualSpacing/>
                    <w:jc w:val="center"/>
                    <w:rPr>
                      <w:rFonts w:hint="default" w:eastAsia="宋体"/>
                      <w:b/>
                      <w:bCs/>
                      <w:color w:val="auto"/>
                      <w:sz w:val="21"/>
                      <w:szCs w:val="21"/>
                      <w:lang w:val="en-US" w:eastAsia="zh-CN"/>
                    </w:rPr>
                  </w:pPr>
                  <w:r>
                    <w:rPr>
                      <w:rFonts w:hint="eastAsia"/>
                      <w:b/>
                      <w:bCs/>
                      <w:color w:val="auto"/>
                      <w:sz w:val="21"/>
                      <w:szCs w:val="21"/>
                      <w:lang w:val="en-US" w:eastAsia="zh-CN"/>
                    </w:rPr>
                    <w:t>2022.11.15</w:t>
                  </w:r>
                </w:p>
              </w:tc>
              <w:tc>
                <w:tcPr>
                  <w:tcW w:w="2304" w:type="dxa"/>
                  <w:vMerge w:val="continue"/>
                  <w:tcBorders>
                    <w:tl2br w:val="nil"/>
                    <w:tr2bl w:val="nil"/>
                  </w:tcBorders>
                  <w:vAlign w:val="center"/>
                </w:tcPr>
                <w:p>
                  <w:pPr>
                    <w:spacing w:line="240" w:lineRule="auto"/>
                    <w:contextualSpacing/>
                    <w:jc w:val="center"/>
                    <w:rPr>
                      <w:rFonts w:hint="eastAsia"/>
                      <w:b/>
                      <w:bCs/>
                      <w:color w:val="auto"/>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contextualSpacing/>
                    <w:jc w:val="center"/>
                    <w:rPr>
                      <w:rFonts w:hint="default" w:eastAsia="宋体"/>
                      <w:color w:val="auto"/>
                      <w:sz w:val="21"/>
                      <w:szCs w:val="21"/>
                      <w:vertAlign w:val="subscript"/>
                      <w:lang w:val="en-US" w:eastAsia="zh-CN"/>
                    </w:rPr>
                  </w:pPr>
                  <w:r>
                    <w:rPr>
                      <w:rFonts w:hint="eastAsia" w:ascii="Times New Roman" w:hAnsi="Times New Roman" w:eastAsia="宋体" w:cs="Times New Roman"/>
                      <w:color w:val="auto"/>
                      <w:sz w:val="21"/>
                      <w:szCs w:val="21"/>
                      <w:lang w:val="en-US" w:eastAsia="zh-CN"/>
                    </w:rPr>
                    <w:t>pH</w:t>
                  </w:r>
                </w:p>
              </w:tc>
              <w:tc>
                <w:tcPr>
                  <w:tcW w:w="1421"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7.5073</w:t>
                  </w:r>
                </w:p>
              </w:tc>
              <w:tc>
                <w:tcPr>
                  <w:tcW w:w="1618"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7.4555</w:t>
                  </w:r>
                </w:p>
              </w:tc>
              <w:tc>
                <w:tcPr>
                  <w:tcW w:w="1543"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7.4027</w:t>
                  </w:r>
                </w:p>
              </w:tc>
              <w:tc>
                <w:tcPr>
                  <w:tcW w:w="2304"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ind w:firstLine="0" w:firstLineChars="0"/>
                    <w:contextualSpacing/>
                    <w:jc w:val="center"/>
                    <w:rPr>
                      <w:rFonts w:hint="eastAsia" w:ascii="Times New Roman" w:hAnsi="Times New Roman" w:eastAsia="宋体" w:cs="Times New Roman"/>
                      <w:color w:val="auto"/>
                      <w:kern w:val="2"/>
                      <w:sz w:val="21"/>
                      <w:szCs w:val="21"/>
                      <w:vertAlign w:val="subscript"/>
                      <w:lang w:val="en-US" w:eastAsia="zh-CN" w:bidi="ar-SA"/>
                    </w:rPr>
                  </w:pPr>
                  <w:r>
                    <w:rPr>
                      <w:color w:val="auto"/>
                      <w:sz w:val="21"/>
                      <w:szCs w:val="21"/>
                    </w:rPr>
                    <w:t>COD</w:t>
                  </w:r>
                  <w:r>
                    <w:rPr>
                      <w:rFonts w:hint="eastAsia"/>
                      <w:color w:val="auto"/>
                      <w:sz w:val="21"/>
                      <w:szCs w:val="21"/>
                      <w:vertAlign w:val="subscript"/>
                      <w:lang w:val="en-US" w:eastAsia="zh-CN"/>
                    </w:rPr>
                    <w:t>cr</w:t>
                  </w:r>
                </w:p>
              </w:tc>
              <w:tc>
                <w:tcPr>
                  <w:tcW w:w="1421" w:type="dxa"/>
                  <w:tcBorders>
                    <w:tl2br w:val="nil"/>
                    <w:tr2bl w:val="nil"/>
                  </w:tcBorders>
                  <w:vAlign w:val="center"/>
                </w:tcPr>
                <w:p>
                  <w:pPr>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11.8069</w:t>
                  </w:r>
                </w:p>
              </w:tc>
              <w:tc>
                <w:tcPr>
                  <w:tcW w:w="1618" w:type="dxa"/>
                  <w:tcBorders>
                    <w:tl2br w:val="nil"/>
                    <w:tr2bl w:val="nil"/>
                  </w:tcBorders>
                  <w:vAlign w:val="center"/>
                </w:tcPr>
                <w:p>
                  <w:pPr>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14.2314</w:t>
                  </w:r>
                </w:p>
              </w:tc>
              <w:tc>
                <w:tcPr>
                  <w:tcW w:w="1543" w:type="dxa"/>
                  <w:tcBorders>
                    <w:tl2br w:val="nil"/>
                    <w:tr2bl w:val="nil"/>
                  </w:tcBorders>
                  <w:vAlign w:val="center"/>
                </w:tcPr>
                <w:p>
                  <w:pPr>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16.8099</w:t>
                  </w:r>
                </w:p>
              </w:tc>
              <w:tc>
                <w:tcPr>
                  <w:tcW w:w="2304" w:type="dxa"/>
                  <w:tcBorders>
                    <w:tl2br w:val="nil"/>
                    <w:tr2bl w:val="nil"/>
                  </w:tcBorders>
                  <w:vAlign w:val="center"/>
                </w:tcPr>
                <w:p>
                  <w:pPr>
                    <w:spacing w:line="240" w:lineRule="auto"/>
                    <w:ind w:firstLine="0" w:firstLineChars="0"/>
                    <w:contextualSpacing/>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contextualSpacing/>
                    <w:jc w:val="center"/>
                    <w:rPr>
                      <w:color w:val="auto"/>
                      <w:sz w:val="21"/>
                      <w:szCs w:val="21"/>
                    </w:rPr>
                  </w:pPr>
                  <w:r>
                    <w:rPr>
                      <w:rFonts w:hint="eastAsia"/>
                      <w:color w:val="auto"/>
                      <w:sz w:val="21"/>
                      <w:szCs w:val="21"/>
                    </w:rPr>
                    <w:t>氨氮</w:t>
                  </w:r>
                </w:p>
              </w:tc>
              <w:tc>
                <w:tcPr>
                  <w:tcW w:w="1421"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0.0267</w:t>
                  </w:r>
                </w:p>
              </w:tc>
              <w:tc>
                <w:tcPr>
                  <w:tcW w:w="1618"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0.0215</w:t>
                  </w:r>
                </w:p>
              </w:tc>
              <w:tc>
                <w:tcPr>
                  <w:tcW w:w="1543"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0.0261</w:t>
                  </w:r>
                </w:p>
              </w:tc>
              <w:tc>
                <w:tcPr>
                  <w:tcW w:w="2304" w:type="dxa"/>
                  <w:tcBorders>
                    <w:tl2br w:val="nil"/>
                    <w:tr2bl w:val="nil"/>
                  </w:tcBorders>
                  <w:vAlign w:val="center"/>
                </w:tcPr>
                <w:p>
                  <w:pPr>
                    <w:spacing w:line="240" w:lineRule="auto"/>
                    <w:contextualSpacing/>
                    <w:jc w:val="center"/>
                    <w:rPr>
                      <w:color w:val="auto"/>
                      <w:sz w:val="21"/>
                      <w:szCs w:val="21"/>
                    </w:rPr>
                  </w:pPr>
                  <w:r>
                    <w:rPr>
                      <w:rFonts w:hint="eastAsia"/>
                      <w:color w:val="auto"/>
                      <w:sz w:val="21"/>
                      <w:szCs w:val="21"/>
                      <w:lang w:val="en-US" w:eastAsia="zh-CN"/>
                    </w:rPr>
                    <w:t>1.5</w:t>
                  </w:r>
                  <w:r>
                    <w:rPr>
                      <w:rFonts w:hint="eastAsia"/>
                      <w:color w:val="auto"/>
                      <w:sz w:val="21"/>
                      <w:szCs w:val="21"/>
                    </w:rPr>
                    <w:t>（</w:t>
                  </w:r>
                  <w:r>
                    <w:rPr>
                      <w:color w:val="auto"/>
                      <w:sz w:val="21"/>
                      <w:szCs w:val="21"/>
                    </w:rPr>
                    <w:t>3.</w:t>
                  </w:r>
                  <w:r>
                    <w:rPr>
                      <w:rFonts w:hint="eastAsia"/>
                      <w:color w:val="auto"/>
                      <w:sz w:val="21"/>
                      <w:szCs w:val="21"/>
                      <w:lang w:val="en-US" w:eastAsia="zh-CN"/>
                    </w:rPr>
                    <w:t>0</w:t>
                  </w:r>
                  <w:r>
                    <w:rPr>
                      <w:rFonts w:hint="eastAsia"/>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contextualSpacing/>
                    <w:jc w:val="center"/>
                    <w:rPr>
                      <w:color w:val="auto"/>
                      <w:sz w:val="21"/>
                      <w:szCs w:val="21"/>
                    </w:rPr>
                  </w:pPr>
                  <w:r>
                    <w:rPr>
                      <w:rFonts w:hint="eastAsia"/>
                      <w:color w:val="auto"/>
                      <w:sz w:val="21"/>
                      <w:szCs w:val="21"/>
                    </w:rPr>
                    <w:t>总磷</w:t>
                  </w:r>
                </w:p>
              </w:tc>
              <w:tc>
                <w:tcPr>
                  <w:tcW w:w="1421"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0.2439</w:t>
                  </w:r>
                </w:p>
              </w:tc>
              <w:tc>
                <w:tcPr>
                  <w:tcW w:w="1618"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0.1970</w:t>
                  </w:r>
                </w:p>
              </w:tc>
              <w:tc>
                <w:tcPr>
                  <w:tcW w:w="1543"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0.1840</w:t>
                  </w:r>
                </w:p>
              </w:tc>
              <w:tc>
                <w:tcPr>
                  <w:tcW w:w="2304" w:type="dxa"/>
                  <w:tcBorders>
                    <w:tl2br w:val="nil"/>
                    <w:tr2bl w:val="nil"/>
                  </w:tcBorders>
                  <w:vAlign w:val="center"/>
                </w:tcPr>
                <w:p>
                  <w:pPr>
                    <w:spacing w:line="240" w:lineRule="auto"/>
                    <w:contextualSpacing/>
                    <w:jc w:val="center"/>
                    <w:rPr>
                      <w:rFonts w:hint="eastAsia" w:eastAsia="宋体"/>
                      <w:color w:val="auto"/>
                      <w:sz w:val="21"/>
                      <w:szCs w:val="21"/>
                      <w:lang w:val="en-US" w:eastAsia="zh-CN"/>
                    </w:rPr>
                  </w:pPr>
                  <w:r>
                    <w:rPr>
                      <w:color w:val="auto"/>
                      <w:sz w:val="21"/>
                      <w:szCs w:val="21"/>
                    </w:rPr>
                    <w:t>0.</w:t>
                  </w:r>
                  <w:r>
                    <w:rPr>
                      <w:rFonts w:hint="eastAsia"/>
                      <w:color w:val="auto"/>
                      <w:sz w:val="21"/>
                      <w:szCs w:val="21"/>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contextualSpacing/>
                    <w:jc w:val="center"/>
                    <w:rPr>
                      <w:color w:val="auto"/>
                      <w:sz w:val="21"/>
                      <w:szCs w:val="21"/>
                    </w:rPr>
                  </w:pPr>
                  <w:r>
                    <w:rPr>
                      <w:rFonts w:hint="eastAsia"/>
                      <w:color w:val="auto"/>
                      <w:sz w:val="21"/>
                      <w:szCs w:val="21"/>
                    </w:rPr>
                    <w:t>总氮</w:t>
                  </w:r>
                </w:p>
              </w:tc>
              <w:tc>
                <w:tcPr>
                  <w:tcW w:w="1421"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7.419</w:t>
                  </w:r>
                </w:p>
              </w:tc>
              <w:tc>
                <w:tcPr>
                  <w:tcW w:w="1618"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7.2939</w:t>
                  </w:r>
                </w:p>
              </w:tc>
              <w:tc>
                <w:tcPr>
                  <w:tcW w:w="1543"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8.3296</w:t>
                  </w:r>
                </w:p>
              </w:tc>
              <w:tc>
                <w:tcPr>
                  <w:tcW w:w="2304" w:type="dxa"/>
                  <w:tcBorders>
                    <w:tl2br w:val="nil"/>
                    <w:tr2bl w:val="nil"/>
                  </w:tcBorders>
                  <w:vAlign w:val="center"/>
                </w:tcPr>
                <w:p>
                  <w:pPr>
                    <w:spacing w:line="240" w:lineRule="auto"/>
                    <w:contextualSpacing/>
                    <w:jc w:val="center"/>
                    <w:rPr>
                      <w:rFonts w:hint="eastAsia" w:eastAsia="宋体"/>
                      <w:color w:val="auto"/>
                      <w:sz w:val="21"/>
                      <w:szCs w:val="21"/>
                      <w:lang w:val="en-US" w:eastAsia="zh-CN"/>
                    </w:rPr>
                  </w:pPr>
                  <w:r>
                    <w:rPr>
                      <w:color w:val="auto"/>
                      <w:sz w:val="21"/>
                      <w:szCs w:val="21"/>
                    </w:rPr>
                    <w:t>1</w:t>
                  </w:r>
                  <w:r>
                    <w:rPr>
                      <w:rFonts w:hint="eastAsia"/>
                      <w:color w:val="auto"/>
                      <w:sz w:val="21"/>
                      <w:szCs w:val="21"/>
                      <w:lang w:val="en-US" w:eastAsia="zh-CN"/>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493" w:type="dxa"/>
                  <w:tcBorders>
                    <w:tl2br w:val="nil"/>
                    <w:tr2bl w:val="nil"/>
                  </w:tcBorders>
                  <w:vAlign w:val="center"/>
                </w:tcPr>
                <w:p>
                  <w:pPr>
                    <w:spacing w:line="240" w:lineRule="auto"/>
                    <w:contextualSpacing/>
                    <w:jc w:val="center"/>
                    <w:rPr>
                      <w:rFonts w:hint="default" w:eastAsia="宋体"/>
                      <w:color w:val="auto"/>
                      <w:sz w:val="21"/>
                      <w:szCs w:val="21"/>
                      <w:lang w:val="en-US" w:eastAsia="zh-CN"/>
                    </w:rPr>
                  </w:pPr>
                  <w:r>
                    <w:rPr>
                      <w:rFonts w:hint="eastAsia"/>
                      <w:color w:val="auto"/>
                      <w:sz w:val="21"/>
                      <w:szCs w:val="21"/>
                      <w:lang w:val="en-US" w:eastAsia="zh-CN"/>
                    </w:rPr>
                    <w:t>流量</w:t>
                  </w:r>
                </w:p>
              </w:tc>
              <w:tc>
                <w:tcPr>
                  <w:tcW w:w="1421"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17639.127</w:t>
                  </w:r>
                </w:p>
              </w:tc>
              <w:tc>
                <w:tcPr>
                  <w:tcW w:w="1618"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22285.297</w:t>
                  </w:r>
                </w:p>
              </w:tc>
              <w:tc>
                <w:tcPr>
                  <w:tcW w:w="1543" w:type="dxa"/>
                  <w:tcBorders>
                    <w:tl2br w:val="nil"/>
                    <w:tr2bl w:val="nil"/>
                  </w:tcBorders>
                  <w:vAlign w:val="center"/>
                </w:tcPr>
                <w:p>
                  <w:pPr>
                    <w:spacing w:line="240" w:lineRule="auto"/>
                    <w:contextualSpacing/>
                    <w:jc w:val="center"/>
                    <w:rPr>
                      <w:rFonts w:hint="default"/>
                      <w:color w:val="auto"/>
                      <w:sz w:val="21"/>
                      <w:szCs w:val="21"/>
                      <w:lang w:val="en-US" w:eastAsia="zh-CN"/>
                    </w:rPr>
                  </w:pPr>
                  <w:r>
                    <w:rPr>
                      <w:rFonts w:hint="eastAsia"/>
                      <w:color w:val="auto"/>
                      <w:sz w:val="21"/>
                      <w:szCs w:val="21"/>
                      <w:lang w:val="en-US" w:eastAsia="zh-CN"/>
                    </w:rPr>
                    <w:t>13152.205</w:t>
                  </w:r>
                </w:p>
              </w:tc>
              <w:tc>
                <w:tcPr>
                  <w:tcW w:w="2304" w:type="dxa"/>
                  <w:tcBorders>
                    <w:tl2br w:val="nil"/>
                    <w:tr2bl w:val="nil"/>
                  </w:tcBorders>
                  <w:vAlign w:val="center"/>
                </w:tcPr>
                <w:p>
                  <w:pPr>
                    <w:spacing w:line="240" w:lineRule="auto"/>
                    <w:contextualSpacing/>
                    <w:jc w:val="center"/>
                    <w:rPr>
                      <w:rFonts w:hint="eastAsia" w:eastAsia="宋体"/>
                      <w:color w:val="auto"/>
                      <w:sz w:val="21"/>
                      <w:szCs w:val="21"/>
                      <w:lang w:val="en-US" w:eastAsia="zh-CN"/>
                    </w:rPr>
                  </w:pPr>
                  <w:r>
                    <w:rPr>
                      <w:rFonts w:hint="eastAsia"/>
                      <w:color w:val="auto"/>
                      <w:sz w:val="21"/>
                      <w:szCs w:val="21"/>
                      <w:lang w:val="en-US" w:eastAsia="zh-CN"/>
                    </w:rPr>
                    <w:t>/</w:t>
                  </w:r>
                </w:p>
              </w:tc>
            </w:tr>
          </w:tbl>
          <w:p>
            <w:pPr>
              <w:autoSpaceDE w:val="0"/>
              <w:autoSpaceDN w:val="0"/>
              <w:adjustRightInd w:val="0"/>
              <w:snapToGrid w:val="0"/>
              <w:ind w:firstLine="480" w:firstLineChars="200"/>
              <w:rPr>
                <w:color w:val="auto"/>
              </w:rPr>
            </w:pPr>
            <w:r>
              <w:rPr>
                <w:rFonts w:hint="eastAsia"/>
                <w:color w:val="auto"/>
              </w:rPr>
              <w:t>由</w:t>
            </w:r>
            <w:r>
              <w:rPr>
                <w:rFonts w:hint="eastAsia"/>
                <w:color w:val="auto"/>
                <w:lang w:eastAsia="zh-CN"/>
              </w:rPr>
              <w:t>在线监测数据</w:t>
            </w:r>
            <w:r>
              <w:rPr>
                <w:rFonts w:hint="eastAsia"/>
                <w:color w:val="auto"/>
              </w:rPr>
              <w:t>可知，</w:t>
            </w:r>
            <w:r>
              <w:rPr>
                <w:rFonts w:hint="eastAsia"/>
                <w:color w:val="auto"/>
                <w:lang w:val="en-US" w:eastAsia="zh-CN"/>
              </w:rPr>
              <w:t>咸阳路污水处理厂</w:t>
            </w:r>
            <w:r>
              <w:rPr>
                <w:rFonts w:hint="eastAsia"/>
                <w:color w:val="auto"/>
              </w:rPr>
              <w:t>各项污染物出水水质满足《城镇污水处理厂水污染物排放标准》(DB12/599-2015)</w:t>
            </w:r>
            <w:r>
              <w:rPr>
                <w:rFonts w:hint="eastAsia"/>
                <w:color w:val="auto"/>
                <w:lang w:val="en-US" w:eastAsia="zh-CN"/>
              </w:rPr>
              <w:t>A</w:t>
            </w:r>
            <w:r>
              <w:rPr>
                <w:rFonts w:hint="eastAsia"/>
                <w:color w:val="auto"/>
              </w:rPr>
              <w:t>标准要求</w:t>
            </w:r>
            <w:r>
              <w:rPr>
                <w:rFonts w:hint="eastAsia"/>
                <w:color w:val="auto"/>
                <w:lang w:eastAsia="zh-CN"/>
              </w:rPr>
              <w:t>，可实现稳定达标排放。</w:t>
            </w:r>
            <w:r>
              <w:rPr>
                <w:rFonts w:hint="eastAsia"/>
                <w:color w:val="auto"/>
              </w:rPr>
              <w:t>本项目</w:t>
            </w:r>
            <w:r>
              <w:rPr>
                <w:rFonts w:hint="eastAsia"/>
                <w:color w:val="auto"/>
                <w:lang w:eastAsia="zh-CN"/>
              </w:rPr>
              <w:t>属于</w:t>
            </w:r>
            <w:r>
              <w:rPr>
                <w:rFonts w:hint="eastAsia"/>
                <w:color w:val="auto"/>
                <w:lang w:val="en-US" w:eastAsia="zh-CN"/>
              </w:rPr>
              <w:t>天津市咸阳路污水处理厂收水范围，厂区污水总排口废水中各污染物排放浓度</w:t>
            </w:r>
            <w:r>
              <w:rPr>
                <w:rFonts w:hint="eastAsia"/>
                <w:color w:val="auto"/>
              </w:rPr>
              <w:t>满足</w:t>
            </w:r>
            <w:r>
              <w:rPr>
                <w:color w:val="auto"/>
              </w:rPr>
              <w:t>《污水综合排放准》（DB12/356-2018）三级标准的要求</w:t>
            </w:r>
            <w:r>
              <w:rPr>
                <w:rFonts w:hint="eastAsia"/>
                <w:color w:val="auto"/>
                <w:lang w:eastAsia="zh-CN"/>
              </w:rPr>
              <w:t>，符合该污水处理厂设计进水水质要求。本项目废水排放量为</w:t>
            </w:r>
            <w:r>
              <w:rPr>
                <w:rFonts w:hint="eastAsia"/>
                <w:color w:val="auto"/>
                <w:lang w:val="en-US" w:eastAsia="zh-CN"/>
              </w:rPr>
              <w:t>1.661m</w:t>
            </w:r>
            <w:r>
              <w:rPr>
                <w:rFonts w:hint="eastAsia"/>
                <w:color w:val="auto"/>
                <w:vertAlign w:val="superscript"/>
                <w:lang w:val="en-US" w:eastAsia="zh-CN"/>
              </w:rPr>
              <w:t>3</w:t>
            </w:r>
            <w:r>
              <w:rPr>
                <w:rFonts w:hint="eastAsia"/>
                <w:color w:val="auto"/>
                <w:lang w:val="en-US" w:eastAsia="zh-CN"/>
              </w:rPr>
              <w:t>/d</w:t>
            </w:r>
            <w:r>
              <w:rPr>
                <w:rFonts w:hint="eastAsia"/>
                <w:color w:val="auto"/>
                <w:lang w:eastAsia="zh-CN"/>
              </w:rPr>
              <w:t>，废水</w:t>
            </w:r>
            <w:r>
              <w:rPr>
                <w:rFonts w:hint="eastAsia"/>
                <w:color w:val="auto"/>
              </w:rPr>
              <w:t>量少，项目营运后废水排放不会超过污水处理厂的负荷能力</w:t>
            </w:r>
            <w:r>
              <w:rPr>
                <w:rFonts w:hint="eastAsia"/>
                <w:color w:val="auto"/>
                <w:lang w:eastAsia="zh-CN"/>
              </w:rPr>
              <w:t>。</w:t>
            </w:r>
            <w:r>
              <w:rPr>
                <w:rFonts w:hint="eastAsia"/>
                <w:color w:val="auto"/>
              </w:rPr>
              <w:t>因此，本项目废水排入天津市咸阳路污水处理厂是可行的，不会对周围水环境造成明显不利影响。</w:t>
            </w:r>
          </w:p>
          <w:p>
            <w:pPr>
              <w:autoSpaceDE w:val="0"/>
              <w:autoSpaceDN w:val="0"/>
              <w:adjustRightInd w:val="0"/>
              <w:ind w:firstLine="482" w:firstLineChars="200"/>
              <w:jc w:val="left"/>
              <w:rPr>
                <w:b/>
                <w:bCs/>
                <w:color w:val="auto"/>
              </w:rPr>
            </w:pPr>
            <w:r>
              <w:rPr>
                <w:rFonts w:hint="eastAsia"/>
                <w:b/>
                <w:bCs/>
                <w:color w:val="auto"/>
                <w:lang w:val="en-US" w:eastAsia="zh-CN"/>
              </w:rPr>
              <w:t>4.3.3</w:t>
            </w:r>
            <w:r>
              <w:rPr>
                <w:rFonts w:hint="eastAsia"/>
                <w:b/>
                <w:bCs/>
                <w:color w:val="auto"/>
              </w:rPr>
              <w:t>废水治理设施及排污口信息</w:t>
            </w:r>
          </w:p>
          <w:p>
            <w:pPr>
              <w:widowControl/>
              <w:ind w:firstLine="480" w:firstLineChars="200"/>
              <w:jc w:val="left"/>
              <w:rPr>
                <w:color w:val="auto"/>
              </w:rPr>
            </w:pPr>
            <w:r>
              <w:rPr>
                <w:rFonts w:hint="eastAsia"/>
                <w:color w:val="auto"/>
                <w:lang w:val="en-US" w:eastAsia="zh-CN"/>
              </w:rPr>
              <w:t>本项目动物房清洗废水、手术器具清洁废水、实验服清洗废水、第三次实验清洗废水经过滤、消毒处理，生活污水经化粪池静置沉淀，同净水机浓水混合通过厂区总排口排入市政污水管网，最终排入咸阳路污水处理厂处理，</w:t>
            </w:r>
            <w:r>
              <w:rPr>
                <w:rFonts w:hint="eastAsia"/>
                <w:color w:val="auto"/>
              </w:rPr>
              <w:t>属于间接排放。</w:t>
            </w:r>
            <w:r>
              <w:rPr>
                <w:rFonts w:hint="eastAsia"/>
                <w:color w:val="auto"/>
                <w:lang w:eastAsia="zh-CN"/>
              </w:rPr>
              <w:t>污水处理设备废水排放口</w:t>
            </w:r>
            <w:r>
              <w:rPr>
                <w:rFonts w:hint="eastAsia" w:ascii="宋体" w:hAnsi="宋体" w:eastAsia="宋体"/>
                <w:color w:val="auto"/>
                <w:sz w:val="24"/>
                <w:szCs w:val="24"/>
              </w:rPr>
              <w:t>达标情况由天津津科生物科技有限责任公司负责。</w:t>
            </w:r>
            <w:r>
              <w:rPr>
                <w:rFonts w:hint="eastAsia"/>
                <w:color w:val="auto"/>
                <w:szCs w:val="21"/>
                <w:lang w:val="en-US" w:eastAsia="zh-CN"/>
              </w:rPr>
              <w:t>污水总</w:t>
            </w:r>
            <w:r>
              <w:rPr>
                <w:rFonts w:hint="eastAsia" w:ascii="宋体" w:hAnsi="宋体" w:eastAsia="宋体"/>
                <w:color w:val="auto"/>
                <w:sz w:val="24"/>
                <w:szCs w:val="24"/>
              </w:rPr>
              <w:t>排口规范化及废水达标情况由天津中关村</w:t>
            </w:r>
            <w:r>
              <w:rPr>
                <w:rFonts w:hint="eastAsia" w:ascii="宋体" w:hAnsi="宋体" w:eastAsia="宋体"/>
                <w:color w:val="auto"/>
                <w:sz w:val="24"/>
                <w:szCs w:val="24"/>
                <w:lang w:val="en-US" w:eastAsia="zh-CN"/>
              </w:rPr>
              <w:t>信息谷科技服务</w:t>
            </w:r>
            <w:r>
              <w:rPr>
                <w:rFonts w:hint="eastAsia" w:ascii="宋体" w:hAnsi="宋体" w:eastAsia="宋体"/>
                <w:color w:val="auto"/>
                <w:sz w:val="24"/>
                <w:szCs w:val="24"/>
              </w:rPr>
              <w:t>有限公司负责。</w:t>
            </w:r>
            <w:r>
              <w:rPr>
                <w:rFonts w:hint="eastAsia"/>
                <w:color w:val="auto"/>
              </w:rPr>
              <w:t>具体污染物排放信息见下表</w:t>
            </w:r>
            <w:r>
              <w:rPr>
                <w:rFonts w:hint="eastAsia"/>
                <w:color w:val="auto"/>
                <w:lang w:eastAsia="zh-CN"/>
              </w:rPr>
              <w:t>。</w:t>
            </w:r>
          </w:p>
          <w:p>
            <w:pPr>
              <w:pStyle w:val="83"/>
              <w:spacing w:before="120"/>
              <w:rPr>
                <w:color w:val="auto"/>
                <w:sz w:val="21"/>
                <w:szCs w:val="21"/>
                <w:lang w:val="en-GB"/>
              </w:rPr>
            </w:pPr>
            <w:r>
              <w:rPr>
                <w:rFonts w:hint="eastAsia"/>
                <w:color w:val="auto"/>
                <w:sz w:val="21"/>
                <w:szCs w:val="21"/>
              </w:rPr>
              <w:t>表4-1</w:t>
            </w:r>
            <w:r>
              <w:rPr>
                <w:rFonts w:hint="eastAsia"/>
                <w:color w:val="auto"/>
                <w:sz w:val="21"/>
                <w:szCs w:val="21"/>
                <w:lang w:val="en-US" w:eastAsia="zh-CN"/>
              </w:rPr>
              <w:t>5</w:t>
            </w:r>
            <w:r>
              <w:rPr>
                <w:rFonts w:hint="eastAsia"/>
                <w:color w:val="auto"/>
                <w:sz w:val="21"/>
                <w:szCs w:val="21"/>
              </w:rPr>
              <w:t xml:space="preserve">   </w:t>
            </w:r>
            <w:r>
              <w:rPr>
                <w:rFonts w:hint="eastAsia"/>
                <w:color w:val="auto"/>
                <w:sz w:val="21"/>
                <w:szCs w:val="21"/>
                <w:lang w:val="en-GB"/>
              </w:rPr>
              <w:t>废水类别、污染物及污染治理设施信息表</w:t>
            </w:r>
          </w:p>
          <w:tbl>
            <w:tblPr>
              <w:tblStyle w:val="29"/>
              <w:tblW w:w="852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40"/>
              <w:gridCol w:w="787"/>
              <w:gridCol w:w="810"/>
              <w:gridCol w:w="813"/>
              <w:gridCol w:w="834"/>
              <w:gridCol w:w="803"/>
              <w:gridCol w:w="823"/>
              <w:gridCol w:w="872"/>
              <w:gridCol w:w="660"/>
              <w:gridCol w:w="843"/>
              <w:gridCol w:w="8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40"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序号</w:t>
                  </w:r>
                </w:p>
              </w:tc>
              <w:tc>
                <w:tcPr>
                  <w:tcW w:w="787"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废水类别</w:t>
                  </w:r>
                </w:p>
              </w:tc>
              <w:tc>
                <w:tcPr>
                  <w:tcW w:w="810"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污染物</w:t>
                  </w:r>
                </w:p>
                <w:p>
                  <w:pPr>
                    <w:adjustRightInd w:val="0"/>
                    <w:snapToGrid w:val="0"/>
                    <w:spacing w:line="240" w:lineRule="auto"/>
                    <w:jc w:val="center"/>
                    <w:rPr>
                      <w:b/>
                      <w:bCs/>
                      <w:color w:val="auto"/>
                      <w:sz w:val="18"/>
                      <w:szCs w:val="18"/>
                    </w:rPr>
                  </w:pPr>
                  <w:r>
                    <w:rPr>
                      <w:b/>
                      <w:bCs/>
                      <w:color w:val="auto"/>
                      <w:sz w:val="18"/>
                      <w:szCs w:val="18"/>
                    </w:rPr>
                    <w:t>种类</w:t>
                  </w:r>
                </w:p>
              </w:tc>
              <w:tc>
                <w:tcPr>
                  <w:tcW w:w="813"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排放去向</w:t>
                  </w:r>
                </w:p>
              </w:tc>
              <w:tc>
                <w:tcPr>
                  <w:tcW w:w="834"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排放规律</w:t>
                  </w:r>
                </w:p>
              </w:tc>
              <w:tc>
                <w:tcPr>
                  <w:tcW w:w="2498" w:type="dxa"/>
                  <w:gridSpan w:val="3"/>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污染治理设施</w:t>
                  </w:r>
                </w:p>
              </w:tc>
              <w:tc>
                <w:tcPr>
                  <w:tcW w:w="660"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排放口编号</w:t>
                  </w:r>
                </w:p>
              </w:tc>
              <w:tc>
                <w:tcPr>
                  <w:tcW w:w="843"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排放口设置是否符合要求</w:t>
                  </w:r>
                </w:p>
              </w:tc>
              <w:tc>
                <w:tcPr>
                  <w:tcW w:w="839"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排放口</w:t>
                  </w:r>
                </w:p>
                <w:p>
                  <w:pPr>
                    <w:adjustRightInd w:val="0"/>
                    <w:snapToGrid w:val="0"/>
                    <w:spacing w:line="240" w:lineRule="auto"/>
                    <w:jc w:val="center"/>
                    <w:rPr>
                      <w:b/>
                      <w:bCs/>
                      <w:color w:val="auto"/>
                      <w:sz w:val="18"/>
                      <w:szCs w:val="18"/>
                    </w:rPr>
                  </w:pPr>
                  <w:r>
                    <w:rPr>
                      <w:b/>
                      <w:bCs/>
                      <w:color w:val="auto"/>
                      <w:sz w:val="18"/>
                      <w:szCs w:val="18"/>
                    </w:rPr>
                    <w:t>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0" w:type="dxa"/>
                  <w:vMerge w:val="continue"/>
                  <w:tcBorders>
                    <w:tl2br w:val="nil"/>
                    <w:tr2bl w:val="nil"/>
                  </w:tcBorders>
                  <w:vAlign w:val="center"/>
                </w:tcPr>
                <w:p>
                  <w:pPr>
                    <w:spacing w:line="240" w:lineRule="auto"/>
                    <w:jc w:val="left"/>
                    <w:rPr>
                      <w:b/>
                      <w:bCs/>
                      <w:color w:val="auto"/>
                      <w:sz w:val="18"/>
                      <w:szCs w:val="18"/>
                    </w:rPr>
                  </w:pPr>
                </w:p>
              </w:tc>
              <w:tc>
                <w:tcPr>
                  <w:tcW w:w="787" w:type="dxa"/>
                  <w:vMerge w:val="continue"/>
                  <w:tcBorders>
                    <w:tl2br w:val="nil"/>
                    <w:tr2bl w:val="nil"/>
                  </w:tcBorders>
                  <w:vAlign w:val="center"/>
                </w:tcPr>
                <w:p>
                  <w:pPr>
                    <w:spacing w:line="240" w:lineRule="auto"/>
                    <w:jc w:val="left"/>
                    <w:rPr>
                      <w:b/>
                      <w:bCs/>
                      <w:color w:val="auto"/>
                      <w:sz w:val="18"/>
                      <w:szCs w:val="18"/>
                    </w:rPr>
                  </w:pPr>
                </w:p>
              </w:tc>
              <w:tc>
                <w:tcPr>
                  <w:tcW w:w="810" w:type="dxa"/>
                  <w:vMerge w:val="continue"/>
                  <w:tcBorders>
                    <w:tl2br w:val="nil"/>
                    <w:tr2bl w:val="nil"/>
                  </w:tcBorders>
                  <w:vAlign w:val="center"/>
                </w:tcPr>
                <w:p>
                  <w:pPr>
                    <w:spacing w:line="240" w:lineRule="auto"/>
                    <w:jc w:val="left"/>
                    <w:rPr>
                      <w:b/>
                      <w:bCs/>
                      <w:color w:val="auto"/>
                      <w:sz w:val="18"/>
                      <w:szCs w:val="18"/>
                    </w:rPr>
                  </w:pPr>
                </w:p>
              </w:tc>
              <w:tc>
                <w:tcPr>
                  <w:tcW w:w="813" w:type="dxa"/>
                  <w:vMerge w:val="continue"/>
                  <w:tcBorders>
                    <w:tl2br w:val="nil"/>
                    <w:tr2bl w:val="nil"/>
                  </w:tcBorders>
                  <w:vAlign w:val="center"/>
                </w:tcPr>
                <w:p>
                  <w:pPr>
                    <w:spacing w:line="240" w:lineRule="auto"/>
                    <w:jc w:val="left"/>
                    <w:rPr>
                      <w:b/>
                      <w:bCs/>
                      <w:color w:val="auto"/>
                      <w:sz w:val="18"/>
                      <w:szCs w:val="18"/>
                    </w:rPr>
                  </w:pPr>
                </w:p>
              </w:tc>
              <w:tc>
                <w:tcPr>
                  <w:tcW w:w="834" w:type="dxa"/>
                  <w:vMerge w:val="continue"/>
                  <w:tcBorders>
                    <w:tl2br w:val="nil"/>
                    <w:tr2bl w:val="nil"/>
                  </w:tcBorders>
                  <w:vAlign w:val="center"/>
                </w:tcPr>
                <w:p>
                  <w:pPr>
                    <w:spacing w:line="240" w:lineRule="auto"/>
                    <w:jc w:val="left"/>
                    <w:rPr>
                      <w:b/>
                      <w:bCs/>
                      <w:color w:val="auto"/>
                      <w:sz w:val="18"/>
                      <w:szCs w:val="18"/>
                    </w:rPr>
                  </w:pPr>
                </w:p>
              </w:tc>
              <w:tc>
                <w:tcPr>
                  <w:tcW w:w="803" w:type="dxa"/>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污染治理设施</w:t>
                  </w:r>
                </w:p>
                <w:p>
                  <w:pPr>
                    <w:adjustRightInd w:val="0"/>
                    <w:snapToGrid w:val="0"/>
                    <w:spacing w:line="240" w:lineRule="auto"/>
                    <w:jc w:val="center"/>
                    <w:rPr>
                      <w:b/>
                      <w:bCs/>
                      <w:color w:val="auto"/>
                      <w:sz w:val="18"/>
                      <w:szCs w:val="18"/>
                    </w:rPr>
                  </w:pPr>
                  <w:r>
                    <w:rPr>
                      <w:b/>
                      <w:bCs/>
                      <w:color w:val="auto"/>
                      <w:sz w:val="18"/>
                      <w:szCs w:val="18"/>
                    </w:rPr>
                    <w:t>编号</w:t>
                  </w:r>
                </w:p>
              </w:tc>
              <w:tc>
                <w:tcPr>
                  <w:tcW w:w="823" w:type="dxa"/>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污染治理设施</w:t>
                  </w:r>
                </w:p>
                <w:p>
                  <w:pPr>
                    <w:adjustRightInd w:val="0"/>
                    <w:snapToGrid w:val="0"/>
                    <w:spacing w:line="240" w:lineRule="auto"/>
                    <w:jc w:val="center"/>
                    <w:rPr>
                      <w:b/>
                      <w:bCs/>
                      <w:color w:val="auto"/>
                      <w:sz w:val="18"/>
                      <w:szCs w:val="18"/>
                    </w:rPr>
                  </w:pPr>
                  <w:r>
                    <w:rPr>
                      <w:b/>
                      <w:bCs/>
                      <w:color w:val="auto"/>
                      <w:sz w:val="18"/>
                      <w:szCs w:val="18"/>
                    </w:rPr>
                    <w:t>名称</w:t>
                  </w:r>
                </w:p>
              </w:tc>
              <w:tc>
                <w:tcPr>
                  <w:tcW w:w="872" w:type="dxa"/>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污染治理设施工艺</w:t>
                  </w:r>
                </w:p>
              </w:tc>
              <w:tc>
                <w:tcPr>
                  <w:tcW w:w="660" w:type="dxa"/>
                  <w:vMerge w:val="continue"/>
                  <w:tcBorders>
                    <w:tl2br w:val="nil"/>
                    <w:tr2bl w:val="nil"/>
                  </w:tcBorders>
                  <w:vAlign w:val="center"/>
                </w:tcPr>
                <w:p>
                  <w:pPr>
                    <w:spacing w:line="240" w:lineRule="auto"/>
                    <w:jc w:val="left"/>
                    <w:rPr>
                      <w:color w:val="auto"/>
                      <w:sz w:val="18"/>
                      <w:szCs w:val="18"/>
                    </w:rPr>
                  </w:pPr>
                </w:p>
              </w:tc>
              <w:tc>
                <w:tcPr>
                  <w:tcW w:w="843" w:type="dxa"/>
                  <w:vMerge w:val="continue"/>
                  <w:tcBorders>
                    <w:tl2br w:val="nil"/>
                    <w:tr2bl w:val="nil"/>
                  </w:tcBorders>
                  <w:vAlign w:val="center"/>
                </w:tcPr>
                <w:p>
                  <w:pPr>
                    <w:spacing w:line="240" w:lineRule="auto"/>
                    <w:jc w:val="left"/>
                    <w:rPr>
                      <w:color w:val="auto"/>
                      <w:sz w:val="18"/>
                      <w:szCs w:val="18"/>
                    </w:rPr>
                  </w:pPr>
                </w:p>
              </w:tc>
              <w:tc>
                <w:tcPr>
                  <w:tcW w:w="839" w:type="dxa"/>
                  <w:vMerge w:val="continue"/>
                  <w:tcBorders>
                    <w:tl2br w:val="nil"/>
                    <w:tr2bl w:val="nil"/>
                  </w:tcBorders>
                  <w:vAlign w:val="center"/>
                </w:tcPr>
                <w:p>
                  <w:pPr>
                    <w:spacing w:line="240" w:lineRule="auto"/>
                    <w:jc w:val="left"/>
                    <w:rPr>
                      <w:color w:val="auto"/>
                      <w:sz w:val="18"/>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440"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1</w:t>
                  </w:r>
                </w:p>
              </w:tc>
              <w:tc>
                <w:tcPr>
                  <w:tcW w:w="787" w:type="dxa"/>
                  <w:tcBorders>
                    <w:tl2br w:val="nil"/>
                    <w:tr2bl w:val="nil"/>
                  </w:tcBorders>
                  <w:vAlign w:val="center"/>
                </w:tcPr>
                <w:p>
                  <w:pPr>
                    <w:adjustRightInd w:val="0"/>
                    <w:snapToGrid w:val="0"/>
                    <w:spacing w:line="240" w:lineRule="auto"/>
                    <w:jc w:val="both"/>
                    <w:rPr>
                      <w:rFonts w:hint="default"/>
                      <w:color w:val="auto"/>
                      <w:sz w:val="18"/>
                      <w:szCs w:val="18"/>
                      <w:lang w:val="en-US" w:eastAsia="zh-CN"/>
                    </w:rPr>
                  </w:pPr>
                  <w:r>
                    <w:rPr>
                      <w:rFonts w:hint="eastAsia"/>
                      <w:color w:val="auto"/>
                      <w:sz w:val="18"/>
                      <w:szCs w:val="18"/>
                      <w:lang w:val="en-US" w:eastAsia="zh-CN"/>
                    </w:rPr>
                    <w:t>动物房清洗废水、手术器具清洁废水、第三次实验清洗废水</w:t>
                  </w:r>
                </w:p>
              </w:tc>
              <w:tc>
                <w:tcPr>
                  <w:tcW w:w="810" w:type="dxa"/>
                  <w:tcBorders>
                    <w:tl2br w:val="nil"/>
                    <w:tr2bl w:val="nil"/>
                  </w:tcBorders>
                  <w:vAlign w:val="center"/>
                </w:tcPr>
                <w:p>
                  <w:pPr>
                    <w:widowControl/>
                    <w:adjustRightInd w:val="0"/>
                    <w:spacing w:line="240" w:lineRule="auto"/>
                    <w:jc w:val="center"/>
                    <w:rPr>
                      <w:color w:val="auto"/>
                      <w:kern w:val="0"/>
                      <w:sz w:val="18"/>
                      <w:szCs w:val="18"/>
                    </w:rPr>
                  </w:pPr>
                  <w:r>
                    <w:rPr>
                      <w:color w:val="auto"/>
                      <w:kern w:val="0"/>
                      <w:sz w:val="18"/>
                      <w:szCs w:val="18"/>
                    </w:rPr>
                    <w:t>pH</w:t>
                  </w:r>
                </w:p>
                <w:p>
                  <w:pPr>
                    <w:widowControl/>
                    <w:adjustRightInd w:val="0"/>
                    <w:spacing w:line="240" w:lineRule="auto"/>
                    <w:jc w:val="center"/>
                    <w:rPr>
                      <w:color w:val="auto"/>
                      <w:kern w:val="0"/>
                      <w:sz w:val="18"/>
                      <w:szCs w:val="18"/>
                    </w:rPr>
                  </w:pPr>
                  <w:r>
                    <w:rPr>
                      <w:color w:val="auto"/>
                      <w:kern w:val="0"/>
                      <w:sz w:val="18"/>
                      <w:szCs w:val="18"/>
                    </w:rPr>
                    <w:t>SS</w:t>
                  </w:r>
                </w:p>
                <w:p>
                  <w:pPr>
                    <w:widowControl/>
                    <w:adjustRightInd w:val="0"/>
                    <w:spacing w:line="240" w:lineRule="auto"/>
                    <w:jc w:val="center"/>
                    <w:rPr>
                      <w:color w:val="auto"/>
                      <w:kern w:val="0"/>
                      <w:sz w:val="18"/>
                      <w:szCs w:val="18"/>
                    </w:rPr>
                  </w:pPr>
                  <w:r>
                    <w:rPr>
                      <w:color w:val="auto"/>
                      <w:kern w:val="0"/>
                      <w:sz w:val="18"/>
                      <w:szCs w:val="18"/>
                    </w:rPr>
                    <w:t>BOD</w:t>
                  </w:r>
                  <w:r>
                    <w:rPr>
                      <w:color w:val="auto"/>
                      <w:kern w:val="0"/>
                      <w:sz w:val="18"/>
                      <w:szCs w:val="18"/>
                      <w:vertAlign w:val="subscript"/>
                    </w:rPr>
                    <w:t>5</w:t>
                  </w:r>
                </w:p>
                <w:p>
                  <w:pPr>
                    <w:widowControl/>
                    <w:adjustRightInd w:val="0"/>
                    <w:spacing w:line="240" w:lineRule="auto"/>
                    <w:jc w:val="center"/>
                    <w:rPr>
                      <w:color w:val="auto"/>
                      <w:kern w:val="0"/>
                      <w:sz w:val="18"/>
                      <w:szCs w:val="18"/>
                      <w:vertAlign w:val="subscript"/>
                    </w:rPr>
                  </w:pPr>
                  <w:r>
                    <w:rPr>
                      <w:color w:val="auto"/>
                      <w:kern w:val="0"/>
                      <w:sz w:val="18"/>
                      <w:szCs w:val="18"/>
                    </w:rPr>
                    <w:t>COD</w:t>
                  </w:r>
                  <w:r>
                    <w:rPr>
                      <w:color w:val="auto"/>
                      <w:kern w:val="0"/>
                      <w:sz w:val="18"/>
                      <w:szCs w:val="18"/>
                      <w:vertAlign w:val="subscript"/>
                    </w:rPr>
                    <w:t>Cr</w:t>
                  </w:r>
                </w:p>
                <w:p>
                  <w:pPr>
                    <w:widowControl/>
                    <w:adjustRightInd w:val="0"/>
                    <w:spacing w:line="240" w:lineRule="auto"/>
                    <w:jc w:val="center"/>
                    <w:rPr>
                      <w:color w:val="auto"/>
                      <w:kern w:val="0"/>
                      <w:sz w:val="18"/>
                      <w:szCs w:val="18"/>
                    </w:rPr>
                  </w:pPr>
                  <w:r>
                    <w:rPr>
                      <w:color w:val="auto"/>
                      <w:kern w:val="0"/>
                      <w:sz w:val="18"/>
                      <w:szCs w:val="18"/>
                    </w:rPr>
                    <w:t>氨氮</w:t>
                  </w:r>
                </w:p>
                <w:p>
                  <w:pPr>
                    <w:widowControl/>
                    <w:adjustRightInd w:val="0"/>
                    <w:spacing w:line="240" w:lineRule="auto"/>
                    <w:jc w:val="center"/>
                    <w:rPr>
                      <w:color w:val="auto"/>
                      <w:kern w:val="0"/>
                      <w:sz w:val="18"/>
                      <w:szCs w:val="18"/>
                    </w:rPr>
                  </w:pPr>
                  <w:r>
                    <w:rPr>
                      <w:color w:val="auto"/>
                      <w:kern w:val="0"/>
                      <w:sz w:val="18"/>
                      <w:szCs w:val="18"/>
                    </w:rPr>
                    <w:t>总氮</w:t>
                  </w:r>
                </w:p>
                <w:p>
                  <w:pPr>
                    <w:widowControl/>
                    <w:adjustRightInd w:val="0"/>
                    <w:spacing w:line="240" w:lineRule="auto"/>
                    <w:jc w:val="center"/>
                    <w:rPr>
                      <w:color w:val="auto"/>
                      <w:kern w:val="0"/>
                      <w:sz w:val="18"/>
                      <w:szCs w:val="18"/>
                    </w:rPr>
                  </w:pPr>
                  <w:r>
                    <w:rPr>
                      <w:color w:val="auto"/>
                      <w:kern w:val="0"/>
                      <w:sz w:val="18"/>
                      <w:szCs w:val="18"/>
                    </w:rPr>
                    <w:t>总磷</w:t>
                  </w:r>
                </w:p>
                <w:p>
                  <w:pPr>
                    <w:widowControl/>
                    <w:adjustRightInd w:val="0"/>
                    <w:spacing w:line="240" w:lineRule="auto"/>
                    <w:jc w:val="center"/>
                    <w:rPr>
                      <w:rFonts w:hint="default"/>
                      <w:color w:val="auto"/>
                      <w:sz w:val="18"/>
                      <w:szCs w:val="18"/>
                      <w:lang w:val="en-US" w:eastAsia="zh-CN"/>
                    </w:rPr>
                  </w:pPr>
                  <w:r>
                    <w:rPr>
                      <w:rFonts w:hint="eastAsia"/>
                      <w:color w:val="auto"/>
                      <w:kern w:val="0"/>
                      <w:sz w:val="18"/>
                      <w:szCs w:val="18"/>
                    </w:rPr>
                    <w:t>粪大肠菌群数总余氯</w:t>
                  </w:r>
                  <w:r>
                    <w:rPr>
                      <w:rFonts w:hint="eastAsia"/>
                      <w:snapToGrid w:val="0"/>
                      <w:color w:val="auto"/>
                      <w:kern w:val="0"/>
                      <w:sz w:val="18"/>
                      <w:szCs w:val="18"/>
                    </w:rPr>
                    <w:t xml:space="preserve"> LAS</w:t>
                  </w:r>
                </w:p>
              </w:tc>
              <w:tc>
                <w:tcPr>
                  <w:tcW w:w="813" w:type="dxa"/>
                  <w:tcBorders>
                    <w:tl2br w:val="nil"/>
                    <w:tr2bl w:val="nil"/>
                  </w:tcBorders>
                  <w:vAlign w:val="center"/>
                </w:tcPr>
                <w:p>
                  <w:pPr>
                    <w:adjustRightInd w:val="0"/>
                    <w:snapToGrid w:val="0"/>
                    <w:spacing w:line="240" w:lineRule="auto"/>
                    <w:jc w:val="center"/>
                    <w:rPr>
                      <w:rFonts w:hint="eastAsia"/>
                      <w:color w:val="auto"/>
                      <w:sz w:val="18"/>
                      <w:szCs w:val="18"/>
                      <w:lang w:eastAsia="zh-CN"/>
                    </w:rPr>
                  </w:pPr>
                  <w:r>
                    <w:rPr>
                      <w:rFonts w:hint="eastAsia"/>
                      <w:color w:val="auto"/>
                      <w:sz w:val="18"/>
                      <w:szCs w:val="18"/>
                      <w:lang w:eastAsia="zh-CN"/>
                    </w:rPr>
                    <w:t>咸阳路污水处理厂</w:t>
                  </w:r>
                </w:p>
              </w:tc>
              <w:tc>
                <w:tcPr>
                  <w:tcW w:w="834"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间断排放，排放期间流量不稳定</w:t>
                  </w:r>
                </w:p>
              </w:tc>
              <w:tc>
                <w:tcPr>
                  <w:tcW w:w="803" w:type="dxa"/>
                  <w:tcBorders>
                    <w:tl2br w:val="nil"/>
                    <w:tr2bl w:val="nil"/>
                  </w:tcBorders>
                  <w:vAlign w:val="center"/>
                </w:tcPr>
                <w:p>
                  <w:pPr>
                    <w:adjustRightInd w:val="0"/>
                    <w:snapToGrid w:val="0"/>
                    <w:spacing w:line="240" w:lineRule="auto"/>
                    <w:jc w:val="center"/>
                    <w:rPr>
                      <w:rFonts w:hint="default" w:eastAsia="宋体"/>
                      <w:color w:val="auto"/>
                      <w:sz w:val="18"/>
                      <w:szCs w:val="18"/>
                      <w:lang w:val="en-US" w:eastAsia="zh-CN"/>
                    </w:rPr>
                  </w:pPr>
                  <w:r>
                    <w:rPr>
                      <w:rFonts w:hint="eastAsia"/>
                      <w:color w:val="auto"/>
                      <w:sz w:val="18"/>
                      <w:szCs w:val="18"/>
                      <w:lang w:val="en-US" w:eastAsia="zh-CN"/>
                    </w:rPr>
                    <w:t>TW001</w:t>
                  </w:r>
                </w:p>
              </w:tc>
              <w:tc>
                <w:tcPr>
                  <w:tcW w:w="823" w:type="dxa"/>
                  <w:tcBorders>
                    <w:tl2br w:val="nil"/>
                    <w:tr2bl w:val="nil"/>
                  </w:tcBorders>
                  <w:vAlign w:val="center"/>
                </w:tcPr>
                <w:p>
                  <w:pPr>
                    <w:adjustRightInd w:val="0"/>
                    <w:snapToGrid w:val="0"/>
                    <w:spacing w:line="240" w:lineRule="auto"/>
                    <w:jc w:val="center"/>
                    <w:rPr>
                      <w:rFonts w:hint="default" w:eastAsia="宋体"/>
                      <w:color w:val="auto"/>
                      <w:sz w:val="18"/>
                      <w:szCs w:val="18"/>
                      <w:lang w:val="en-US" w:eastAsia="zh-CN"/>
                    </w:rPr>
                  </w:pPr>
                  <w:r>
                    <w:rPr>
                      <w:rFonts w:hint="eastAsia"/>
                      <w:color w:val="auto"/>
                      <w:sz w:val="18"/>
                      <w:szCs w:val="18"/>
                      <w:lang w:eastAsia="zh-CN"/>
                    </w:rPr>
                    <w:t>过滤</w:t>
                  </w:r>
                  <w:r>
                    <w:rPr>
                      <w:rFonts w:hint="eastAsia"/>
                      <w:color w:val="auto"/>
                      <w:sz w:val="18"/>
                      <w:szCs w:val="18"/>
                      <w:lang w:val="en-US" w:eastAsia="zh-CN"/>
                    </w:rPr>
                    <w:t>+消毒设备</w:t>
                  </w:r>
                </w:p>
              </w:tc>
              <w:tc>
                <w:tcPr>
                  <w:tcW w:w="872" w:type="dxa"/>
                  <w:tcBorders>
                    <w:tl2br w:val="nil"/>
                    <w:tr2bl w:val="nil"/>
                  </w:tcBorders>
                  <w:vAlign w:val="center"/>
                </w:tcPr>
                <w:p>
                  <w:pPr>
                    <w:adjustRightInd w:val="0"/>
                    <w:snapToGrid w:val="0"/>
                    <w:spacing w:line="240" w:lineRule="auto"/>
                    <w:jc w:val="center"/>
                    <w:rPr>
                      <w:rFonts w:hint="eastAsia" w:eastAsia="宋体"/>
                      <w:color w:val="auto"/>
                      <w:sz w:val="18"/>
                      <w:szCs w:val="18"/>
                      <w:lang w:eastAsia="zh-CN"/>
                    </w:rPr>
                  </w:pPr>
                  <w:r>
                    <w:rPr>
                      <w:rFonts w:hint="eastAsia"/>
                      <w:color w:val="auto"/>
                      <w:sz w:val="18"/>
                      <w:szCs w:val="18"/>
                      <w:lang w:eastAsia="zh-CN"/>
                    </w:rPr>
                    <w:t>消毒</w:t>
                  </w:r>
                </w:p>
              </w:tc>
              <w:tc>
                <w:tcPr>
                  <w:tcW w:w="660" w:type="dxa"/>
                  <w:tcBorders>
                    <w:tl2br w:val="nil"/>
                    <w:tr2bl w:val="nil"/>
                  </w:tcBorders>
                  <w:vAlign w:val="center"/>
                </w:tcPr>
                <w:p>
                  <w:pPr>
                    <w:adjustRightInd w:val="0"/>
                    <w:snapToGrid w:val="0"/>
                    <w:spacing w:line="240" w:lineRule="auto"/>
                    <w:jc w:val="center"/>
                    <w:rPr>
                      <w:rFonts w:hint="eastAsia" w:eastAsia="宋体"/>
                      <w:color w:val="auto"/>
                      <w:sz w:val="18"/>
                      <w:szCs w:val="18"/>
                      <w:lang w:eastAsia="zh-CN"/>
                    </w:rPr>
                  </w:pPr>
                  <w:r>
                    <w:rPr>
                      <w:rFonts w:hint="eastAsia"/>
                      <w:color w:val="auto"/>
                      <w:sz w:val="18"/>
                      <w:szCs w:val="18"/>
                      <w:lang w:eastAsia="zh-CN"/>
                    </w:rPr>
                    <w:t>消毒设施出口</w:t>
                  </w:r>
                </w:p>
              </w:tc>
              <w:tc>
                <w:tcPr>
                  <w:tcW w:w="843" w:type="dxa"/>
                  <w:vMerge w:val="restart"/>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sym w:font="Wingdings 2" w:char="F052"/>
                  </w:r>
                  <w:r>
                    <w:rPr>
                      <w:color w:val="auto"/>
                      <w:sz w:val="18"/>
                      <w:szCs w:val="18"/>
                    </w:rPr>
                    <w:t>是</w:t>
                  </w:r>
                </w:p>
                <w:p>
                  <w:pPr>
                    <w:adjustRightInd w:val="0"/>
                    <w:snapToGrid w:val="0"/>
                    <w:spacing w:line="240" w:lineRule="auto"/>
                    <w:jc w:val="center"/>
                    <w:rPr>
                      <w:color w:val="auto"/>
                      <w:sz w:val="18"/>
                      <w:szCs w:val="18"/>
                    </w:rPr>
                  </w:pPr>
                  <w:r>
                    <w:rPr>
                      <w:color w:val="auto"/>
                      <w:sz w:val="18"/>
                      <w:szCs w:val="18"/>
                    </w:rPr>
                    <w:t>□否</w:t>
                  </w:r>
                </w:p>
              </w:tc>
              <w:tc>
                <w:tcPr>
                  <w:tcW w:w="839" w:type="dxa"/>
                  <w:vMerge w:val="restart"/>
                  <w:tcBorders>
                    <w:tl2br w:val="nil"/>
                    <w:tr2bl w:val="nil"/>
                  </w:tcBorders>
                  <w:vAlign w:val="center"/>
                </w:tcPr>
                <w:p>
                  <w:pPr>
                    <w:adjustRightInd w:val="0"/>
                    <w:snapToGrid w:val="0"/>
                    <w:spacing w:line="240" w:lineRule="auto"/>
                    <w:rPr>
                      <w:color w:val="auto"/>
                      <w:sz w:val="18"/>
                      <w:szCs w:val="18"/>
                    </w:rPr>
                  </w:pPr>
                  <w:r>
                    <w:rPr>
                      <w:color w:val="auto"/>
                      <w:sz w:val="18"/>
                      <w:szCs w:val="18"/>
                    </w:rPr>
                    <w:sym w:font="Wingdings 2" w:char="F052"/>
                  </w:r>
                  <w:r>
                    <w:rPr>
                      <w:color w:val="auto"/>
                      <w:sz w:val="18"/>
                      <w:szCs w:val="18"/>
                    </w:rPr>
                    <w:t>企业总排</w:t>
                  </w:r>
                </w:p>
                <w:p>
                  <w:pPr>
                    <w:adjustRightInd w:val="0"/>
                    <w:snapToGrid w:val="0"/>
                    <w:spacing w:line="240" w:lineRule="auto"/>
                    <w:rPr>
                      <w:color w:val="auto"/>
                      <w:sz w:val="18"/>
                      <w:szCs w:val="18"/>
                    </w:rPr>
                  </w:pPr>
                  <w:r>
                    <w:rPr>
                      <w:color w:val="auto"/>
                      <w:sz w:val="18"/>
                      <w:szCs w:val="18"/>
                    </w:rPr>
                    <w:t>□雨水排放</w:t>
                  </w:r>
                </w:p>
                <w:p>
                  <w:pPr>
                    <w:adjustRightInd w:val="0"/>
                    <w:snapToGrid w:val="0"/>
                    <w:spacing w:line="240" w:lineRule="auto"/>
                    <w:rPr>
                      <w:color w:val="auto"/>
                      <w:sz w:val="18"/>
                      <w:szCs w:val="18"/>
                    </w:rPr>
                  </w:pPr>
                  <w:r>
                    <w:rPr>
                      <w:color w:val="auto"/>
                      <w:sz w:val="18"/>
                      <w:szCs w:val="18"/>
                    </w:rPr>
                    <w:t>□清净下水排放</w:t>
                  </w:r>
                </w:p>
                <w:p>
                  <w:pPr>
                    <w:adjustRightInd w:val="0"/>
                    <w:snapToGrid w:val="0"/>
                    <w:spacing w:line="240" w:lineRule="auto"/>
                    <w:rPr>
                      <w:color w:val="auto"/>
                      <w:sz w:val="18"/>
                      <w:szCs w:val="18"/>
                    </w:rPr>
                  </w:pPr>
                  <w:r>
                    <w:rPr>
                      <w:color w:val="auto"/>
                      <w:sz w:val="18"/>
                      <w:szCs w:val="18"/>
                    </w:rPr>
                    <w:t>□温排水排放</w:t>
                  </w:r>
                </w:p>
                <w:p>
                  <w:pPr>
                    <w:adjustRightInd w:val="0"/>
                    <w:snapToGrid w:val="0"/>
                    <w:spacing w:line="240" w:lineRule="auto"/>
                    <w:rPr>
                      <w:color w:val="auto"/>
                      <w:sz w:val="18"/>
                      <w:szCs w:val="18"/>
                    </w:rPr>
                  </w:pPr>
                  <w:r>
                    <w:rPr>
                      <w:color w:val="auto"/>
                      <w:sz w:val="18"/>
                      <w:szCs w:val="18"/>
                    </w:rPr>
                    <w:t>□车间或车间处理设施排放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8" w:hRule="atLeast"/>
                <w:jc w:val="center"/>
              </w:trPr>
              <w:tc>
                <w:tcPr>
                  <w:tcW w:w="440"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2</w:t>
                  </w:r>
                </w:p>
              </w:tc>
              <w:tc>
                <w:tcPr>
                  <w:tcW w:w="787" w:type="dxa"/>
                  <w:tcBorders>
                    <w:tl2br w:val="nil"/>
                    <w:tr2bl w:val="nil"/>
                  </w:tcBorders>
                  <w:vAlign w:val="center"/>
                </w:tcPr>
                <w:p>
                  <w:pPr>
                    <w:adjustRightInd w:val="0"/>
                    <w:snapToGrid w:val="0"/>
                    <w:spacing w:line="240" w:lineRule="auto"/>
                    <w:jc w:val="both"/>
                    <w:rPr>
                      <w:rFonts w:hint="eastAsia"/>
                      <w:color w:val="auto"/>
                      <w:sz w:val="18"/>
                      <w:szCs w:val="18"/>
                      <w:lang w:val="en-US" w:eastAsia="zh-CN"/>
                    </w:rPr>
                  </w:pPr>
                  <w:r>
                    <w:rPr>
                      <w:rFonts w:hint="eastAsia"/>
                      <w:color w:val="auto"/>
                      <w:sz w:val="18"/>
                      <w:szCs w:val="18"/>
                      <w:lang w:val="en-US" w:eastAsia="zh-CN"/>
                    </w:rPr>
                    <w:t>净水机浓水、生活污水</w:t>
                  </w:r>
                </w:p>
              </w:tc>
              <w:tc>
                <w:tcPr>
                  <w:tcW w:w="810" w:type="dxa"/>
                  <w:tcBorders>
                    <w:tl2br w:val="nil"/>
                    <w:tr2bl w:val="nil"/>
                  </w:tcBorders>
                  <w:vAlign w:val="center"/>
                </w:tcPr>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pH</w:t>
                  </w:r>
                </w:p>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SS</w:t>
                  </w:r>
                </w:p>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BOD</w:t>
                  </w:r>
                  <w:r>
                    <w:rPr>
                      <w:rFonts w:hint="default" w:ascii="Times New Roman" w:hAnsi="Times New Roman" w:cs="Times New Roman"/>
                      <w:color w:val="auto"/>
                      <w:kern w:val="0"/>
                      <w:sz w:val="18"/>
                      <w:szCs w:val="18"/>
                      <w:vertAlign w:val="subscript"/>
                    </w:rPr>
                    <w:t>5</w:t>
                  </w:r>
                </w:p>
                <w:p>
                  <w:pPr>
                    <w:widowControl/>
                    <w:adjustRightInd w:val="0"/>
                    <w:spacing w:line="240" w:lineRule="auto"/>
                    <w:jc w:val="center"/>
                    <w:rPr>
                      <w:rFonts w:hint="default" w:ascii="Times New Roman" w:hAnsi="Times New Roman" w:cs="Times New Roman"/>
                      <w:color w:val="auto"/>
                      <w:kern w:val="0"/>
                      <w:sz w:val="18"/>
                      <w:szCs w:val="18"/>
                      <w:vertAlign w:val="subscript"/>
                    </w:rPr>
                  </w:pPr>
                  <w:r>
                    <w:rPr>
                      <w:rFonts w:hint="default" w:ascii="Times New Roman" w:hAnsi="Times New Roman" w:cs="Times New Roman"/>
                      <w:color w:val="auto"/>
                      <w:kern w:val="0"/>
                      <w:sz w:val="18"/>
                      <w:szCs w:val="18"/>
                    </w:rPr>
                    <w:t>COD</w:t>
                  </w:r>
                  <w:r>
                    <w:rPr>
                      <w:rFonts w:hint="default" w:ascii="Times New Roman" w:hAnsi="Times New Roman" w:cs="Times New Roman"/>
                      <w:color w:val="auto"/>
                      <w:kern w:val="0"/>
                      <w:sz w:val="18"/>
                      <w:szCs w:val="18"/>
                      <w:vertAlign w:val="subscript"/>
                    </w:rPr>
                    <w:t>Cr</w:t>
                  </w:r>
                </w:p>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氨氮</w:t>
                  </w:r>
                </w:p>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总氮</w:t>
                  </w:r>
                </w:p>
                <w:p>
                  <w:pPr>
                    <w:widowControl/>
                    <w:adjustRightInd w:val="0"/>
                    <w:spacing w:line="240" w:lineRule="auto"/>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rPr>
                    <w:t>总磷</w:t>
                  </w:r>
                </w:p>
                <w:p>
                  <w:pPr>
                    <w:pStyle w:val="28"/>
                    <w:spacing w:after="0" w:line="240" w:lineRule="auto"/>
                    <w:ind w:left="0" w:leftChars="0" w:firstLine="0"/>
                    <w:jc w:val="center"/>
                    <w:rPr>
                      <w:rFonts w:hint="default"/>
                      <w:color w:val="auto"/>
                      <w:sz w:val="18"/>
                      <w:szCs w:val="18"/>
                      <w:lang w:val="en-US" w:eastAsia="zh-CN"/>
                    </w:rPr>
                  </w:pPr>
                  <w:r>
                    <w:rPr>
                      <w:rFonts w:hint="default" w:ascii="Times New Roman" w:hAnsi="Times New Roman" w:cs="Times New Roman"/>
                      <w:snapToGrid w:val="0"/>
                      <w:color w:val="auto"/>
                      <w:kern w:val="0"/>
                      <w:sz w:val="18"/>
                      <w:szCs w:val="18"/>
                    </w:rPr>
                    <w:t xml:space="preserve"> LAS</w:t>
                  </w:r>
                  <w:r>
                    <w:rPr>
                      <w:rFonts w:hint="default" w:ascii="Times New Roman" w:hAnsi="Times New Roman" w:cs="Times New Roman"/>
                      <w:color w:val="auto"/>
                      <w:kern w:val="0"/>
                      <w:sz w:val="18"/>
                      <w:szCs w:val="18"/>
                    </w:rPr>
                    <w:t>粪大肠菌群数</w:t>
                  </w:r>
                </w:p>
              </w:tc>
              <w:tc>
                <w:tcPr>
                  <w:tcW w:w="813" w:type="dxa"/>
                  <w:tcBorders>
                    <w:tl2br w:val="nil"/>
                    <w:tr2bl w:val="nil"/>
                  </w:tcBorders>
                  <w:vAlign w:val="center"/>
                </w:tcPr>
                <w:p>
                  <w:pPr>
                    <w:adjustRightInd w:val="0"/>
                    <w:snapToGrid w:val="0"/>
                    <w:spacing w:line="240" w:lineRule="auto"/>
                    <w:ind w:firstLine="0" w:firstLineChars="0"/>
                    <w:jc w:val="center"/>
                    <w:rPr>
                      <w:rFonts w:hint="eastAsia"/>
                      <w:color w:val="auto"/>
                      <w:sz w:val="18"/>
                      <w:szCs w:val="18"/>
                      <w:lang w:eastAsia="zh-CN"/>
                    </w:rPr>
                  </w:pPr>
                  <w:r>
                    <w:rPr>
                      <w:rFonts w:hint="eastAsia"/>
                      <w:color w:val="auto"/>
                      <w:sz w:val="18"/>
                      <w:szCs w:val="18"/>
                      <w:lang w:eastAsia="zh-CN"/>
                    </w:rPr>
                    <w:t>咸阳路污水处理厂</w:t>
                  </w:r>
                </w:p>
              </w:tc>
              <w:tc>
                <w:tcPr>
                  <w:tcW w:w="834" w:type="dxa"/>
                  <w:tcBorders>
                    <w:tl2br w:val="nil"/>
                    <w:tr2bl w:val="nil"/>
                  </w:tcBorders>
                  <w:vAlign w:val="center"/>
                </w:tcPr>
                <w:p>
                  <w:pPr>
                    <w:adjustRightInd w:val="0"/>
                    <w:snapToGrid w:val="0"/>
                    <w:spacing w:line="240" w:lineRule="auto"/>
                    <w:ind w:firstLine="0" w:firstLineChars="0"/>
                    <w:jc w:val="center"/>
                    <w:rPr>
                      <w:color w:val="auto"/>
                      <w:sz w:val="18"/>
                      <w:szCs w:val="18"/>
                    </w:rPr>
                  </w:pPr>
                  <w:r>
                    <w:rPr>
                      <w:color w:val="auto"/>
                      <w:sz w:val="18"/>
                      <w:szCs w:val="18"/>
                    </w:rPr>
                    <w:t>间断排放，排放期间流量不稳定</w:t>
                  </w:r>
                </w:p>
              </w:tc>
              <w:tc>
                <w:tcPr>
                  <w:tcW w:w="803"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823"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872"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w:t>
                  </w:r>
                </w:p>
              </w:tc>
              <w:tc>
                <w:tcPr>
                  <w:tcW w:w="660" w:type="dxa"/>
                  <w:tcBorders>
                    <w:tl2br w:val="nil"/>
                    <w:tr2bl w:val="nil"/>
                  </w:tcBorders>
                  <w:vAlign w:val="center"/>
                </w:tcPr>
                <w:p>
                  <w:pPr>
                    <w:adjustRightInd w:val="0"/>
                    <w:snapToGrid w:val="0"/>
                    <w:spacing w:line="240" w:lineRule="auto"/>
                    <w:jc w:val="center"/>
                    <w:rPr>
                      <w:rFonts w:hint="default" w:eastAsia="宋体"/>
                      <w:color w:val="auto"/>
                      <w:sz w:val="18"/>
                      <w:szCs w:val="18"/>
                      <w:lang w:val="en-US" w:eastAsia="zh-CN"/>
                    </w:rPr>
                  </w:pPr>
                  <w:r>
                    <w:rPr>
                      <w:rFonts w:hint="eastAsia"/>
                      <w:color w:val="auto"/>
                      <w:sz w:val="18"/>
                      <w:szCs w:val="18"/>
                      <w:lang w:val="en-US" w:eastAsia="zh-CN"/>
                    </w:rPr>
                    <w:t>W1</w:t>
                  </w:r>
                </w:p>
              </w:tc>
              <w:tc>
                <w:tcPr>
                  <w:tcW w:w="843" w:type="dxa"/>
                  <w:vMerge w:val="continue"/>
                  <w:tcBorders>
                    <w:tl2br w:val="nil"/>
                    <w:tr2bl w:val="nil"/>
                  </w:tcBorders>
                  <w:vAlign w:val="center"/>
                </w:tcPr>
                <w:p>
                  <w:pPr>
                    <w:adjustRightInd w:val="0"/>
                    <w:snapToGrid w:val="0"/>
                    <w:spacing w:line="240" w:lineRule="auto"/>
                    <w:jc w:val="center"/>
                    <w:rPr>
                      <w:color w:val="auto"/>
                      <w:sz w:val="18"/>
                      <w:szCs w:val="18"/>
                    </w:rPr>
                  </w:pPr>
                </w:p>
              </w:tc>
              <w:tc>
                <w:tcPr>
                  <w:tcW w:w="839" w:type="dxa"/>
                  <w:vMerge w:val="continue"/>
                  <w:tcBorders>
                    <w:tl2br w:val="nil"/>
                    <w:tr2bl w:val="nil"/>
                  </w:tcBorders>
                  <w:vAlign w:val="center"/>
                </w:tcPr>
                <w:p>
                  <w:pPr>
                    <w:adjustRightInd w:val="0"/>
                    <w:snapToGrid w:val="0"/>
                    <w:spacing w:line="240" w:lineRule="auto"/>
                    <w:rPr>
                      <w:color w:val="auto"/>
                      <w:sz w:val="18"/>
                      <w:szCs w:val="18"/>
                    </w:rPr>
                  </w:pPr>
                </w:p>
              </w:tc>
            </w:tr>
          </w:tbl>
          <w:p>
            <w:pPr>
              <w:pStyle w:val="83"/>
              <w:spacing w:before="120"/>
              <w:rPr>
                <w:color w:val="auto"/>
                <w:sz w:val="21"/>
                <w:szCs w:val="21"/>
                <w:lang w:val="en-GB"/>
              </w:rPr>
            </w:pPr>
            <w:r>
              <w:rPr>
                <w:rFonts w:hint="eastAsia"/>
                <w:color w:val="auto"/>
                <w:sz w:val="21"/>
                <w:szCs w:val="21"/>
              </w:rPr>
              <w:t>表4-1</w:t>
            </w:r>
            <w:r>
              <w:rPr>
                <w:rFonts w:hint="eastAsia"/>
                <w:color w:val="auto"/>
                <w:sz w:val="21"/>
                <w:szCs w:val="21"/>
                <w:lang w:val="en-US" w:eastAsia="zh-CN"/>
              </w:rPr>
              <w:t>6</w:t>
            </w:r>
            <w:r>
              <w:rPr>
                <w:rFonts w:hint="eastAsia"/>
                <w:color w:val="auto"/>
                <w:sz w:val="21"/>
                <w:szCs w:val="21"/>
              </w:rPr>
              <w:t xml:space="preserve">  </w:t>
            </w:r>
            <w:r>
              <w:rPr>
                <w:rFonts w:hint="eastAsia"/>
                <w:color w:val="auto"/>
                <w:sz w:val="21"/>
                <w:szCs w:val="21"/>
                <w:lang w:val="en-GB"/>
              </w:rPr>
              <w:t>废水污染物排放执行标准表</w:t>
            </w:r>
          </w:p>
          <w:tbl>
            <w:tblPr>
              <w:tblStyle w:val="29"/>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771"/>
              <w:gridCol w:w="2665"/>
              <w:gridCol w:w="27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84" w:type="dxa"/>
                  <w:vMerge w:val="restart"/>
                  <w:tcBorders>
                    <w:tl2br w:val="nil"/>
                    <w:tr2bl w:val="nil"/>
                  </w:tcBorders>
                  <w:vAlign w:val="center"/>
                </w:tcPr>
                <w:p>
                  <w:pPr>
                    <w:wordWrap w:val="0"/>
                    <w:adjustRightInd w:val="0"/>
                    <w:snapToGrid w:val="0"/>
                    <w:ind w:left="-118" w:leftChars="-49" w:firstLine="89" w:firstLineChars="49"/>
                    <w:jc w:val="center"/>
                    <w:rPr>
                      <w:b/>
                      <w:bCs/>
                      <w:snapToGrid w:val="0"/>
                      <w:color w:val="auto"/>
                      <w:kern w:val="0"/>
                      <w:sz w:val="18"/>
                      <w:szCs w:val="18"/>
                    </w:rPr>
                  </w:pPr>
                  <w:r>
                    <w:rPr>
                      <w:b/>
                      <w:bCs/>
                      <w:snapToGrid w:val="0"/>
                      <w:color w:val="auto"/>
                      <w:kern w:val="0"/>
                      <w:sz w:val="18"/>
                      <w:szCs w:val="18"/>
                    </w:rPr>
                    <w:t>排放口编号</w:t>
                  </w:r>
                </w:p>
              </w:tc>
              <w:tc>
                <w:tcPr>
                  <w:tcW w:w="1771" w:type="dxa"/>
                  <w:vMerge w:val="restart"/>
                  <w:tcBorders>
                    <w:tl2br w:val="nil"/>
                    <w:tr2bl w:val="nil"/>
                  </w:tcBorders>
                  <w:vAlign w:val="center"/>
                </w:tcPr>
                <w:p>
                  <w:pPr>
                    <w:wordWrap w:val="0"/>
                    <w:adjustRightInd w:val="0"/>
                    <w:snapToGrid w:val="0"/>
                    <w:ind w:left="-118" w:leftChars="-49" w:firstLine="89" w:firstLineChars="49"/>
                    <w:jc w:val="center"/>
                    <w:rPr>
                      <w:b/>
                      <w:bCs/>
                      <w:snapToGrid w:val="0"/>
                      <w:color w:val="auto"/>
                      <w:kern w:val="0"/>
                      <w:sz w:val="18"/>
                      <w:szCs w:val="18"/>
                    </w:rPr>
                  </w:pPr>
                  <w:r>
                    <w:rPr>
                      <w:b/>
                      <w:bCs/>
                      <w:snapToGrid w:val="0"/>
                      <w:color w:val="auto"/>
                      <w:kern w:val="0"/>
                      <w:sz w:val="18"/>
                      <w:szCs w:val="18"/>
                    </w:rPr>
                    <w:t>污染物种类</w:t>
                  </w:r>
                </w:p>
              </w:tc>
              <w:tc>
                <w:tcPr>
                  <w:tcW w:w="5463" w:type="dxa"/>
                  <w:gridSpan w:val="2"/>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b/>
                      <w:bCs/>
                      <w:snapToGrid w:val="0"/>
                      <w:color w:val="auto"/>
                      <w:kern w:val="0"/>
                      <w:sz w:val="18"/>
                      <w:szCs w:val="18"/>
                    </w:rPr>
                  </w:pPr>
                  <w:r>
                    <w:rPr>
                      <w:b/>
                      <w:bCs/>
                      <w:snapToGrid w:val="0"/>
                      <w:color w:val="auto"/>
                      <w:kern w:val="0"/>
                      <w:sz w:val="18"/>
                      <w:szCs w:val="18"/>
                    </w:rPr>
                    <w:t>国家或地方污染物排放标准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84" w:type="dxa"/>
                  <w:vMerge w:val="continue"/>
                  <w:tcBorders>
                    <w:tl2br w:val="nil"/>
                    <w:tr2bl w:val="nil"/>
                  </w:tcBorders>
                  <w:vAlign w:val="center"/>
                </w:tcPr>
                <w:p>
                  <w:pPr>
                    <w:wordWrap w:val="0"/>
                    <w:adjustRightInd w:val="0"/>
                    <w:snapToGrid w:val="0"/>
                    <w:ind w:left="-118" w:leftChars="-49" w:firstLine="88" w:firstLineChars="49"/>
                    <w:jc w:val="center"/>
                    <w:rPr>
                      <w:snapToGrid w:val="0"/>
                      <w:color w:val="auto"/>
                      <w:kern w:val="0"/>
                      <w:sz w:val="18"/>
                      <w:szCs w:val="18"/>
                    </w:rPr>
                  </w:pPr>
                </w:p>
              </w:tc>
              <w:tc>
                <w:tcPr>
                  <w:tcW w:w="1771" w:type="dxa"/>
                  <w:vMerge w:val="continue"/>
                  <w:tcBorders>
                    <w:tl2br w:val="nil"/>
                    <w:tr2bl w:val="nil"/>
                  </w:tcBorders>
                  <w:vAlign w:val="center"/>
                </w:tcPr>
                <w:p>
                  <w:pPr>
                    <w:wordWrap w:val="0"/>
                    <w:adjustRightInd w:val="0"/>
                    <w:snapToGrid w:val="0"/>
                    <w:ind w:left="-118" w:leftChars="-49" w:firstLine="88" w:firstLineChars="49"/>
                    <w:jc w:val="center"/>
                    <w:rPr>
                      <w:snapToGrid w:val="0"/>
                      <w:color w:val="auto"/>
                      <w:kern w:val="0"/>
                      <w:sz w:val="18"/>
                      <w:szCs w:val="18"/>
                    </w:rPr>
                  </w:pPr>
                </w:p>
              </w:tc>
              <w:tc>
                <w:tcPr>
                  <w:tcW w:w="2665"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b/>
                      <w:bCs/>
                      <w:snapToGrid w:val="0"/>
                      <w:color w:val="auto"/>
                      <w:kern w:val="0"/>
                      <w:sz w:val="18"/>
                      <w:szCs w:val="18"/>
                    </w:rPr>
                  </w:pPr>
                  <w:r>
                    <w:rPr>
                      <w:b/>
                      <w:bCs/>
                      <w:snapToGrid w:val="0"/>
                      <w:color w:val="auto"/>
                      <w:kern w:val="0"/>
                      <w:sz w:val="18"/>
                      <w:szCs w:val="18"/>
                    </w:rPr>
                    <w:t>名称</w:t>
                  </w:r>
                </w:p>
              </w:tc>
              <w:tc>
                <w:tcPr>
                  <w:tcW w:w="279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b/>
                      <w:bCs/>
                      <w:snapToGrid w:val="0"/>
                      <w:color w:val="auto"/>
                      <w:kern w:val="0"/>
                      <w:sz w:val="18"/>
                      <w:szCs w:val="18"/>
                    </w:rPr>
                  </w:pPr>
                  <w:r>
                    <w:rPr>
                      <w:b/>
                      <w:bCs/>
                      <w:snapToGrid w:val="0"/>
                      <w:color w:val="auto"/>
                      <w:kern w:val="0"/>
                      <w:sz w:val="18"/>
                      <w:szCs w:val="18"/>
                    </w:rPr>
                    <w:t>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83" w:hRule="atLeast"/>
                <w:jc w:val="center"/>
              </w:trPr>
              <w:tc>
                <w:tcPr>
                  <w:tcW w:w="1284" w:type="dxa"/>
                  <w:tcBorders>
                    <w:tl2br w:val="nil"/>
                    <w:tr2bl w:val="nil"/>
                  </w:tcBorders>
                  <w:vAlign w:val="center"/>
                </w:tcPr>
                <w:p>
                  <w:pPr>
                    <w:wordWrap w:val="0"/>
                    <w:adjustRightInd w:val="0"/>
                    <w:snapToGrid w:val="0"/>
                    <w:ind w:left="-118" w:leftChars="-49" w:firstLine="88" w:firstLineChars="49"/>
                    <w:jc w:val="center"/>
                    <w:rPr>
                      <w:snapToGrid w:val="0"/>
                      <w:color w:val="auto"/>
                      <w:kern w:val="0"/>
                      <w:sz w:val="18"/>
                      <w:szCs w:val="18"/>
                    </w:rPr>
                  </w:pPr>
                  <w:r>
                    <w:rPr>
                      <w:color w:val="auto"/>
                      <w:sz w:val="18"/>
                      <w:szCs w:val="18"/>
                    </w:rPr>
                    <w:t>TW001</w:t>
                  </w:r>
                  <w:r>
                    <w:rPr>
                      <w:rFonts w:hint="eastAsia"/>
                      <w:snapToGrid w:val="0"/>
                      <w:color w:val="auto"/>
                      <w:kern w:val="0"/>
                      <w:sz w:val="18"/>
                      <w:szCs w:val="18"/>
                    </w:rPr>
                    <w:t>设备出口</w:t>
                  </w:r>
                </w:p>
              </w:tc>
              <w:tc>
                <w:tcPr>
                  <w:tcW w:w="177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pH</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SS</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vertAlign w:val="subscript"/>
                    </w:rPr>
                  </w:pPr>
                  <w:r>
                    <w:rPr>
                      <w:snapToGrid w:val="0"/>
                      <w:color w:val="auto"/>
                      <w:kern w:val="0"/>
                      <w:sz w:val="18"/>
                      <w:szCs w:val="18"/>
                    </w:rPr>
                    <w:t>COD</w:t>
                  </w:r>
                  <w:r>
                    <w:rPr>
                      <w:rFonts w:hint="eastAsia"/>
                      <w:snapToGrid w:val="0"/>
                      <w:color w:val="auto"/>
                      <w:kern w:val="0"/>
                      <w:sz w:val="18"/>
                      <w:szCs w:val="18"/>
                      <w:vertAlign w:val="subscript"/>
                    </w:rPr>
                    <w:t>cr</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vertAlign w:val="subscript"/>
                    </w:rPr>
                  </w:pPr>
                  <w:r>
                    <w:rPr>
                      <w:snapToGrid w:val="0"/>
                      <w:color w:val="auto"/>
                      <w:kern w:val="0"/>
                      <w:sz w:val="18"/>
                      <w:szCs w:val="18"/>
                    </w:rPr>
                    <w:t>BOD</w:t>
                  </w:r>
                  <w:r>
                    <w:rPr>
                      <w:snapToGrid w:val="0"/>
                      <w:color w:val="auto"/>
                      <w:kern w:val="0"/>
                      <w:sz w:val="18"/>
                      <w:szCs w:val="18"/>
                      <w:vertAlign w:val="subscript"/>
                    </w:rPr>
                    <w:t>5</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氨氮</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总氮</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总磷</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粪大肠菌群数</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rFonts w:hint="eastAsia"/>
                      <w:snapToGrid w:val="0"/>
                      <w:color w:val="auto"/>
                      <w:kern w:val="0"/>
                      <w:sz w:val="18"/>
                      <w:szCs w:val="18"/>
                    </w:rPr>
                    <w:t>总余氯</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snapToGrid w:val="0"/>
                      <w:color w:val="auto"/>
                      <w:kern w:val="0"/>
                      <w:sz w:val="18"/>
                      <w:szCs w:val="18"/>
                    </w:rPr>
                  </w:pPr>
                  <w:r>
                    <w:rPr>
                      <w:rFonts w:hint="eastAsia"/>
                      <w:snapToGrid w:val="0"/>
                      <w:color w:val="auto"/>
                      <w:kern w:val="0"/>
                      <w:sz w:val="18"/>
                      <w:szCs w:val="18"/>
                    </w:rPr>
                    <w:t>LAS</w:t>
                  </w:r>
                </w:p>
              </w:tc>
              <w:tc>
                <w:tcPr>
                  <w:tcW w:w="2665" w:type="dxa"/>
                  <w:tcBorders>
                    <w:tl2br w:val="nil"/>
                    <w:tr2bl w:val="nil"/>
                  </w:tcBorders>
                  <w:vAlign w:val="center"/>
                </w:tcPr>
                <w:p>
                  <w:pPr>
                    <w:adjustRightInd w:val="0"/>
                    <w:snapToGrid w:val="0"/>
                    <w:ind w:left="-118" w:leftChars="-49" w:firstLine="88" w:firstLineChars="49"/>
                    <w:jc w:val="center"/>
                    <w:rPr>
                      <w:snapToGrid w:val="0"/>
                      <w:color w:val="auto"/>
                      <w:kern w:val="0"/>
                      <w:sz w:val="18"/>
                      <w:szCs w:val="18"/>
                    </w:rPr>
                  </w:pPr>
                  <w:r>
                    <w:rPr>
                      <w:snapToGrid w:val="0"/>
                      <w:color w:val="auto"/>
                      <w:kern w:val="0"/>
                      <w:sz w:val="18"/>
                      <w:szCs w:val="18"/>
                    </w:rPr>
                    <w:t>《污水综合排放标准》（DB12/356-2018）三级</w:t>
                  </w:r>
                  <w:r>
                    <w:rPr>
                      <w:color w:val="auto"/>
                      <w:sz w:val="18"/>
                      <w:szCs w:val="18"/>
                    </w:rPr>
                    <w:t>排放标准</w:t>
                  </w:r>
                  <w:r>
                    <w:rPr>
                      <w:snapToGrid w:val="0"/>
                      <w:color w:val="auto"/>
                      <w:kern w:val="0"/>
                      <w:sz w:val="18"/>
                      <w:szCs w:val="18"/>
                    </w:rPr>
                    <w:t>、</w:t>
                  </w:r>
                  <w:r>
                    <w:rPr>
                      <w:color w:val="auto"/>
                      <w:sz w:val="18"/>
                      <w:szCs w:val="18"/>
                    </w:rPr>
                    <w:t>《医疗机构水污染物排放标准》（GB18466-2005）中综合医疗机构和其他医疗机构水污染物排放标准限值要求</w:t>
                  </w:r>
                </w:p>
              </w:tc>
              <w:tc>
                <w:tcPr>
                  <w:tcW w:w="2798" w:type="dxa"/>
                  <w:tcBorders>
                    <w:tl2br w:val="nil"/>
                    <w:tr2bl w:val="nil"/>
                  </w:tcBorders>
                  <w:vAlign w:val="center"/>
                </w:tcPr>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pH：6-9</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SS：60mg/L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COD</w:t>
                  </w:r>
                  <w:r>
                    <w:rPr>
                      <w:rFonts w:hint="eastAsia"/>
                      <w:snapToGrid w:val="0"/>
                      <w:color w:val="auto"/>
                      <w:kern w:val="0"/>
                      <w:sz w:val="18"/>
                      <w:szCs w:val="18"/>
                      <w:vertAlign w:val="subscript"/>
                    </w:rPr>
                    <w:t>cr</w:t>
                  </w:r>
                  <w:r>
                    <w:rPr>
                      <w:snapToGrid w:val="0"/>
                      <w:color w:val="auto"/>
                      <w:kern w:val="0"/>
                      <w:sz w:val="18"/>
                      <w:szCs w:val="18"/>
                    </w:rPr>
                    <w:t>：250mg/L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BOD</w:t>
                  </w:r>
                  <w:r>
                    <w:rPr>
                      <w:snapToGrid w:val="0"/>
                      <w:color w:val="auto"/>
                      <w:kern w:val="0"/>
                      <w:sz w:val="18"/>
                      <w:szCs w:val="18"/>
                      <w:vertAlign w:val="subscript"/>
                    </w:rPr>
                    <w:t>5</w:t>
                  </w:r>
                  <w:r>
                    <w:rPr>
                      <w:snapToGrid w:val="0"/>
                      <w:color w:val="auto"/>
                      <w:kern w:val="0"/>
                      <w:sz w:val="18"/>
                      <w:szCs w:val="18"/>
                    </w:rPr>
                    <w:t>：100mg/L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氨氮：45mg/L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总氮：70mg/L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总磷：8mg/L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粪大肠菌群数5000个//L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rFonts w:hint="eastAsia"/>
                      <w:snapToGrid w:val="0"/>
                      <w:color w:val="auto"/>
                      <w:kern w:val="0"/>
                      <w:sz w:val="18"/>
                      <w:szCs w:val="18"/>
                    </w:rPr>
                    <w:t>总余氯：2-</w:t>
                  </w:r>
                  <w:r>
                    <w:rPr>
                      <w:snapToGrid w:val="0"/>
                      <w:color w:val="auto"/>
                      <w:kern w:val="0"/>
                      <w:sz w:val="18"/>
                      <w:szCs w:val="18"/>
                    </w:rPr>
                    <w:t>8mg/L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rFonts w:hint="eastAsia"/>
                      <w:snapToGrid w:val="0"/>
                      <w:color w:val="auto"/>
                      <w:kern w:val="0"/>
                      <w:sz w:val="18"/>
                      <w:szCs w:val="18"/>
                    </w:rPr>
                    <w:t xml:space="preserve"> LAS：10</w:t>
                  </w:r>
                  <w:r>
                    <w:rPr>
                      <w:snapToGrid w:val="0"/>
                      <w:color w:val="auto"/>
                      <w:kern w:val="0"/>
                      <w:sz w:val="18"/>
                      <w:szCs w:val="18"/>
                    </w:rPr>
                    <w:t>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85" w:hRule="atLeast"/>
                <w:jc w:val="center"/>
              </w:trPr>
              <w:tc>
                <w:tcPr>
                  <w:tcW w:w="1284" w:type="dxa"/>
                  <w:tcBorders>
                    <w:tl2br w:val="nil"/>
                    <w:tr2bl w:val="nil"/>
                  </w:tcBorders>
                  <w:vAlign w:val="center"/>
                </w:tcPr>
                <w:p>
                  <w:pPr>
                    <w:wordWrap w:val="0"/>
                    <w:adjustRightInd w:val="0"/>
                    <w:snapToGrid w:val="0"/>
                    <w:ind w:left="-118" w:leftChars="-49" w:firstLine="88" w:firstLineChars="49"/>
                    <w:jc w:val="center"/>
                    <w:rPr>
                      <w:snapToGrid w:val="0"/>
                      <w:color w:val="auto"/>
                      <w:kern w:val="0"/>
                      <w:sz w:val="18"/>
                      <w:szCs w:val="18"/>
                    </w:rPr>
                  </w:pPr>
                  <w:r>
                    <w:rPr>
                      <w:snapToGrid w:val="0"/>
                      <w:color w:val="auto"/>
                      <w:kern w:val="0"/>
                      <w:sz w:val="18"/>
                      <w:szCs w:val="18"/>
                    </w:rPr>
                    <w:t>W1</w:t>
                  </w:r>
                </w:p>
              </w:tc>
              <w:tc>
                <w:tcPr>
                  <w:tcW w:w="1771"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pH</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SS</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COD</w:t>
                  </w:r>
                  <w:r>
                    <w:rPr>
                      <w:rFonts w:hint="eastAsia"/>
                      <w:snapToGrid w:val="0"/>
                      <w:color w:val="auto"/>
                      <w:kern w:val="0"/>
                      <w:sz w:val="18"/>
                      <w:szCs w:val="18"/>
                    </w:rPr>
                    <w:t>cr</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vertAlign w:val="subscript"/>
                    </w:rPr>
                  </w:pPr>
                  <w:r>
                    <w:rPr>
                      <w:snapToGrid w:val="0"/>
                      <w:color w:val="auto"/>
                      <w:kern w:val="0"/>
                      <w:sz w:val="18"/>
                      <w:szCs w:val="18"/>
                    </w:rPr>
                    <w:t>BOD</w:t>
                  </w:r>
                  <w:r>
                    <w:rPr>
                      <w:snapToGrid w:val="0"/>
                      <w:color w:val="auto"/>
                      <w:kern w:val="0"/>
                      <w:sz w:val="18"/>
                      <w:szCs w:val="18"/>
                      <w:vertAlign w:val="subscript"/>
                    </w:rPr>
                    <w:t>5</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氨氮</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总氮</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总磷</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rFonts w:hint="eastAsia"/>
                      <w:snapToGrid w:val="0"/>
                      <w:color w:val="auto"/>
                      <w:kern w:val="0"/>
                      <w:sz w:val="18"/>
                      <w:szCs w:val="18"/>
                    </w:rPr>
                  </w:pPr>
                  <w:r>
                    <w:rPr>
                      <w:rFonts w:hint="eastAsia"/>
                      <w:snapToGrid w:val="0"/>
                      <w:color w:val="auto"/>
                      <w:kern w:val="0"/>
                      <w:sz w:val="18"/>
                      <w:szCs w:val="18"/>
                    </w:rPr>
                    <w:t>LAS</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rFonts w:hint="eastAsia"/>
                      <w:color w:val="auto"/>
                      <w:kern w:val="0"/>
                      <w:sz w:val="18"/>
                      <w:szCs w:val="18"/>
                    </w:rPr>
                    <w:t>粪大肠菌群数</w:t>
                  </w:r>
                </w:p>
              </w:tc>
              <w:tc>
                <w:tcPr>
                  <w:tcW w:w="2665" w:type="dxa"/>
                  <w:tcBorders>
                    <w:tl2br w:val="nil"/>
                    <w:tr2bl w:val="nil"/>
                  </w:tcBorders>
                  <w:vAlign w:val="center"/>
                </w:tcPr>
                <w:p>
                  <w:pPr>
                    <w:wordWrap w:val="0"/>
                    <w:adjustRightInd w:val="0"/>
                    <w:snapToGrid w:val="0"/>
                    <w:ind w:left="-118" w:leftChars="-49" w:firstLine="88" w:firstLineChars="49"/>
                    <w:jc w:val="center"/>
                    <w:rPr>
                      <w:snapToGrid w:val="0"/>
                      <w:color w:val="auto"/>
                      <w:kern w:val="0"/>
                      <w:sz w:val="18"/>
                      <w:szCs w:val="18"/>
                    </w:rPr>
                  </w:pPr>
                  <w:r>
                    <w:rPr>
                      <w:snapToGrid w:val="0"/>
                      <w:color w:val="auto"/>
                      <w:kern w:val="0"/>
                      <w:sz w:val="18"/>
                      <w:szCs w:val="18"/>
                    </w:rPr>
                    <w:t>《污水综合排放标准》（DB12/356-2018）三级</w:t>
                  </w:r>
                  <w:r>
                    <w:rPr>
                      <w:color w:val="auto"/>
                      <w:sz w:val="18"/>
                      <w:szCs w:val="18"/>
                    </w:rPr>
                    <w:t>排放标准</w:t>
                  </w:r>
                </w:p>
              </w:tc>
              <w:tc>
                <w:tcPr>
                  <w:tcW w:w="2798" w:type="dxa"/>
                  <w:tcBorders>
                    <w:tl2br w:val="nil"/>
                    <w:tr2bl w:val="nil"/>
                  </w:tcBorders>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pH：6-9</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SS：400mg/L</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COD</w:t>
                  </w:r>
                  <w:r>
                    <w:rPr>
                      <w:rFonts w:hint="eastAsia"/>
                      <w:snapToGrid w:val="0"/>
                      <w:color w:val="auto"/>
                      <w:kern w:val="0"/>
                      <w:sz w:val="18"/>
                      <w:szCs w:val="18"/>
                    </w:rPr>
                    <w:t>cr</w:t>
                  </w:r>
                  <w:r>
                    <w:rPr>
                      <w:snapToGrid w:val="0"/>
                      <w:color w:val="auto"/>
                      <w:kern w:val="0"/>
                      <w:sz w:val="18"/>
                      <w:szCs w:val="18"/>
                    </w:rPr>
                    <w:t>：500mg/L</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BOD</w:t>
                  </w:r>
                  <w:r>
                    <w:rPr>
                      <w:snapToGrid w:val="0"/>
                      <w:color w:val="auto"/>
                      <w:kern w:val="0"/>
                      <w:sz w:val="18"/>
                      <w:szCs w:val="18"/>
                      <w:vertAlign w:val="subscript"/>
                    </w:rPr>
                    <w:t>5</w:t>
                  </w:r>
                  <w:r>
                    <w:rPr>
                      <w:snapToGrid w:val="0"/>
                      <w:color w:val="auto"/>
                      <w:kern w:val="0"/>
                      <w:sz w:val="18"/>
                      <w:szCs w:val="18"/>
                    </w:rPr>
                    <w:t>：300mg/L</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氨氮：45mg/L</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总氮：70mg/L</w:t>
                  </w:r>
                </w:p>
                <w:p>
                  <w:pPr>
                    <w:keepNext w:val="0"/>
                    <w:keepLines w:val="0"/>
                    <w:pageBreakBefore w:val="0"/>
                    <w:widowControl w:val="0"/>
                    <w:kinsoku/>
                    <w:wordWrap w:val="0"/>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总磷：8mg/L</w:t>
                  </w:r>
                  <w:r>
                    <w:rPr>
                      <w:rFonts w:hint="eastAsia"/>
                      <w:snapToGrid w:val="0"/>
                      <w:color w:val="auto"/>
                      <w:kern w:val="0"/>
                      <w:sz w:val="18"/>
                      <w:szCs w:val="18"/>
                    </w:rPr>
                    <w:t xml:space="preserve"> </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rFonts w:hint="eastAsia"/>
                      <w:snapToGrid w:val="0"/>
                      <w:color w:val="auto"/>
                      <w:kern w:val="0"/>
                      <w:sz w:val="18"/>
                      <w:szCs w:val="18"/>
                    </w:rPr>
                    <w:t>LAS：20</w:t>
                  </w:r>
                  <w:r>
                    <w:rPr>
                      <w:snapToGrid w:val="0"/>
                      <w:color w:val="auto"/>
                      <w:kern w:val="0"/>
                      <w:sz w:val="18"/>
                      <w:szCs w:val="18"/>
                    </w:rPr>
                    <w:t>mg/L</w:t>
                  </w:r>
                </w:p>
                <w:p>
                  <w:pPr>
                    <w:keepNext w:val="0"/>
                    <w:keepLines w:val="0"/>
                    <w:pageBreakBefore w:val="0"/>
                    <w:widowControl w:val="0"/>
                    <w:kinsoku/>
                    <w:overflowPunct/>
                    <w:topLinePunct w:val="0"/>
                    <w:autoSpaceDE/>
                    <w:autoSpaceDN/>
                    <w:bidi w:val="0"/>
                    <w:adjustRightInd w:val="0"/>
                    <w:snapToGrid w:val="0"/>
                    <w:spacing w:line="240" w:lineRule="auto"/>
                    <w:ind w:left="-118" w:leftChars="-49" w:firstLine="88" w:firstLineChars="49"/>
                    <w:jc w:val="center"/>
                    <w:textAlignment w:val="auto"/>
                    <w:rPr>
                      <w:snapToGrid w:val="0"/>
                      <w:color w:val="auto"/>
                      <w:kern w:val="0"/>
                      <w:sz w:val="18"/>
                      <w:szCs w:val="18"/>
                    </w:rPr>
                  </w:pPr>
                  <w:r>
                    <w:rPr>
                      <w:snapToGrid w:val="0"/>
                      <w:color w:val="auto"/>
                      <w:kern w:val="0"/>
                      <w:sz w:val="18"/>
                      <w:szCs w:val="18"/>
                    </w:rPr>
                    <w:t>粪大肠菌群数</w:t>
                  </w:r>
                  <w:r>
                    <w:rPr>
                      <w:rFonts w:hint="eastAsia"/>
                      <w:snapToGrid w:val="0"/>
                      <w:color w:val="auto"/>
                      <w:kern w:val="0"/>
                      <w:sz w:val="18"/>
                      <w:szCs w:val="18"/>
                      <w:lang w:val="en-US" w:eastAsia="zh-CN"/>
                    </w:rPr>
                    <w:t>10</w:t>
                  </w:r>
                  <w:r>
                    <w:rPr>
                      <w:snapToGrid w:val="0"/>
                      <w:color w:val="auto"/>
                      <w:kern w:val="0"/>
                      <w:sz w:val="18"/>
                      <w:szCs w:val="18"/>
                    </w:rPr>
                    <w:t>000个//L</w:t>
                  </w:r>
                </w:p>
              </w:tc>
            </w:tr>
          </w:tbl>
          <w:p>
            <w:pPr>
              <w:pStyle w:val="83"/>
              <w:spacing w:before="120"/>
              <w:rPr>
                <w:color w:val="auto"/>
                <w:sz w:val="21"/>
                <w:szCs w:val="21"/>
                <w:lang w:val="en-GB"/>
              </w:rPr>
            </w:pPr>
            <w:r>
              <w:rPr>
                <w:rFonts w:hint="eastAsia"/>
                <w:color w:val="auto"/>
                <w:sz w:val="21"/>
                <w:szCs w:val="21"/>
              </w:rPr>
              <w:t>表4-1</w:t>
            </w:r>
            <w:r>
              <w:rPr>
                <w:rFonts w:hint="eastAsia"/>
                <w:color w:val="auto"/>
                <w:sz w:val="21"/>
                <w:szCs w:val="21"/>
                <w:lang w:val="en-US" w:eastAsia="zh-CN"/>
              </w:rPr>
              <w:t>7</w:t>
            </w:r>
            <w:r>
              <w:rPr>
                <w:rFonts w:hint="eastAsia"/>
                <w:color w:val="auto"/>
                <w:sz w:val="21"/>
                <w:szCs w:val="21"/>
              </w:rPr>
              <w:t xml:space="preserve">   </w:t>
            </w:r>
            <w:r>
              <w:rPr>
                <w:rFonts w:hint="eastAsia"/>
                <w:color w:val="auto"/>
                <w:sz w:val="21"/>
                <w:szCs w:val="21"/>
                <w:lang w:val="en-GB"/>
              </w:rPr>
              <w:t>废水间接排放口基本情况表</w:t>
            </w:r>
          </w:p>
          <w:tbl>
            <w:tblPr>
              <w:tblStyle w:val="29"/>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7"/>
              <w:gridCol w:w="651"/>
              <w:gridCol w:w="1286"/>
              <w:gridCol w:w="937"/>
              <w:gridCol w:w="644"/>
              <w:gridCol w:w="632"/>
              <w:gridCol w:w="743"/>
              <w:gridCol w:w="763"/>
              <w:gridCol w:w="1158"/>
              <w:gridCol w:w="12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tblHeader/>
                <w:jc w:val="center"/>
              </w:trPr>
              <w:tc>
                <w:tcPr>
                  <w:tcW w:w="417"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序号</w:t>
                  </w:r>
                </w:p>
              </w:tc>
              <w:tc>
                <w:tcPr>
                  <w:tcW w:w="651"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排放口</w:t>
                  </w:r>
                </w:p>
                <w:p>
                  <w:pPr>
                    <w:adjustRightInd w:val="0"/>
                    <w:snapToGrid w:val="0"/>
                    <w:spacing w:line="240" w:lineRule="auto"/>
                    <w:jc w:val="center"/>
                    <w:rPr>
                      <w:b/>
                      <w:bCs/>
                      <w:color w:val="auto"/>
                      <w:sz w:val="18"/>
                      <w:szCs w:val="18"/>
                    </w:rPr>
                  </w:pPr>
                  <w:r>
                    <w:rPr>
                      <w:b/>
                      <w:bCs/>
                      <w:color w:val="auto"/>
                      <w:sz w:val="18"/>
                      <w:szCs w:val="18"/>
                    </w:rPr>
                    <w:t>编号</w:t>
                  </w:r>
                </w:p>
              </w:tc>
              <w:tc>
                <w:tcPr>
                  <w:tcW w:w="1286"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排放口地理坐标</w:t>
                  </w:r>
                </w:p>
              </w:tc>
              <w:tc>
                <w:tcPr>
                  <w:tcW w:w="937"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废水排放量/</w:t>
                  </w:r>
                </w:p>
                <w:p>
                  <w:pPr>
                    <w:adjustRightInd w:val="0"/>
                    <w:snapToGrid w:val="0"/>
                    <w:spacing w:line="240" w:lineRule="auto"/>
                    <w:jc w:val="center"/>
                    <w:rPr>
                      <w:b/>
                      <w:bCs/>
                      <w:color w:val="auto"/>
                      <w:sz w:val="18"/>
                      <w:szCs w:val="18"/>
                    </w:rPr>
                  </w:pPr>
                  <w:r>
                    <w:rPr>
                      <w:b/>
                      <w:bCs/>
                      <w:color w:val="auto"/>
                      <w:sz w:val="18"/>
                      <w:szCs w:val="18"/>
                    </w:rPr>
                    <w:t>（t/a）</w:t>
                  </w:r>
                </w:p>
              </w:tc>
              <w:tc>
                <w:tcPr>
                  <w:tcW w:w="644"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排放</w:t>
                  </w:r>
                </w:p>
                <w:p>
                  <w:pPr>
                    <w:adjustRightInd w:val="0"/>
                    <w:snapToGrid w:val="0"/>
                    <w:spacing w:line="240" w:lineRule="auto"/>
                    <w:jc w:val="center"/>
                    <w:rPr>
                      <w:b/>
                      <w:bCs/>
                      <w:color w:val="auto"/>
                      <w:sz w:val="18"/>
                      <w:szCs w:val="18"/>
                    </w:rPr>
                  </w:pPr>
                  <w:r>
                    <w:rPr>
                      <w:b/>
                      <w:bCs/>
                      <w:color w:val="auto"/>
                      <w:sz w:val="18"/>
                      <w:szCs w:val="18"/>
                    </w:rPr>
                    <w:t>规律</w:t>
                  </w:r>
                </w:p>
              </w:tc>
              <w:tc>
                <w:tcPr>
                  <w:tcW w:w="632" w:type="dxa"/>
                  <w:vMerge w:val="restart"/>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间歇排放</w:t>
                  </w:r>
                </w:p>
                <w:p>
                  <w:pPr>
                    <w:adjustRightInd w:val="0"/>
                    <w:snapToGrid w:val="0"/>
                    <w:spacing w:line="240" w:lineRule="auto"/>
                    <w:jc w:val="center"/>
                    <w:rPr>
                      <w:b/>
                      <w:bCs/>
                      <w:color w:val="auto"/>
                      <w:sz w:val="18"/>
                      <w:szCs w:val="18"/>
                    </w:rPr>
                  </w:pPr>
                  <w:r>
                    <w:rPr>
                      <w:b/>
                      <w:bCs/>
                      <w:color w:val="auto"/>
                      <w:sz w:val="18"/>
                      <w:szCs w:val="18"/>
                    </w:rPr>
                    <w:t>时段</w:t>
                  </w:r>
                </w:p>
              </w:tc>
              <w:tc>
                <w:tcPr>
                  <w:tcW w:w="3951" w:type="dxa"/>
                  <w:gridSpan w:val="4"/>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417" w:type="dxa"/>
                  <w:vMerge w:val="continue"/>
                  <w:tcBorders>
                    <w:tl2br w:val="nil"/>
                    <w:tr2bl w:val="nil"/>
                  </w:tcBorders>
                  <w:vAlign w:val="center"/>
                </w:tcPr>
                <w:p>
                  <w:pPr>
                    <w:spacing w:line="240" w:lineRule="auto"/>
                    <w:jc w:val="left"/>
                    <w:rPr>
                      <w:b/>
                      <w:bCs/>
                      <w:color w:val="auto"/>
                      <w:sz w:val="18"/>
                      <w:szCs w:val="18"/>
                    </w:rPr>
                  </w:pPr>
                </w:p>
              </w:tc>
              <w:tc>
                <w:tcPr>
                  <w:tcW w:w="651" w:type="dxa"/>
                  <w:vMerge w:val="continue"/>
                  <w:tcBorders>
                    <w:tl2br w:val="nil"/>
                    <w:tr2bl w:val="nil"/>
                  </w:tcBorders>
                  <w:vAlign w:val="center"/>
                </w:tcPr>
                <w:p>
                  <w:pPr>
                    <w:spacing w:line="240" w:lineRule="auto"/>
                    <w:jc w:val="left"/>
                    <w:rPr>
                      <w:b/>
                      <w:bCs/>
                      <w:color w:val="auto"/>
                      <w:sz w:val="18"/>
                      <w:szCs w:val="18"/>
                    </w:rPr>
                  </w:pPr>
                </w:p>
              </w:tc>
              <w:tc>
                <w:tcPr>
                  <w:tcW w:w="1286" w:type="dxa"/>
                  <w:vMerge w:val="continue"/>
                  <w:tcBorders>
                    <w:tl2br w:val="nil"/>
                    <w:tr2bl w:val="nil"/>
                  </w:tcBorders>
                  <w:vAlign w:val="center"/>
                </w:tcPr>
                <w:p>
                  <w:pPr>
                    <w:adjustRightInd w:val="0"/>
                    <w:snapToGrid w:val="0"/>
                    <w:spacing w:line="240" w:lineRule="auto"/>
                    <w:jc w:val="center"/>
                    <w:rPr>
                      <w:b/>
                      <w:bCs/>
                      <w:color w:val="auto"/>
                      <w:sz w:val="18"/>
                      <w:szCs w:val="18"/>
                    </w:rPr>
                  </w:pPr>
                </w:p>
              </w:tc>
              <w:tc>
                <w:tcPr>
                  <w:tcW w:w="937" w:type="dxa"/>
                  <w:vMerge w:val="continue"/>
                  <w:tcBorders>
                    <w:tl2br w:val="nil"/>
                    <w:tr2bl w:val="nil"/>
                  </w:tcBorders>
                  <w:vAlign w:val="center"/>
                </w:tcPr>
                <w:p>
                  <w:pPr>
                    <w:spacing w:line="240" w:lineRule="auto"/>
                    <w:jc w:val="left"/>
                    <w:rPr>
                      <w:b/>
                      <w:bCs/>
                      <w:color w:val="auto"/>
                      <w:sz w:val="18"/>
                      <w:szCs w:val="18"/>
                    </w:rPr>
                  </w:pPr>
                </w:p>
              </w:tc>
              <w:tc>
                <w:tcPr>
                  <w:tcW w:w="644" w:type="dxa"/>
                  <w:vMerge w:val="continue"/>
                  <w:tcBorders>
                    <w:tl2br w:val="nil"/>
                    <w:tr2bl w:val="nil"/>
                  </w:tcBorders>
                  <w:vAlign w:val="center"/>
                </w:tcPr>
                <w:p>
                  <w:pPr>
                    <w:spacing w:line="240" w:lineRule="auto"/>
                    <w:jc w:val="left"/>
                    <w:rPr>
                      <w:b/>
                      <w:bCs/>
                      <w:color w:val="auto"/>
                      <w:sz w:val="18"/>
                      <w:szCs w:val="18"/>
                    </w:rPr>
                  </w:pPr>
                </w:p>
              </w:tc>
              <w:tc>
                <w:tcPr>
                  <w:tcW w:w="632" w:type="dxa"/>
                  <w:vMerge w:val="continue"/>
                  <w:tcBorders>
                    <w:tl2br w:val="nil"/>
                    <w:tr2bl w:val="nil"/>
                  </w:tcBorders>
                  <w:vAlign w:val="center"/>
                </w:tcPr>
                <w:p>
                  <w:pPr>
                    <w:spacing w:line="240" w:lineRule="auto"/>
                    <w:jc w:val="left"/>
                    <w:rPr>
                      <w:b/>
                      <w:bCs/>
                      <w:color w:val="auto"/>
                      <w:sz w:val="18"/>
                      <w:szCs w:val="18"/>
                    </w:rPr>
                  </w:pPr>
                </w:p>
              </w:tc>
              <w:tc>
                <w:tcPr>
                  <w:tcW w:w="743" w:type="dxa"/>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名称</w:t>
                  </w:r>
                </w:p>
              </w:tc>
              <w:tc>
                <w:tcPr>
                  <w:tcW w:w="763" w:type="dxa"/>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污染物种类</w:t>
                  </w:r>
                </w:p>
              </w:tc>
              <w:tc>
                <w:tcPr>
                  <w:tcW w:w="2445" w:type="dxa"/>
                  <w:gridSpan w:val="2"/>
                  <w:tcBorders>
                    <w:tl2br w:val="nil"/>
                    <w:tr2bl w:val="nil"/>
                  </w:tcBorders>
                  <w:vAlign w:val="center"/>
                </w:tcPr>
                <w:p>
                  <w:pPr>
                    <w:adjustRightInd w:val="0"/>
                    <w:snapToGrid w:val="0"/>
                    <w:spacing w:line="240" w:lineRule="auto"/>
                    <w:jc w:val="center"/>
                    <w:rPr>
                      <w:b/>
                      <w:bCs/>
                      <w:color w:val="auto"/>
                      <w:sz w:val="18"/>
                      <w:szCs w:val="18"/>
                    </w:rPr>
                  </w:pPr>
                  <w:r>
                    <w:rPr>
                      <w:b/>
                      <w:bCs/>
                      <w:color w:val="auto"/>
                      <w:sz w:val="18"/>
                      <w:szCs w:val="18"/>
                    </w:rPr>
                    <w:t>国家或地方污染物排放</w:t>
                  </w:r>
                </w:p>
                <w:p>
                  <w:pPr>
                    <w:adjustRightInd w:val="0"/>
                    <w:snapToGrid w:val="0"/>
                    <w:spacing w:line="240" w:lineRule="auto"/>
                    <w:jc w:val="center"/>
                    <w:rPr>
                      <w:b/>
                      <w:bCs/>
                      <w:color w:val="auto"/>
                      <w:sz w:val="18"/>
                      <w:szCs w:val="18"/>
                    </w:rPr>
                  </w:pPr>
                  <w:r>
                    <w:rPr>
                      <w:b/>
                      <w:bCs/>
                      <w:color w:val="auto"/>
                      <w:sz w:val="18"/>
                      <w:szCs w:val="18"/>
                    </w:rPr>
                    <w:t>标准浓度限值/(mg/L)</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restart"/>
                  <w:tcBorders>
                    <w:tl2br w:val="nil"/>
                    <w:tr2bl w:val="nil"/>
                  </w:tcBorders>
                  <w:vAlign w:val="center"/>
                </w:tcPr>
                <w:p>
                  <w:pPr>
                    <w:adjustRightInd w:val="0"/>
                    <w:snapToGrid w:val="0"/>
                    <w:jc w:val="center"/>
                    <w:rPr>
                      <w:color w:val="auto"/>
                      <w:sz w:val="18"/>
                      <w:szCs w:val="18"/>
                    </w:rPr>
                  </w:pPr>
                  <w:r>
                    <w:rPr>
                      <w:color w:val="auto"/>
                      <w:sz w:val="18"/>
                      <w:szCs w:val="18"/>
                    </w:rPr>
                    <w:t>1</w:t>
                  </w:r>
                </w:p>
              </w:tc>
              <w:tc>
                <w:tcPr>
                  <w:tcW w:w="651" w:type="dxa"/>
                  <w:vMerge w:val="restart"/>
                  <w:tcBorders>
                    <w:tl2br w:val="nil"/>
                    <w:tr2bl w:val="nil"/>
                  </w:tcBorders>
                  <w:vAlign w:val="center"/>
                </w:tcPr>
                <w:p>
                  <w:pPr>
                    <w:adjustRightInd w:val="0"/>
                    <w:snapToGrid w:val="0"/>
                    <w:jc w:val="center"/>
                    <w:rPr>
                      <w:color w:val="auto"/>
                      <w:sz w:val="18"/>
                      <w:szCs w:val="18"/>
                    </w:rPr>
                  </w:pPr>
                  <w:r>
                    <w:rPr>
                      <w:rFonts w:hint="eastAsia"/>
                      <w:color w:val="auto"/>
                      <w:sz w:val="18"/>
                      <w:szCs w:val="18"/>
                    </w:rPr>
                    <w:t>W1</w:t>
                  </w:r>
                </w:p>
              </w:tc>
              <w:tc>
                <w:tcPr>
                  <w:tcW w:w="1286" w:type="dxa"/>
                  <w:vMerge w:val="restart"/>
                  <w:tcBorders>
                    <w:tl2br w:val="nil"/>
                    <w:tr2bl w:val="nil"/>
                  </w:tcBorders>
                  <w:vAlign w:val="center"/>
                </w:tcPr>
                <w:p>
                  <w:pPr>
                    <w:adjustRightInd w:val="0"/>
                    <w:snapToGrid w:val="0"/>
                    <w:jc w:val="center"/>
                    <w:rPr>
                      <w:color w:val="auto"/>
                      <w:sz w:val="18"/>
                      <w:szCs w:val="18"/>
                    </w:rPr>
                  </w:pPr>
                  <w:r>
                    <w:rPr>
                      <w:rFonts w:hint="eastAsia"/>
                      <w:color w:val="auto"/>
                      <w:sz w:val="18"/>
                      <w:szCs w:val="18"/>
                    </w:rPr>
                    <w:t>东经117.0662389</w:t>
                  </w:r>
                  <w:r>
                    <w:rPr>
                      <w:color w:val="auto"/>
                      <w:sz w:val="18"/>
                      <w:szCs w:val="18"/>
                    </w:rPr>
                    <w:t>º</w:t>
                  </w:r>
                </w:p>
                <w:p>
                  <w:pPr>
                    <w:adjustRightInd w:val="0"/>
                    <w:snapToGrid w:val="0"/>
                    <w:jc w:val="center"/>
                    <w:rPr>
                      <w:color w:val="auto"/>
                      <w:sz w:val="18"/>
                      <w:szCs w:val="18"/>
                    </w:rPr>
                  </w:pPr>
                  <w:r>
                    <w:rPr>
                      <w:rFonts w:hint="eastAsia"/>
                      <w:color w:val="auto"/>
                      <w:sz w:val="18"/>
                      <w:szCs w:val="18"/>
                    </w:rPr>
                    <w:t>北纬39.0978939</w:t>
                  </w:r>
                  <w:r>
                    <w:rPr>
                      <w:color w:val="auto"/>
                      <w:sz w:val="18"/>
                      <w:szCs w:val="18"/>
                    </w:rPr>
                    <w:t>º</w:t>
                  </w:r>
                </w:p>
              </w:tc>
              <w:tc>
                <w:tcPr>
                  <w:tcW w:w="937" w:type="dxa"/>
                  <w:vMerge w:val="restart"/>
                  <w:tcBorders>
                    <w:tl2br w:val="nil"/>
                    <w:tr2bl w:val="nil"/>
                  </w:tcBorders>
                  <w:vAlign w:val="center"/>
                </w:tcPr>
                <w:p>
                  <w:pPr>
                    <w:adjustRightInd w:val="0"/>
                    <w:snapToGrid w:val="0"/>
                    <w:jc w:val="center"/>
                    <w:rPr>
                      <w:rFonts w:hint="default"/>
                      <w:color w:val="auto"/>
                      <w:sz w:val="18"/>
                      <w:szCs w:val="18"/>
                      <w:lang w:val="en-US" w:eastAsia="zh-CN"/>
                    </w:rPr>
                  </w:pPr>
                  <w:r>
                    <w:rPr>
                      <w:rFonts w:hint="eastAsia"/>
                      <w:color w:val="auto"/>
                      <w:sz w:val="18"/>
                      <w:szCs w:val="18"/>
                      <w:lang w:val="en-US" w:eastAsia="zh-CN"/>
                    </w:rPr>
                    <w:t>415.179</w:t>
                  </w:r>
                </w:p>
              </w:tc>
              <w:tc>
                <w:tcPr>
                  <w:tcW w:w="644" w:type="dxa"/>
                  <w:vMerge w:val="restart"/>
                  <w:tcBorders>
                    <w:tl2br w:val="nil"/>
                    <w:tr2bl w:val="nil"/>
                  </w:tcBorders>
                  <w:vAlign w:val="center"/>
                </w:tcPr>
                <w:p>
                  <w:pPr>
                    <w:contextualSpacing/>
                    <w:jc w:val="center"/>
                    <w:rPr>
                      <w:color w:val="auto"/>
                      <w:sz w:val="18"/>
                      <w:szCs w:val="18"/>
                    </w:rPr>
                  </w:pPr>
                  <w:r>
                    <w:rPr>
                      <w:rFonts w:hint="eastAsia"/>
                      <w:color w:val="auto"/>
                      <w:sz w:val="18"/>
                      <w:szCs w:val="18"/>
                    </w:rPr>
                    <w:t>间歇</w:t>
                  </w:r>
                </w:p>
              </w:tc>
              <w:tc>
                <w:tcPr>
                  <w:tcW w:w="632" w:type="dxa"/>
                  <w:vMerge w:val="restart"/>
                  <w:tcBorders>
                    <w:tl2br w:val="nil"/>
                    <w:tr2bl w:val="nil"/>
                  </w:tcBorders>
                  <w:vAlign w:val="center"/>
                </w:tcPr>
                <w:p>
                  <w:pPr>
                    <w:adjustRightInd w:val="0"/>
                    <w:snapToGrid w:val="0"/>
                    <w:jc w:val="center"/>
                    <w:rPr>
                      <w:color w:val="auto"/>
                      <w:sz w:val="18"/>
                      <w:szCs w:val="18"/>
                    </w:rPr>
                  </w:pPr>
                  <w:r>
                    <w:rPr>
                      <w:color w:val="auto"/>
                      <w:sz w:val="18"/>
                      <w:szCs w:val="18"/>
                    </w:rPr>
                    <w:t>/</w:t>
                  </w:r>
                </w:p>
              </w:tc>
              <w:tc>
                <w:tcPr>
                  <w:tcW w:w="743" w:type="dxa"/>
                  <w:vMerge w:val="restart"/>
                  <w:tcBorders>
                    <w:tl2br w:val="nil"/>
                    <w:tr2bl w:val="nil"/>
                  </w:tcBorders>
                  <w:vAlign w:val="center"/>
                </w:tcPr>
                <w:p>
                  <w:pPr>
                    <w:adjustRightInd w:val="0"/>
                    <w:snapToGrid w:val="0"/>
                    <w:spacing w:line="240" w:lineRule="auto"/>
                    <w:jc w:val="center"/>
                    <w:rPr>
                      <w:rFonts w:hint="eastAsia"/>
                      <w:color w:val="auto"/>
                      <w:sz w:val="18"/>
                      <w:szCs w:val="18"/>
                      <w:lang w:eastAsia="zh-CN"/>
                    </w:rPr>
                  </w:pPr>
                  <w:r>
                    <w:rPr>
                      <w:rFonts w:hint="eastAsia"/>
                      <w:color w:val="auto"/>
                      <w:sz w:val="18"/>
                      <w:szCs w:val="18"/>
                      <w:lang w:eastAsia="zh-CN"/>
                    </w:rPr>
                    <w:t>咸阳路污水处理厂</w:t>
                  </w: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pH</w:t>
                  </w:r>
                </w:p>
              </w:tc>
              <w:tc>
                <w:tcPr>
                  <w:tcW w:w="1158" w:type="dxa"/>
                  <w:vMerge w:val="restart"/>
                  <w:tcBorders>
                    <w:tl2br w:val="nil"/>
                    <w:tr2bl w:val="nil"/>
                  </w:tcBorders>
                  <w:vAlign w:val="center"/>
                </w:tcPr>
                <w:p>
                  <w:pPr>
                    <w:adjustRightInd w:val="0"/>
                    <w:snapToGrid w:val="0"/>
                    <w:spacing w:line="240" w:lineRule="auto"/>
                    <w:jc w:val="center"/>
                    <w:rPr>
                      <w:rFonts w:hint="default" w:eastAsia="宋体"/>
                      <w:color w:val="auto"/>
                      <w:sz w:val="18"/>
                      <w:szCs w:val="18"/>
                      <w:lang w:val="en-US" w:eastAsia="zh-CN"/>
                    </w:rPr>
                  </w:pPr>
                  <w:r>
                    <w:rPr>
                      <w:rFonts w:hint="eastAsia"/>
                      <w:color w:val="auto"/>
                      <w:sz w:val="18"/>
                      <w:szCs w:val="18"/>
                      <w:lang w:eastAsia="zh-CN"/>
                    </w:rPr>
                    <w:t>《城镇污水处理厂污染物排放标准》</w:t>
                  </w:r>
                  <w:r>
                    <w:rPr>
                      <w:color w:val="auto"/>
                      <w:sz w:val="18"/>
                      <w:szCs w:val="18"/>
                    </w:rPr>
                    <w:t>DB12/599-2015</w:t>
                  </w:r>
                  <w:r>
                    <w:rPr>
                      <w:rFonts w:hint="eastAsia"/>
                      <w:color w:val="auto"/>
                      <w:sz w:val="18"/>
                      <w:szCs w:val="18"/>
                      <w:lang w:val="en-US" w:eastAsia="zh-CN"/>
                    </w:rPr>
                    <w:t>A级标准</w:t>
                  </w:r>
                </w:p>
              </w:tc>
              <w:tc>
                <w:tcPr>
                  <w:tcW w:w="1287"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SS</w:t>
                  </w:r>
                </w:p>
              </w:tc>
              <w:tc>
                <w:tcPr>
                  <w:tcW w:w="1158" w:type="dxa"/>
                  <w:vMerge w:val="continue"/>
                  <w:tcBorders>
                    <w:tl2br w:val="nil"/>
                    <w:tr2bl w:val="nil"/>
                  </w:tcBorders>
                  <w:vAlign w:val="center"/>
                </w:tcPr>
                <w:p>
                  <w:pPr>
                    <w:spacing w:line="240" w:lineRule="auto"/>
                    <w:jc w:val="left"/>
                    <w:rPr>
                      <w:color w:val="auto"/>
                      <w:sz w:val="18"/>
                      <w:szCs w:val="18"/>
                    </w:rPr>
                  </w:pPr>
                </w:p>
              </w:tc>
              <w:tc>
                <w:tcPr>
                  <w:tcW w:w="1287" w:type="dxa"/>
                  <w:tcBorders>
                    <w:tl2br w:val="nil"/>
                    <w:tr2bl w:val="nil"/>
                  </w:tcBorders>
                  <w:vAlign w:val="center"/>
                </w:tcPr>
                <w:p>
                  <w:pPr>
                    <w:adjustRightInd w:val="0"/>
                    <w:snapToGrid w:val="0"/>
                    <w:spacing w:line="240" w:lineRule="auto"/>
                    <w:jc w:val="center"/>
                    <w:rPr>
                      <w:rFonts w:hint="eastAsia"/>
                      <w:color w:val="auto"/>
                      <w:sz w:val="18"/>
                      <w:szCs w:val="18"/>
                      <w:lang w:val="en-US" w:eastAsia="zh-CN"/>
                    </w:rPr>
                  </w:pPr>
                  <w:r>
                    <w:rPr>
                      <w:rFonts w:hint="eastAsia"/>
                      <w:color w:val="auto"/>
                      <w:sz w:val="18"/>
                      <w:szCs w:val="18"/>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CODcr</w:t>
                  </w:r>
                </w:p>
              </w:tc>
              <w:tc>
                <w:tcPr>
                  <w:tcW w:w="1158" w:type="dxa"/>
                  <w:vMerge w:val="continue"/>
                  <w:tcBorders>
                    <w:tl2br w:val="nil"/>
                    <w:tr2bl w:val="nil"/>
                  </w:tcBorders>
                  <w:vAlign w:val="center"/>
                </w:tcPr>
                <w:p>
                  <w:pPr>
                    <w:spacing w:line="240" w:lineRule="auto"/>
                    <w:jc w:val="left"/>
                    <w:rPr>
                      <w:color w:val="auto"/>
                      <w:sz w:val="18"/>
                      <w:szCs w:val="18"/>
                    </w:rPr>
                  </w:pPr>
                </w:p>
              </w:tc>
              <w:tc>
                <w:tcPr>
                  <w:tcW w:w="1287" w:type="dxa"/>
                  <w:tcBorders>
                    <w:tl2br w:val="nil"/>
                    <w:tr2bl w:val="nil"/>
                  </w:tcBorders>
                  <w:vAlign w:val="center"/>
                </w:tcPr>
                <w:p>
                  <w:pPr>
                    <w:adjustRightInd w:val="0"/>
                    <w:snapToGrid w:val="0"/>
                    <w:spacing w:line="240" w:lineRule="auto"/>
                    <w:jc w:val="center"/>
                    <w:rPr>
                      <w:rFonts w:hint="default" w:eastAsia="宋体"/>
                      <w:color w:val="auto"/>
                      <w:sz w:val="18"/>
                      <w:szCs w:val="18"/>
                      <w:lang w:val="en-US" w:eastAsia="zh-CN"/>
                    </w:rPr>
                  </w:pPr>
                  <w:r>
                    <w:rPr>
                      <w:rFonts w:hint="eastAsia"/>
                      <w:color w:val="auto"/>
                      <w:sz w:val="18"/>
                      <w:szCs w:val="18"/>
                      <w:lang w:val="en-US" w:eastAsia="zh-CN"/>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BOD</w:t>
                  </w:r>
                  <w:r>
                    <w:rPr>
                      <w:rFonts w:hint="eastAsia"/>
                      <w:color w:val="auto"/>
                      <w:sz w:val="18"/>
                      <w:szCs w:val="18"/>
                      <w:vertAlign w:val="subscript"/>
                      <w:lang w:val="en-US" w:eastAsia="zh-CN"/>
                    </w:rPr>
                    <w:t>5</w:t>
                  </w:r>
                </w:p>
              </w:tc>
              <w:tc>
                <w:tcPr>
                  <w:tcW w:w="1158" w:type="dxa"/>
                  <w:vMerge w:val="continue"/>
                  <w:tcBorders>
                    <w:tl2br w:val="nil"/>
                    <w:tr2bl w:val="nil"/>
                  </w:tcBorders>
                  <w:vAlign w:val="center"/>
                </w:tcPr>
                <w:p>
                  <w:pPr>
                    <w:spacing w:line="240" w:lineRule="auto"/>
                    <w:jc w:val="left"/>
                    <w:rPr>
                      <w:color w:val="auto"/>
                      <w:sz w:val="18"/>
                      <w:szCs w:val="18"/>
                    </w:rPr>
                  </w:pPr>
                </w:p>
              </w:tc>
              <w:tc>
                <w:tcPr>
                  <w:tcW w:w="1287"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rFonts w:hint="eastAsia"/>
                      <w:color w:val="auto"/>
                      <w:sz w:val="18"/>
                      <w:szCs w:val="18"/>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NH</w:t>
                  </w:r>
                  <w:r>
                    <w:rPr>
                      <w:rFonts w:hint="eastAsia"/>
                      <w:color w:val="auto"/>
                      <w:sz w:val="18"/>
                      <w:szCs w:val="18"/>
                      <w:vertAlign w:val="subscript"/>
                      <w:lang w:val="en-US" w:eastAsia="zh-CN"/>
                    </w:rPr>
                    <w:t>3</w:t>
                  </w:r>
                  <w:r>
                    <w:rPr>
                      <w:color w:val="auto"/>
                      <w:sz w:val="18"/>
                      <w:szCs w:val="18"/>
                    </w:rPr>
                    <w:t>-N</w:t>
                  </w:r>
                </w:p>
              </w:tc>
              <w:tc>
                <w:tcPr>
                  <w:tcW w:w="1158" w:type="dxa"/>
                  <w:vMerge w:val="continue"/>
                  <w:tcBorders>
                    <w:tl2br w:val="nil"/>
                    <w:tr2bl w:val="nil"/>
                  </w:tcBorders>
                  <w:vAlign w:val="center"/>
                </w:tcPr>
                <w:p>
                  <w:pPr>
                    <w:spacing w:line="240" w:lineRule="auto"/>
                    <w:jc w:val="left"/>
                    <w:rPr>
                      <w:color w:val="auto"/>
                      <w:sz w:val="18"/>
                      <w:szCs w:val="18"/>
                    </w:rPr>
                  </w:pPr>
                </w:p>
              </w:tc>
              <w:tc>
                <w:tcPr>
                  <w:tcW w:w="1287" w:type="dxa"/>
                  <w:tcBorders>
                    <w:tl2br w:val="nil"/>
                    <w:tr2bl w:val="nil"/>
                  </w:tcBorders>
                  <w:vAlign w:val="center"/>
                </w:tcPr>
                <w:p>
                  <w:pPr>
                    <w:adjustRightInd w:val="0"/>
                    <w:snapToGrid w:val="0"/>
                    <w:spacing w:line="240" w:lineRule="auto"/>
                    <w:jc w:val="center"/>
                    <w:rPr>
                      <w:color w:val="auto"/>
                      <w:sz w:val="18"/>
                      <w:szCs w:val="18"/>
                    </w:rPr>
                  </w:pPr>
                  <w:r>
                    <w:rPr>
                      <w:rFonts w:hint="eastAsia"/>
                      <w:color w:val="auto"/>
                      <w:sz w:val="18"/>
                      <w:szCs w:val="18"/>
                      <w:lang w:val="en-US" w:eastAsia="zh-CN"/>
                    </w:rPr>
                    <w:t>1.5</w:t>
                  </w:r>
                  <w:r>
                    <w:rPr>
                      <w:color w:val="auto"/>
                      <w:sz w:val="18"/>
                      <w:szCs w:val="18"/>
                    </w:rPr>
                    <w:t>（3.</w:t>
                  </w:r>
                  <w:r>
                    <w:rPr>
                      <w:rFonts w:hint="eastAsia"/>
                      <w:color w:val="auto"/>
                      <w:sz w:val="18"/>
                      <w:szCs w:val="18"/>
                      <w:lang w:val="en-US" w:eastAsia="zh-CN"/>
                    </w:rPr>
                    <w:t>0</w:t>
                  </w:r>
                  <w:r>
                    <w:rPr>
                      <w:color w:val="auto"/>
                      <w:sz w:val="18"/>
                      <w:szCs w:val="18"/>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jc w:val="center"/>
                    <w:rPr>
                      <w:color w:val="auto"/>
                      <w:sz w:val="18"/>
                      <w:szCs w:val="18"/>
                    </w:rPr>
                  </w:pPr>
                  <w:r>
                    <w:rPr>
                      <w:color w:val="auto"/>
                      <w:sz w:val="18"/>
                      <w:szCs w:val="18"/>
                    </w:rPr>
                    <w:t>TN</w:t>
                  </w:r>
                </w:p>
              </w:tc>
              <w:tc>
                <w:tcPr>
                  <w:tcW w:w="1158" w:type="dxa"/>
                  <w:vMerge w:val="continue"/>
                  <w:tcBorders>
                    <w:tl2br w:val="nil"/>
                    <w:tr2bl w:val="nil"/>
                  </w:tcBorders>
                  <w:vAlign w:val="center"/>
                </w:tcPr>
                <w:p>
                  <w:pPr>
                    <w:spacing w:line="240" w:lineRule="auto"/>
                    <w:jc w:val="left"/>
                    <w:rPr>
                      <w:color w:val="auto"/>
                      <w:sz w:val="18"/>
                      <w:szCs w:val="18"/>
                    </w:rPr>
                  </w:pPr>
                </w:p>
              </w:tc>
              <w:tc>
                <w:tcPr>
                  <w:tcW w:w="1287" w:type="dxa"/>
                  <w:tcBorders>
                    <w:tl2br w:val="nil"/>
                    <w:tr2bl w:val="nil"/>
                  </w:tcBorders>
                  <w:vAlign w:val="center"/>
                </w:tcPr>
                <w:p>
                  <w:pPr>
                    <w:adjustRightInd w:val="0"/>
                    <w:snapToGrid w:val="0"/>
                    <w:spacing w:line="240" w:lineRule="auto"/>
                    <w:jc w:val="center"/>
                    <w:rPr>
                      <w:rFonts w:hint="eastAsia" w:eastAsia="宋体"/>
                      <w:color w:val="auto"/>
                      <w:sz w:val="18"/>
                      <w:szCs w:val="18"/>
                      <w:lang w:val="en-US" w:eastAsia="zh-CN"/>
                    </w:rPr>
                  </w:pPr>
                  <w:r>
                    <w:rPr>
                      <w:color w:val="auto"/>
                      <w:sz w:val="18"/>
                      <w:szCs w:val="18"/>
                    </w:rPr>
                    <w:t>1</w:t>
                  </w:r>
                  <w:r>
                    <w:rPr>
                      <w:rFonts w:hint="eastAsia"/>
                      <w:color w:val="auto"/>
                      <w:sz w:val="18"/>
                      <w:szCs w:val="18"/>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ind w:firstLine="0" w:firstLineChars="0"/>
                    <w:jc w:val="center"/>
                    <w:rPr>
                      <w:color w:val="auto"/>
                      <w:sz w:val="18"/>
                      <w:szCs w:val="18"/>
                      <w:lang w:val="en-US" w:eastAsia="zh-CN"/>
                    </w:rPr>
                  </w:pPr>
                  <w:r>
                    <w:rPr>
                      <w:color w:val="auto"/>
                      <w:sz w:val="18"/>
                      <w:szCs w:val="18"/>
                    </w:rPr>
                    <w:t>TP</w:t>
                  </w:r>
                </w:p>
              </w:tc>
              <w:tc>
                <w:tcPr>
                  <w:tcW w:w="1158" w:type="dxa"/>
                  <w:vMerge w:val="continue"/>
                  <w:tcBorders>
                    <w:tl2br w:val="nil"/>
                    <w:tr2bl w:val="nil"/>
                  </w:tcBorders>
                  <w:vAlign w:val="center"/>
                </w:tcPr>
                <w:p>
                  <w:pPr>
                    <w:spacing w:line="240" w:lineRule="auto"/>
                    <w:ind w:firstLine="0" w:firstLineChars="0"/>
                    <w:jc w:val="left"/>
                    <w:rPr>
                      <w:color w:val="auto"/>
                      <w:sz w:val="18"/>
                      <w:szCs w:val="18"/>
                      <w:lang w:val="en-US" w:eastAsia="zh-CN"/>
                    </w:rPr>
                  </w:pPr>
                </w:p>
              </w:tc>
              <w:tc>
                <w:tcPr>
                  <w:tcW w:w="1287" w:type="dxa"/>
                  <w:tcBorders>
                    <w:tl2br w:val="nil"/>
                    <w:tr2bl w:val="nil"/>
                  </w:tcBorders>
                  <w:vAlign w:val="center"/>
                </w:tcPr>
                <w:p>
                  <w:pPr>
                    <w:adjustRightInd w:val="0"/>
                    <w:snapToGrid w:val="0"/>
                    <w:spacing w:line="240" w:lineRule="auto"/>
                    <w:ind w:firstLine="0" w:firstLineChars="0"/>
                    <w:jc w:val="center"/>
                    <w:rPr>
                      <w:rFonts w:hint="eastAsia" w:eastAsia="宋体"/>
                      <w:color w:val="auto"/>
                      <w:sz w:val="18"/>
                      <w:szCs w:val="18"/>
                      <w:lang w:val="en-US" w:eastAsia="zh-CN"/>
                    </w:rPr>
                  </w:pPr>
                  <w:r>
                    <w:rPr>
                      <w:color w:val="auto"/>
                      <w:sz w:val="18"/>
                      <w:szCs w:val="18"/>
                    </w:rPr>
                    <w:t>0.</w:t>
                  </w:r>
                  <w:r>
                    <w:rPr>
                      <w:rFonts w:hint="eastAsia"/>
                      <w:color w:val="auto"/>
                      <w:sz w:val="18"/>
                      <w:szCs w:val="18"/>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LAS</w:t>
                  </w:r>
                </w:p>
              </w:tc>
              <w:tc>
                <w:tcPr>
                  <w:tcW w:w="1158" w:type="dxa"/>
                  <w:vMerge w:val="continue"/>
                  <w:tcBorders>
                    <w:tl2br w:val="nil"/>
                    <w:tr2bl w:val="nil"/>
                  </w:tcBorders>
                  <w:vAlign w:val="center"/>
                </w:tcPr>
                <w:p>
                  <w:pPr>
                    <w:spacing w:line="240" w:lineRule="auto"/>
                    <w:ind w:firstLine="0" w:firstLineChars="0"/>
                    <w:jc w:val="left"/>
                    <w:rPr>
                      <w:color w:val="auto"/>
                      <w:sz w:val="18"/>
                      <w:szCs w:val="18"/>
                      <w:lang w:val="en-US" w:eastAsia="zh-CN"/>
                    </w:rPr>
                  </w:pPr>
                </w:p>
              </w:tc>
              <w:tc>
                <w:tcPr>
                  <w:tcW w:w="1287" w:type="dxa"/>
                  <w:tcBorders>
                    <w:tl2br w:val="nil"/>
                    <w:tr2bl w:val="nil"/>
                  </w:tcBorders>
                  <w:vAlign w:val="center"/>
                </w:tcPr>
                <w:p>
                  <w:pPr>
                    <w:adjustRightInd w:val="0"/>
                    <w:snapToGrid w:val="0"/>
                    <w:spacing w:line="240" w:lineRule="auto"/>
                    <w:ind w:firstLine="0" w:firstLineChars="0"/>
                    <w:jc w:val="center"/>
                    <w:rPr>
                      <w:rFonts w:hint="default" w:eastAsia="宋体"/>
                      <w:color w:val="auto"/>
                      <w:sz w:val="18"/>
                      <w:szCs w:val="18"/>
                      <w:lang w:val="en-US" w:eastAsia="zh-CN"/>
                    </w:rPr>
                  </w:pPr>
                  <w:r>
                    <w:rPr>
                      <w:rFonts w:hint="eastAsia"/>
                      <w:color w:val="auto"/>
                      <w:sz w:val="18"/>
                      <w:szCs w:val="18"/>
                      <w:lang w:val="en-US" w:eastAsia="zh-CN"/>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417" w:type="dxa"/>
                  <w:vMerge w:val="continue"/>
                  <w:tcBorders>
                    <w:tl2br w:val="nil"/>
                    <w:tr2bl w:val="nil"/>
                  </w:tcBorders>
                  <w:vAlign w:val="center"/>
                </w:tcPr>
                <w:p>
                  <w:pPr>
                    <w:jc w:val="left"/>
                    <w:rPr>
                      <w:color w:val="auto"/>
                      <w:sz w:val="18"/>
                      <w:szCs w:val="18"/>
                    </w:rPr>
                  </w:pPr>
                </w:p>
              </w:tc>
              <w:tc>
                <w:tcPr>
                  <w:tcW w:w="651" w:type="dxa"/>
                  <w:vMerge w:val="continue"/>
                  <w:tcBorders>
                    <w:tl2br w:val="nil"/>
                    <w:tr2bl w:val="nil"/>
                  </w:tcBorders>
                  <w:vAlign w:val="center"/>
                </w:tcPr>
                <w:p>
                  <w:pPr>
                    <w:jc w:val="left"/>
                    <w:rPr>
                      <w:color w:val="auto"/>
                      <w:sz w:val="18"/>
                      <w:szCs w:val="18"/>
                    </w:rPr>
                  </w:pPr>
                </w:p>
              </w:tc>
              <w:tc>
                <w:tcPr>
                  <w:tcW w:w="1286" w:type="dxa"/>
                  <w:vMerge w:val="continue"/>
                  <w:tcBorders>
                    <w:tl2br w:val="nil"/>
                    <w:tr2bl w:val="nil"/>
                  </w:tcBorders>
                  <w:vAlign w:val="center"/>
                </w:tcPr>
                <w:p>
                  <w:pPr>
                    <w:jc w:val="left"/>
                    <w:rPr>
                      <w:color w:val="auto"/>
                      <w:sz w:val="18"/>
                      <w:szCs w:val="18"/>
                    </w:rPr>
                  </w:pPr>
                </w:p>
              </w:tc>
              <w:tc>
                <w:tcPr>
                  <w:tcW w:w="937" w:type="dxa"/>
                  <w:vMerge w:val="continue"/>
                  <w:tcBorders>
                    <w:tl2br w:val="nil"/>
                    <w:tr2bl w:val="nil"/>
                  </w:tcBorders>
                  <w:vAlign w:val="center"/>
                </w:tcPr>
                <w:p>
                  <w:pPr>
                    <w:jc w:val="left"/>
                    <w:rPr>
                      <w:color w:val="auto"/>
                      <w:sz w:val="18"/>
                      <w:szCs w:val="18"/>
                    </w:rPr>
                  </w:pPr>
                </w:p>
              </w:tc>
              <w:tc>
                <w:tcPr>
                  <w:tcW w:w="644" w:type="dxa"/>
                  <w:vMerge w:val="continue"/>
                  <w:tcBorders>
                    <w:tl2br w:val="nil"/>
                    <w:tr2bl w:val="nil"/>
                  </w:tcBorders>
                  <w:vAlign w:val="center"/>
                </w:tcPr>
                <w:p>
                  <w:pPr>
                    <w:jc w:val="left"/>
                    <w:rPr>
                      <w:color w:val="auto"/>
                      <w:sz w:val="18"/>
                      <w:szCs w:val="18"/>
                    </w:rPr>
                  </w:pPr>
                </w:p>
              </w:tc>
              <w:tc>
                <w:tcPr>
                  <w:tcW w:w="632" w:type="dxa"/>
                  <w:vMerge w:val="continue"/>
                  <w:tcBorders>
                    <w:tl2br w:val="nil"/>
                    <w:tr2bl w:val="nil"/>
                  </w:tcBorders>
                  <w:vAlign w:val="center"/>
                </w:tcPr>
                <w:p>
                  <w:pPr>
                    <w:jc w:val="left"/>
                    <w:rPr>
                      <w:color w:val="auto"/>
                      <w:sz w:val="18"/>
                      <w:szCs w:val="18"/>
                    </w:rPr>
                  </w:pPr>
                </w:p>
              </w:tc>
              <w:tc>
                <w:tcPr>
                  <w:tcW w:w="743" w:type="dxa"/>
                  <w:vMerge w:val="continue"/>
                  <w:tcBorders>
                    <w:tl2br w:val="nil"/>
                    <w:tr2bl w:val="nil"/>
                  </w:tcBorders>
                  <w:vAlign w:val="center"/>
                </w:tcPr>
                <w:p>
                  <w:pPr>
                    <w:spacing w:line="240" w:lineRule="auto"/>
                    <w:jc w:val="left"/>
                    <w:rPr>
                      <w:color w:val="auto"/>
                      <w:sz w:val="18"/>
                      <w:szCs w:val="18"/>
                    </w:rPr>
                  </w:pPr>
                </w:p>
              </w:tc>
              <w:tc>
                <w:tcPr>
                  <w:tcW w:w="763" w:type="dxa"/>
                  <w:tcBorders>
                    <w:tl2br w:val="nil"/>
                    <w:tr2bl w:val="nil"/>
                  </w:tcBorders>
                  <w:vAlign w:val="center"/>
                </w:tcPr>
                <w:p>
                  <w:pPr>
                    <w:adjustRightInd w:val="0"/>
                    <w:snapToGrid w:val="0"/>
                    <w:spacing w:line="240" w:lineRule="auto"/>
                    <w:ind w:firstLine="0" w:firstLineChars="0"/>
                    <w:jc w:val="center"/>
                    <w:rPr>
                      <w:rFonts w:hint="eastAsia"/>
                      <w:color w:val="auto"/>
                      <w:sz w:val="18"/>
                      <w:szCs w:val="18"/>
                      <w:lang w:val="en-US" w:eastAsia="zh-CN"/>
                    </w:rPr>
                  </w:pPr>
                  <w:r>
                    <w:rPr>
                      <w:rFonts w:hint="eastAsia"/>
                      <w:color w:val="auto"/>
                      <w:sz w:val="18"/>
                      <w:szCs w:val="18"/>
                      <w:lang w:val="en-US" w:eastAsia="zh-CN"/>
                    </w:rPr>
                    <w:t>粪大肠菌群数</w:t>
                  </w:r>
                </w:p>
              </w:tc>
              <w:tc>
                <w:tcPr>
                  <w:tcW w:w="1158" w:type="dxa"/>
                  <w:vMerge w:val="continue"/>
                  <w:tcBorders>
                    <w:tl2br w:val="nil"/>
                    <w:tr2bl w:val="nil"/>
                  </w:tcBorders>
                  <w:vAlign w:val="center"/>
                </w:tcPr>
                <w:p>
                  <w:pPr>
                    <w:spacing w:line="240" w:lineRule="auto"/>
                    <w:ind w:firstLine="0" w:firstLineChars="0"/>
                    <w:jc w:val="left"/>
                    <w:rPr>
                      <w:color w:val="auto"/>
                      <w:sz w:val="18"/>
                      <w:szCs w:val="18"/>
                      <w:lang w:val="en-US" w:eastAsia="zh-CN"/>
                    </w:rPr>
                  </w:pPr>
                </w:p>
              </w:tc>
              <w:tc>
                <w:tcPr>
                  <w:tcW w:w="1287" w:type="dxa"/>
                  <w:tcBorders>
                    <w:tl2br w:val="nil"/>
                    <w:tr2bl w:val="nil"/>
                  </w:tcBorders>
                  <w:vAlign w:val="center"/>
                </w:tcPr>
                <w:p>
                  <w:pPr>
                    <w:adjustRightInd w:val="0"/>
                    <w:snapToGrid w:val="0"/>
                    <w:spacing w:line="240" w:lineRule="auto"/>
                    <w:ind w:firstLine="0" w:firstLineChars="0"/>
                    <w:jc w:val="center"/>
                    <w:rPr>
                      <w:color w:val="auto"/>
                      <w:sz w:val="18"/>
                      <w:szCs w:val="18"/>
                    </w:rPr>
                  </w:pPr>
                  <w:r>
                    <w:rPr>
                      <w:rFonts w:hint="eastAsia"/>
                      <w:color w:val="auto"/>
                      <w:sz w:val="18"/>
                      <w:szCs w:val="18"/>
                    </w:rPr>
                    <w:t>1000（个/L）</w:t>
                  </w:r>
                </w:p>
              </w:tc>
            </w:tr>
          </w:tbl>
          <w:p>
            <w:pPr>
              <w:pStyle w:val="83"/>
              <w:spacing w:before="120"/>
              <w:rPr>
                <w:color w:val="auto"/>
                <w:sz w:val="21"/>
                <w:szCs w:val="21"/>
                <w:lang w:val="en-GB"/>
              </w:rPr>
            </w:pPr>
            <w:r>
              <w:rPr>
                <w:rFonts w:hint="eastAsia"/>
                <w:color w:val="auto"/>
                <w:sz w:val="21"/>
                <w:szCs w:val="21"/>
              </w:rPr>
              <w:t>表4-1</w:t>
            </w:r>
            <w:r>
              <w:rPr>
                <w:rFonts w:hint="eastAsia"/>
                <w:color w:val="auto"/>
                <w:sz w:val="21"/>
                <w:szCs w:val="21"/>
                <w:lang w:val="en-US" w:eastAsia="zh-CN"/>
              </w:rPr>
              <w:t>8</w:t>
            </w:r>
            <w:r>
              <w:rPr>
                <w:rFonts w:hint="eastAsia"/>
                <w:color w:val="auto"/>
                <w:sz w:val="21"/>
                <w:szCs w:val="21"/>
              </w:rPr>
              <w:t xml:space="preserve">  </w:t>
            </w:r>
            <w:r>
              <w:rPr>
                <w:rFonts w:hint="eastAsia"/>
                <w:color w:val="auto"/>
                <w:sz w:val="21"/>
                <w:szCs w:val="21"/>
                <w:lang w:val="en-GB"/>
              </w:rPr>
              <w:t>废水污染物排放信息表</w:t>
            </w:r>
          </w:p>
          <w:tbl>
            <w:tblPr>
              <w:tblStyle w:val="29"/>
              <w:tblW w:w="85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387"/>
              <w:gridCol w:w="1839"/>
              <w:gridCol w:w="1988"/>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6" w:hRule="atLeast"/>
                <w:tblHeader/>
                <w:jc w:val="center"/>
              </w:trPr>
              <w:tc>
                <w:tcPr>
                  <w:tcW w:w="1484" w:type="dxa"/>
                  <w:tcBorders>
                    <w:tl2br w:val="nil"/>
                    <w:tr2bl w:val="nil"/>
                  </w:tcBorders>
                  <w:vAlign w:val="center"/>
                </w:tcPr>
                <w:p>
                  <w:pPr>
                    <w:adjustRightInd w:val="0"/>
                    <w:snapToGrid w:val="0"/>
                    <w:spacing w:line="240" w:lineRule="auto"/>
                    <w:jc w:val="center"/>
                    <w:rPr>
                      <w:b/>
                      <w:bCs/>
                      <w:color w:val="auto"/>
                      <w:sz w:val="21"/>
                      <w:szCs w:val="21"/>
                    </w:rPr>
                  </w:pPr>
                  <w:r>
                    <w:rPr>
                      <w:b/>
                      <w:bCs/>
                      <w:color w:val="auto"/>
                      <w:sz w:val="21"/>
                      <w:szCs w:val="21"/>
                    </w:rPr>
                    <w:t>排放口编号</w:t>
                  </w:r>
                </w:p>
              </w:tc>
              <w:tc>
                <w:tcPr>
                  <w:tcW w:w="1387" w:type="dxa"/>
                  <w:tcBorders>
                    <w:tl2br w:val="nil"/>
                    <w:tr2bl w:val="nil"/>
                  </w:tcBorders>
                  <w:vAlign w:val="center"/>
                </w:tcPr>
                <w:p>
                  <w:pPr>
                    <w:adjustRightInd w:val="0"/>
                    <w:snapToGrid w:val="0"/>
                    <w:spacing w:line="240" w:lineRule="auto"/>
                    <w:jc w:val="center"/>
                    <w:rPr>
                      <w:b/>
                      <w:bCs/>
                      <w:color w:val="auto"/>
                      <w:sz w:val="21"/>
                      <w:szCs w:val="21"/>
                    </w:rPr>
                  </w:pPr>
                  <w:r>
                    <w:rPr>
                      <w:b/>
                      <w:bCs/>
                      <w:color w:val="auto"/>
                      <w:sz w:val="21"/>
                      <w:szCs w:val="21"/>
                    </w:rPr>
                    <w:t>污染物种类</w:t>
                  </w:r>
                </w:p>
              </w:tc>
              <w:tc>
                <w:tcPr>
                  <w:tcW w:w="1839" w:type="dxa"/>
                  <w:tcBorders>
                    <w:tl2br w:val="nil"/>
                    <w:tr2bl w:val="nil"/>
                  </w:tcBorders>
                  <w:vAlign w:val="center"/>
                </w:tcPr>
                <w:p>
                  <w:pPr>
                    <w:adjustRightInd w:val="0"/>
                    <w:snapToGrid w:val="0"/>
                    <w:spacing w:line="240" w:lineRule="auto"/>
                    <w:jc w:val="center"/>
                    <w:rPr>
                      <w:b/>
                      <w:bCs/>
                      <w:color w:val="auto"/>
                      <w:sz w:val="21"/>
                      <w:szCs w:val="21"/>
                    </w:rPr>
                  </w:pPr>
                  <w:r>
                    <w:rPr>
                      <w:b/>
                      <w:bCs/>
                      <w:color w:val="auto"/>
                      <w:sz w:val="21"/>
                      <w:szCs w:val="21"/>
                    </w:rPr>
                    <w:t>排放</w:t>
                  </w:r>
                  <w:r>
                    <w:rPr>
                      <w:rFonts w:hint="eastAsia"/>
                      <w:b/>
                      <w:bCs/>
                      <w:color w:val="auto"/>
                      <w:sz w:val="21"/>
                      <w:szCs w:val="21"/>
                      <w:lang w:eastAsia="zh-CN"/>
                    </w:rPr>
                    <w:t>浓度</w:t>
                  </w:r>
                  <w:r>
                    <w:rPr>
                      <w:b/>
                      <w:bCs/>
                      <w:color w:val="auto"/>
                      <w:sz w:val="21"/>
                      <w:szCs w:val="21"/>
                    </w:rPr>
                    <w:t>（mg/L）</w:t>
                  </w:r>
                </w:p>
              </w:tc>
              <w:tc>
                <w:tcPr>
                  <w:tcW w:w="1988" w:type="dxa"/>
                  <w:tcBorders>
                    <w:tl2br w:val="nil"/>
                    <w:tr2bl w:val="nil"/>
                  </w:tcBorders>
                  <w:vAlign w:val="center"/>
                </w:tcPr>
                <w:p>
                  <w:pPr>
                    <w:adjustRightInd w:val="0"/>
                    <w:snapToGrid w:val="0"/>
                    <w:spacing w:line="240" w:lineRule="auto"/>
                    <w:jc w:val="center"/>
                    <w:rPr>
                      <w:b/>
                      <w:bCs/>
                      <w:color w:val="auto"/>
                      <w:sz w:val="21"/>
                      <w:szCs w:val="21"/>
                    </w:rPr>
                  </w:pPr>
                  <w:r>
                    <w:rPr>
                      <w:b/>
                      <w:bCs/>
                      <w:color w:val="auto"/>
                      <w:sz w:val="21"/>
                      <w:szCs w:val="21"/>
                    </w:rPr>
                    <w:t>日排放量（t/d）</w:t>
                  </w:r>
                </w:p>
              </w:tc>
              <w:tc>
                <w:tcPr>
                  <w:tcW w:w="1859" w:type="dxa"/>
                  <w:tcBorders>
                    <w:tl2br w:val="nil"/>
                    <w:tr2bl w:val="nil"/>
                  </w:tcBorders>
                  <w:vAlign w:val="center"/>
                </w:tcPr>
                <w:p>
                  <w:pPr>
                    <w:adjustRightInd w:val="0"/>
                    <w:snapToGrid w:val="0"/>
                    <w:spacing w:line="240" w:lineRule="auto"/>
                    <w:jc w:val="center"/>
                    <w:rPr>
                      <w:b/>
                      <w:bCs/>
                      <w:color w:val="auto"/>
                      <w:sz w:val="21"/>
                      <w:szCs w:val="21"/>
                    </w:rPr>
                  </w:pPr>
                  <w:r>
                    <w:rPr>
                      <w:b/>
                      <w:bCs/>
                      <w:color w:val="auto"/>
                      <w:sz w:val="21"/>
                      <w:szCs w:val="21"/>
                    </w:rPr>
                    <w:t>年排放量（t/a）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blHeader/>
                <w:jc w:val="center"/>
              </w:trPr>
              <w:tc>
                <w:tcPr>
                  <w:tcW w:w="1484" w:type="dxa"/>
                  <w:vMerge w:val="restart"/>
                  <w:tcBorders>
                    <w:tl2br w:val="nil"/>
                    <w:tr2bl w:val="nil"/>
                  </w:tcBorders>
                  <w:vAlign w:val="center"/>
                </w:tcPr>
                <w:p>
                  <w:pPr>
                    <w:adjustRightInd w:val="0"/>
                    <w:snapToGrid w:val="0"/>
                    <w:spacing w:line="240" w:lineRule="auto"/>
                    <w:jc w:val="center"/>
                    <w:rPr>
                      <w:color w:val="auto"/>
                      <w:sz w:val="21"/>
                      <w:szCs w:val="21"/>
                    </w:rPr>
                  </w:pPr>
                  <w:r>
                    <w:rPr>
                      <w:rFonts w:hint="eastAsia"/>
                      <w:color w:val="auto"/>
                      <w:sz w:val="21"/>
                      <w:szCs w:val="21"/>
                    </w:rPr>
                    <w:t>W1</w:t>
                  </w:r>
                </w:p>
              </w:tc>
              <w:tc>
                <w:tcPr>
                  <w:tcW w:w="1387" w:type="dxa"/>
                  <w:tcBorders>
                    <w:tl2br w:val="nil"/>
                    <w:tr2bl w:val="nil"/>
                  </w:tcBorders>
                  <w:vAlign w:val="center"/>
                </w:tcPr>
                <w:p>
                  <w:pPr>
                    <w:adjustRightInd w:val="0"/>
                    <w:snapToGrid w:val="0"/>
                    <w:spacing w:line="240" w:lineRule="auto"/>
                    <w:jc w:val="center"/>
                    <w:rPr>
                      <w:color w:val="auto"/>
                      <w:sz w:val="21"/>
                      <w:szCs w:val="21"/>
                    </w:rPr>
                  </w:pPr>
                  <w:r>
                    <w:rPr>
                      <w:color w:val="auto"/>
                      <w:sz w:val="21"/>
                      <w:szCs w:val="21"/>
                    </w:rPr>
                    <w:t>水量</w:t>
                  </w:r>
                </w:p>
              </w:tc>
              <w:tc>
                <w:tcPr>
                  <w:tcW w:w="1839" w:type="dxa"/>
                  <w:tcBorders>
                    <w:tl2br w:val="nil"/>
                    <w:tr2bl w:val="nil"/>
                  </w:tcBorders>
                  <w:vAlign w:val="center"/>
                </w:tcPr>
                <w:p>
                  <w:pPr>
                    <w:adjustRightInd w:val="0"/>
                    <w:snapToGrid w:val="0"/>
                    <w:spacing w:line="240" w:lineRule="auto"/>
                    <w:jc w:val="center"/>
                    <w:rPr>
                      <w:color w:val="auto"/>
                      <w:sz w:val="21"/>
                      <w:szCs w:val="21"/>
                    </w:rPr>
                  </w:pPr>
                  <w:r>
                    <w:rPr>
                      <w:color w:val="auto"/>
                      <w:sz w:val="21"/>
                      <w:szCs w:val="21"/>
                    </w:rPr>
                    <w:t>——</w:t>
                  </w:r>
                </w:p>
              </w:tc>
              <w:tc>
                <w:tcPr>
                  <w:tcW w:w="1988" w:type="dxa"/>
                  <w:tcBorders>
                    <w:tl2br w:val="nil"/>
                    <w:tr2bl w:val="nil"/>
                  </w:tcBorders>
                  <w:vAlign w:val="center"/>
                </w:tcPr>
                <w:p>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1.661</w:t>
                  </w:r>
                </w:p>
              </w:tc>
              <w:tc>
                <w:tcPr>
                  <w:tcW w:w="1859" w:type="dxa"/>
                  <w:tcBorders>
                    <w:tl2br w:val="nil"/>
                    <w:tr2bl w:val="nil"/>
                  </w:tcBorders>
                  <w:vAlign w:val="center"/>
                </w:tcPr>
                <w:p>
                  <w:pPr>
                    <w:adjustRightInd w:val="0"/>
                    <w:snapToGrid w:val="0"/>
                    <w:spacing w:line="240" w:lineRule="auto"/>
                    <w:jc w:val="center"/>
                    <w:rPr>
                      <w:rFonts w:hint="default"/>
                      <w:color w:val="auto"/>
                      <w:sz w:val="21"/>
                      <w:szCs w:val="21"/>
                      <w:lang w:val="en-US" w:eastAsia="zh-CN"/>
                    </w:rPr>
                  </w:pPr>
                  <w:r>
                    <w:rPr>
                      <w:rFonts w:hint="eastAsia"/>
                      <w:color w:val="auto"/>
                      <w:sz w:val="21"/>
                      <w:szCs w:val="21"/>
                      <w:lang w:val="en-US" w:eastAsia="zh-CN"/>
                    </w:rPr>
                    <w:t>415.179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adjustRightInd w:val="0"/>
                    <w:snapToGrid w:val="0"/>
                    <w:spacing w:line="240" w:lineRule="auto"/>
                    <w:jc w:val="center"/>
                    <w:rPr>
                      <w:color w:val="auto"/>
                      <w:sz w:val="21"/>
                      <w:szCs w:val="21"/>
                    </w:rPr>
                  </w:pPr>
                </w:p>
              </w:tc>
              <w:tc>
                <w:tcPr>
                  <w:tcW w:w="1387" w:type="dxa"/>
                  <w:tcBorders>
                    <w:tl2br w:val="nil"/>
                    <w:tr2bl w:val="nil"/>
                  </w:tcBorders>
                  <w:vAlign w:val="center"/>
                </w:tcPr>
                <w:p>
                  <w:pPr>
                    <w:adjustRightInd w:val="0"/>
                    <w:snapToGrid w:val="0"/>
                    <w:spacing w:line="240" w:lineRule="auto"/>
                    <w:jc w:val="center"/>
                    <w:rPr>
                      <w:color w:val="auto"/>
                      <w:sz w:val="21"/>
                      <w:szCs w:val="21"/>
                    </w:rPr>
                  </w:pPr>
                  <w:r>
                    <w:rPr>
                      <w:color w:val="auto"/>
                      <w:sz w:val="21"/>
                      <w:szCs w:val="21"/>
                    </w:rPr>
                    <w:t>pH</w:t>
                  </w:r>
                </w:p>
              </w:tc>
              <w:tc>
                <w:tcPr>
                  <w:tcW w:w="1839" w:type="dxa"/>
                  <w:tcBorders>
                    <w:tl2br w:val="nil"/>
                    <w:tr2bl w:val="nil"/>
                  </w:tcBorders>
                  <w:vAlign w:val="center"/>
                </w:tcPr>
                <w:p>
                  <w:pPr>
                    <w:spacing w:line="240" w:lineRule="auto"/>
                    <w:jc w:val="center"/>
                    <w:rPr>
                      <w:color w:val="auto"/>
                      <w:sz w:val="21"/>
                      <w:szCs w:val="21"/>
                    </w:rPr>
                  </w:pPr>
                  <w:r>
                    <w:rPr>
                      <w:rFonts w:hint="eastAsia"/>
                      <w:color w:val="auto"/>
                      <w:sz w:val="21"/>
                      <w:szCs w:val="21"/>
                    </w:rPr>
                    <w:t>6</w:t>
                  </w:r>
                  <w:r>
                    <w:rPr>
                      <w:color w:val="auto"/>
                      <w:sz w:val="21"/>
                      <w:szCs w:val="21"/>
                    </w:rPr>
                    <w:t>~9</w:t>
                  </w:r>
                </w:p>
              </w:tc>
              <w:tc>
                <w:tcPr>
                  <w:tcW w:w="1988" w:type="dxa"/>
                  <w:tcBorders>
                    <w:tl2br w:val="nil"/>
                    <w:tr2bl w:val="nil"/>
                  </w:tcBorders>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859" w:type="dxa"/>
                  <w:tcBorders>
                    <w:tl2br w:val="nil"/>
                    <w:tr2bl w:val="nil"/>
                  </w:tcBorders>
                  <w:vAlign w:val="center"/>
                </w:tcPr>
                <w:p>
                  <w:pPr>
                    <w:adjustRightInd w:val="0"/>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spacing w:line="240" w:lineRule="auto"/>
                    <w:ind w:firstLine="0" w:firstLineChars="0"/>
                    <w:jc w:val="center"/>
                    <w:rPr>
                      <w:color w:val="auto"/>
                      <w:sz w:val="21"/>
                      <w:szCs w:val="21"/>
                      <w:lang w:val="en-US" w:eastAsia="zh-CN"/>
                    </w:rPr>
                  </w:pPr>
                  <w:r>
                    <w:rPr>
                      <w:color w:val="auto"/>
                      <w:sz w:val="21"/>
                      <w:szCs w:val="21"/>
                    </w:rPr>
                    <w:t>CODcr</w:t>
                  </w:r>
                </w:p>
              </w:tc>
              <w:tc>
                <w:tcPr>
                  <w:tcW w:w="1839" w:type="dxa"/>
                  <w:tcBorders>
                    <w:tl2br w:val="nil"/>
                    <w:tr2bl w:val="nil"/>
                  </w:tcBorders>
                  <w:vAlign w:val="center"/>
                </w:tcPr>
                <w:p>
                  <w:pPr>
                    <w:spacing w:line="240" w:lineRule="auto"/>
                    <w:jc w:val="center"/>
                    <w:rPr>
                      <w:rFonts w:hint="default"/>
                      <w:color w:val="auto"/>
                      <w:sz w:val="21"/>
                      <w:szCs w:val="21"/>
                      <w:lang w:val="en-US" w:eastAsia="zh-CN"/>
                    </w:rPr>
                  </w:pPr>
                  <w:r>
                    <w:rPr>
                      <w:rFonts w:hint="eastAsia"/>
                      <w:color w:val="auto"/>
                      <w:sz w:val="21"/>
                      <w:szCs w:val="21"/>
                      <w:lang w:val="en-US" w:eastAsia="zh-CN"/>
                    </w:rPr>
                    <w:t>304</w:t>
                  </w:r>
                </w:p>
              </w:tc>
              <w:tc>
                <w:tcPr>
                  <w:tcW w:w="1988"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0.000498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0.1246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adjustRightInd w:val="0"/>
                    <w:snapToGrid w:val="0"/>
                    <w:spacing w:line="240" w:lineRule="auto"/>
                    <w:ind w:firstLine="0" w:firstLineChars="0"/>
                    <w:jc w:val="center"/>
                    <w:rPr>
                      <w:color w:val="auto"/>
                      <w:sz w:val="21"/>
                      <w:szCs w:val="21"/>
                      <w:lang w:val="en-US" w:eastAsia="zh-CN"/>
                    </w:rPr>
                  </w:pPr>
                  <w:r>
                    <w:rPr>
                      <w:color w:val="auto"/>
                      <w:sz w:val="21"/>
                      <w:szCs w:val="21"/>
                    </w:rPr>
                    <w:t>NH</w:t>
                  </w:r>
                  <w:r>
                    <w:rPr>
                      <w:rFonts w:hint="eastAsia"/>
                      <w:color w:val="auto"/>
                      <w:sz w:val="21"/>
                      <w:szCs w:val="21"/>
                      <w:vertAlign w:val="subscript"/>
                      <w:lang w:val="en-US" w:eastAsia="zh-CN"/>
                    </w:rPr>
                    <w:t>3</w:t>
                  </w:r>
                  <w:r>
                    <w:rPr>
                      <w:color w:val="auto"/>
                      <w:sz w:val="21"/>
                      <w:szCs w:val="21"/>
                    </w:rPr>
                    <w:t>-N</w:t>
                  </w:r>
                </w:p>
              </w:tc>
              <w:tc>
                <w:tcPr>
                  <w:tcW w:w="183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30</w:t>
                  </w:r>
                </w:p>
              </w:tc>
              <w:tc>
                <w:tcPr>
                  <w:tcW w:w="1988"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0.000050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0.0125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adjustRightInd w:val="0"/>
                    <w:snapToGrid w:val="0"/>
                    <w:spacing w:line="240" w:lineRule="auto"/>
                    <w:ind w:firstLine="0" w:firstLineChars="0"/>
                    <w:jc w:val="center"/>
                    <w:rPr>
                      <w:color w:val="auto"/>
                      <w:sz w:val="21"/>
                      <w:szCs w:val="21"/>
                      <w:lang w:val="en-US" w:eastAsia="zh-CN"/>
                    </w:rPr>
                  </w:pPr>
                  <w:r>
                    <w:rPr>
                      <w:color w:val="auto"/>
                      <w:sz w:val="21"/>
                      <w:szCs w:val="21"/>
                    </w:rPr>
                    <w:t>TP</w:t>
                  </w:r>
                </w:p>
              </w:tc>
              <w:tc>
                <w:tcPr>
                  <w:tcW w:w="183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44</w:t>
                  </w:r>
                </w:p>
              </w:tc>
              <w:tc>
                <w:tcPr>
                  <w:tcW w:w="1988" w:type="dxa"/>
                  <w:tcBorders>
                    <w:tl2br w:val="nil"/>
                    <w:tr2bl w:val="nil"/>
                  </w:tcBorders>
                  <w:vAlign w:val="center"/>
                </w:tcPr>
                <w:p>
                  <w:pPr>
                    <w:adjustRightInd w:val="0"/>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 xml:space="preserve">0.000005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0.0014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adjustRightInd w:val="0"/>
                    <w:snapToGrid w:val="0"/>
                    <w:spacing w:line="240" w:lineRule="auto"/>
                    <w:ind w:firstLine="0" w:firstLineChars="0"/>
                    <w:jc w:val="center"/>
                    <w:rPr>
                      <w:color w:val="auto"/>
                      <w:sz w:val="21"/>
                      <w:szCs w:val="21"/>
                      <w:lang w:val="en-US" w:eastAsia="zh-CN"/>
                    </w:rPr>
                  </w:pPr>
                  <w:r>
                    <w:rPr>
                      <w:color w:val="auto"/>
                      <w:sz w:val="21"/>
                      <w:szCs w:val="21"/>
                    </w:rPr>
                    <w:t>TN</w:t>
                  </w:r>
                </w:p>
              </w:tc>
              <w:tc>
                <w:tcPr>
                  <w:tcW w:w="183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3.25</w:t>
                  </w:r>
                </w:p>
              </w:tc>
              <w:tc>
                <w:tcPr>
                  <w:tcW w:w="1988"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0.000073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0.0183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adjustRightInd w:val="0"/>
                    <w:snapToGrid w:val="0"/>
                    <w:spacing w:line="240" w:lineRule="auto"/>
                    <w:ind w:firstLine="0" w:firstLineChars="0"/>
                    <w:jc w:val="center"/>
                    <w:rPr>
                      <w:rFonts w:hint="eastAsia" w:eastAsia="宋体"/>
                      <w:color w:val="auto"/>
                      <w:sz w:val="21"/>
                      <w:szCs w:val="21"/>
                      <w:vertAlign w:val="subscript"/>
                      <w:lang w:val="en-US" w:eastAsia="zh-CN"/>
                    </w:rPr>
                  </w:pPr>
                  <w:r>
                    <w:rPr>
                      <w:color w:val="auto"/>
                      <w:sz w:val="21"/>
                      <w:szCs w:val="21"/>
                    </w:rPr>
                    <w:t>BOD</w:t>
                  </w:r>
                  <w:r>
                    <w:rPr>
                      <w:rFonts w:hint="eastAsia"/>
                      <w:color w:val="auto"/>
                      <w:sz w:val="21"/>
                      <w:szCs w:val="21"/>
                      <w:vertAlign w:val="subscript"/>
                      <w:lang w:val="en-US" w:eastAsia="zh-CN"/>
                    </w:rPr>
                    <w:t>5</w:t>
                  </w:r>
                </w:p>
              </w:tc>
              <w:tc>
                <w:tcPr>
                  <w:tcW w:w="183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181</w:t>
                  </w:r>
                </w:p>
              </w:tc>
              <w:tc>
                <w:tcPr>
                  <w:tcW w:w="1988"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0.000291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0.0727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84" w:type="dxa"/>
                  <w:vMerge w:val="continue"/>
                  <w:tcBorders>
                    <w:tl2br w:val="nil"/>
                    <w:tr2bl w:val="nil"/>
                  </w:tcBorders>
                  <w:vAlign w:val="center"/>
                </w:tcPr>
                <w:p>
                  <w:pPr>
                    <w:spacing w:line="240" w:lineRule="auto"/>
                    <w:jc w:val="left"/>
                    <w:rPr>
                      <w:color w:val="auto"/>
                      <w:sz w:val="21"/>
                      <w:szCs w:val="21"/>
                    </w:rPr>
                  </w:pPr>
                </w:p>
              </w:tc>
              <w:tc>
                <w:tcPr>
                  <w:tcW w:w="1387" w:type="dxa"/>
                  <w:tcBorders>
                    <w:tl2br w:val="nil"/>
                    <w:tr2bl w:val="nil"/>
                  </w:tcBorders>
                  <w:vAlign w:val="center"/>
                </w:tcPr>
                <w:p>
                  <w:pPr>
                    <w:adjustRightInd w:val="0"/>
                    <w:snapToGrid w:val="0"/>
                    <w:spacing w:line="240" w:lineRule="auto"/>
                    <w:ind w:firstLine="0" w:firstLineChars="0"/>
                    <w:jc w:val="center"/>
                    <w:rPr>
                      <w:color w:val="auto"/>
                      <w:sz w:val="21"/>
                      <w:szCs w:val="21"/>
                      <w:lang w:val="en-US" w:eastAsia="zh-CN"/>
                    </w:rPr>
                  </w:pPr>
                  <w:r>
                    <w:rPr>
                      <w:color w:val="auto"/>
                      <w:sz w:val="21"/>
                      <w:szCs w:val="21"/>
                    </w:rPr>
                    <w:t>SS</w:t>
                  </w:r>
                </w:p>
              </w:tc>
              <w:tc>
                <w:tcPr>
                  <w:tcW w:w="183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252</w:t>
                  </w:r>
                </w:p>
              </w:tc>
              <w:tc>
                <w:tcPr>
                  <w:tcW w:w="1988"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0.000412 </w:t>
                  </w:r>
                </w:p>
              </w:tc>
              <w:tc>
                <w:tcPr>
                  <w:tcW w:w="1859" w:type="dxa"/>
                  <w:tcBorders>
                    <w:tl2br w:val="nil"/>
                    <w:tr2bl w:val="nil"/>
                  </w:tcBorders>
                  <w:vAlign w:val="center"/>
                </w:tcPr>
                <w:p>
                  <w:pPr>
                    <w:adjustRightInd w:val="0"/>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 xml:space="preserve">0.1030 </w:t>
                  </w:r>
                </w:p>
              </w:tc>
            </w:tr>
          </w:tbl>
          <w:p>
            <w:pPr>
              <w:pStyle w:val="4"/>
              <w:bidi w:val="0"/>
              <w:rPr>
                <w:rFonts w:hint="eastAsia"/>
                <w:color w:val="auto"/>
                <w:lang w:val="en-US" w:eastAsia="zh-CN"/>
              </w:rPr>
            </w:pPr>
            <w:r>
              <w:rPr>
                <w:rFonts w:hint="eastAsia"/>
                <w:color w:val="auto"/>
                <w:lang w:val="en-US" w:eastAsia="zh-CN"/>
              </w:rPr>
              <w:t>4.3.4废水监测计划</w:t>
            </w:r>
          </w:p>
          <w:p>
            <w:pPr>
              <w:pStyle w:val="8"/>
              <w:bidi w:val="0"/>
              <w:rPr>
                <w:rFonts w:hint="default"/>
                <w:color w:val="auto"/>
                <w:lang w:val="en-US"/>
              </w:rPr>
            </w:pPr>
            <w:r>
              <w:rPr>
                <w:rFonts w:hint="eastAsia"/>
                <w:color w:val="auto"/>
                <w:lang w:val="en-US" w:eastAsia="zh-CN"/>
              </w:rPr>
              <w:t>根据项目废水污染物排放特点及《排污单位自行监测技术指南 总则》（</w:t>
            </w:r>
            <w:r>
              <w:rPr>
                <w:rFonts w:hint="default"/>
                <w:color w:val="auto"/>
                <w:lang w:val="en-US" w:eastAsia="zh-CN"/>
              </w:rPr>
              <w:t>HJ819-2017</w:t>
            </w:r>
            <w:r>
              <w:rPr>
                <w:rFonts w:hint="eastAsia"/>
                <w:color w:val="auto"/>
                <w:lang w:val="en-US" w:eastAsia="zh-CN"/>
              </w:rPr>
              <w:t>），本项目建成后废水监测计划见下表。</w:t>
            </w:r>
          </w:p>
          <w:p>
            <w:pPr>
              <w:pStyle w:val="83"/>
              <w:spacing w:before="120"/>
              <w:rPr>
                <w:color w:val="auto"/>
              </w:rPr>
            </w:pPr>
            <w:r>
              <w:rPr>
                <w:rFonts w:hint="eastAsia"/>
                <w:color w:val="auto"/>
              </w:rPr>
              <w:t>表4-</w:t>
            </w:r>
            <w:r>
              <w:rPr>
                <w:rFonts w:hint="eastAsia"/>
                <w:color w:val="auto"/>
                <w:lang w:val="en-US" w:eastAsia="zh-CN"/>
              </w:rPr>
              <w:t>19</w:t>
            </w:r>
            <w:r>
              <w:rPr>
                <w:rFonts w:hint="eastAsia"/>
                <w:color w:val="auto"/>
              </w:rPr>
              <w:t xml:space="preserve">  本项目自行监测计划</w:t>
            </w:r>
          </w:p>
          <w:tbl>
            <w:tblPr>
              <w:tblStyle w:val="29"/>
              <w:tblW w:w="859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146"/>
              <w:gridCol w:w="2465"/>
              <w:gridCol w:w="1232"/>
              <w:gridCol w:w="3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38" w:type="dxa"/>
                  <w:tcBorders>
                    <w:tl2br w:val="nil"/>
                    <w:tr2bl w:val="nil"/>
                  </w:tcBorders>
                  <w:vAlign w:val="center"/>
                </w:tcPr>
                <w:p>
                  <w:pPr>
                    <w:snapToGrid w:val="0"/>
                    <w:spacing w:line="240" w:lineRule="auto"/>
                    <w:jc w:val="center"/>
                    <w:rPr>
                      <w:b/>
                      <w:bCs/>
                      <w:color w:val="auto"/>
                      <w:sz w:val="21"/>
                      <w:szCs w:val="21"/>
                    </w:rPr>
                  </w:pPr>
                  <w:r>
                    <w:rPr>
                      <w:b/>
                      <w:bCs/>
                      <w:color w:val="auto"/>
                      <w:sz w:val="21"/>
                      <w:szCs w:val="21"/>
                    </w:rPr>
                    <w:t>污染物类型</w:t>
                  </w:r>
                </w:p>
              </w:tc>
              <w:tc>
                <w:tcPr>
                  <w:tcW w:w="1146" w:type="dxa"/>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监测位置</w:t>
                  </w:r>
                </w:p>
              </w:tc>
              <w:tc>
                <w:tcPr>
                  <w:tcW w:w="2465" w:type="dxa"/>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监测项目</w:t>
                  </w:r>
                </w:p>
              </w:tc>
              <w:tc>
                <w:tcPr>
                  <w:tcW w:w="1232" w:type="dxa"/>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监测频次</w:t>
                  </w:r>
                </w:p>
              </w:tc>
              <w:tc>
                <w:tcPr>
                  <w:tcW w:w="3016" w:type="dxa"/>
                  <w:tcBorders>
                    <w:tl2br w:val="nil"/>
                    <w:tr2bl w:val="nil"/>
                  </w:tcBorders>
                  <w:vAlign w:val="center"/>
                </w:tcPr>
                <w:p>
                  <w:pPr>
                    <w:snapToGrid w:val="0"/>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8" w:type="dxa"/>
                  <w:vMerge w:val="restart"/>
                  <w:tcBorders>
                    <w:tl2br w:val="nil"/>
                    <w:tr2bl w:val="nil"/>
                  </w:tcBorders>
                  <w:vAlign w:val="center"/>
                </w:tcPr>
                <w:p>
                  <w:pPr>
                    <w:snapToGrid w:val="0"/>
                    <w:spacing w:line="240" w:lineRule="auto"/>
                    <w:jc w:val="center"/>
                    <w:rPr>
                      <w:color w:val="auto"/>
                      <w:sz w:val="21"/>
                      <w:szCs w:val="21"/>
                    </w:rPr>
                  </w:pPr>
                  <w:r>
                    <w:rPr>
                      <w:color w:val="auto"/>
                      <w:sz w:val="21"/>
                      <w:szCs w:val="21"/>
                    </w:rPr>
                    <w:t>废水</w:t>
                  </w:r>
                </w:p>
              </w:tc>
              <w:tc>
                <w:tcPr>
                  <w:tcW w:w="1146" w:type="dxa"/>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污水处理设施排口</w:t>
                  </w:r>
                </w:p>
              </w:tc>
              <w:tc>
                <w:tcPr>
                  <w:tcW w:w="2465" w:type="dxa"/>
                  <w:tcBorders>
                    <w:tl2br w:val="nil"/>
                    <w:tr2bl w:val="nil"/>
                  </w:tcBorders>
                  <w:vAlign w:val="center"/>
                </w:tcPr>
                <w:p>
                  <w:pPr>
                    <w:snapToGrid w:val="0"/>
                    <w:spacing w:line="240" w:lineRule="auto"/>
                    <w:jc w:val="center"/>
                    <w:rPr>
                      <w:color w:val="auto"/>
                      <w:sz w:val="21"/>
                      <w:szCs w:val="21"/>
                    </w:rPr>
                  </w:pPr>
                  <w:r>
                    <w:rPr>
                      <w:color w:val="auto"/>
                      <w:sz w:val="21"/>
                      <w:szCs w:val="21"/>
                    </w:rPr>
                    <w:t xml:space="preserve"> pH、COD</w:t>
                  </w:r>
                  <w:r>
                    <w:rPr>
                      <w:rFonts w:hint="eastAsia"/>
                      <w:color w:val="auto"/>
                      <w:sz w:val="21"/>
                      <w:szCs w:val="21"/>
                      <w:vertAlign w:val="subscript"/>
                    </w:rPr>
                    <w:t>cr</w:t>
                  </w:r>
                  <w:r>
                    <w:rPr>
                      <w:color w:val="auto"/>
                      <w:sz w:val="21"/>
                      <w:szCs w:val="21"/>
                    </w:rPr>
                    <w:t>、BOD</w:t>
                  </w:r>
                  <w:r>
                    <w:rPr>
                      <w:color w:val="auto"/>
                      <w:sz w:val="21"/>
                      <w:szCs w:val="21"/>
                      <w:vertAlign w:val="subscript"/>
                    </w:rPr>
                    <w:t>5</w:t>
                  </w:r>
                  <w:r>
                    <w:rPr>
                      <w:color w:val="auto"/>
                      <w:sz w:val="21"/>
                      <w:szCs w:val="21"/>
                    </w:rPr>
                    <w:t>、SS、氨氮、总氮、总磷、粪大肠菌群数</w:t>
                  </w:r>
                  <w:r>
                    <w:rPr>
                      <w:rFonts w:hint="eastAsia"/>
                      <w:color w:val="auto"/>
                      <w:sz w:val="21"/>
                      <w:szCs w:val="21"/>
                    </w:rPr>
                    <w:t>、总余氯、LAS</w:t>
                  </w:r>
                </w:p>
              </w:tc>
              <w:tc>
                <w:tcPr>
                  <w:tcW w:w="1232" w:type="dxa"/>
                  <w:vMerge w:val="restart"/>
                  <w:tcBorders>
                    <w:tl2br w:val="nil"/>
                    <w:tr2bl w:val="nil"/>
                  </w:tcBorders>
                  <w:vAlign w:val="center"/>
                </w:tcPr>
                <w:p>
                  <w:pPr>
                    <w:snapToGrid w:val="0"/>
                    <w:spacing w:line="240" w:lineRule="auto"/>
                    <w:jc w:val="center"/>
                    <w:rPr>
                      <w:rFonts w:hint="eastAsia" w:eastAsia="宋体"/>
                      <w:color w:val="auto"/>
                      <w:sz w:val="21"/>
                      <w:szCs w:val="21"/>
                      <w:lang w:val="en-US" w:eastAsia="zh-CN"/>
                    </w:rPr>
                  </w:pPr>
                  <w:r>
                    <w:rPr>
                      <w:rFonts w:hint="eastAsia"/>
                      <w:color w:val="auto"/>
                      <w:sz w:val="21"/>
                      <w:szCs w:val="21"/>
                      <w:lang w:eastAsia="zh-CN"/>
                    </w:rPr>
                    <w:t>每</w:t>
                  </w:r>
                  <w:r>
                    <w:rPr>
                      <w:color w:val="auto"/>
                      <w:sz w:val="21"/>
                      <w:szCs w:val="21"/>
                    </w:rPr>
                    <w:t>季度1次</w:t>
                  </w:r>
                </w:p>
              </w:tc>
              <w:tc>
                <w:tcPr>
                  <w:tcW w:w="3016" w:type="dxa"/>
                  <w:tcBorders>
                    <w:tl2br w:val="nil"/>
                    <w:tr2bl w:val="nil"/>
                  </w:tcBorders>
                  <w:vAlign w:val="center"/>
                </w:tcPr>
                <w:p>
                  <w:pPr>
                    <w:snapToGrid w:val="0"/>
                    <w:spacing w:line="240" w:lineRule="auto"/>
                    <w:jc w:val="center"/>
                    <w:rPr>
                      <w:rFonts w:hint="eastAsia" w:eastAsia="宋体"/>
                      <w:color w:val="auto"/>
                      <w:sz w:val="21"/>
                      <w:szCs w:val="21"/>
                      <w:lang w:eastAsia="zh-CN"/>
                    </w:rPr>
                  </w:pPr>
                  <w:r>
                    <w:rPr>
                      <w:color w:val="auto"/>
                      <w:sz w:val="21"/>
                      <w:szCs w:val="21"/>
                    </w:rPr>
                    <w:t>《医疗机构水污染物排放标准》（GB18466-2005）</w:t>
                  </w:r>
                  <w:r>
                    <w:rPr>
                      <w:rFonts w:hint="eastAsia"/>
                      <w:color w:val="auto"/>
                      <w:sz w:val="21"/>
                      <w:szCs w:val="21"/>
                      <w:lang w:eastAsia="zh-CN"/>
                    </w:rPr>
                    <w:t>、</w:t>
                  </w:r>
                  <w:r>
                    <w:rPr>
                      <w:rFonts w:hint="eastAsia"/>
                      <w:color w:val="auto"/>
                      <w:sz w:val="21"/>
                      <w:szCs w:val="21"/>
                    </w:rPr>
                    <w:t>《污水综合排放标准》（DB12/356-2018）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38" w:type="dxa"/>
                  <w:vMerge w:val="continue"/>
                  <w:tcBorders>
                    <w:tl2br w:val="nil"/>
                    <w:tr2bl w:val="nil"/>
                  </w:tcBorders>
                  <w:vAlign w:val="center"/>
                </w:tcPr>
                <w:p>
                  <w:pPr>
                    <w:snapToGrid w:val="0"/>
                    <w:spacing w:line="240" w:lineRule="auto"/>
                    <w:jc w:val="center"/>
                    <w:rPr>
                      <w:color w:val="auto"/>
                      <w:sz w:val="21"/>
                      <w:szCs w:val="21"/>
                    </w:rPr>
                  </w:pPr>
                </w:p>
              </w:tc>
              <w:tc>
                <w:tcPr>
                  <w:tcW w:w="1146" w:type="dxa"/>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污水总排口</w:t>
                  </w:r>
                </w:p>
              </w:tc>
              <w:tc>
                <w:tcPr>
                  <w:tcW w:w="2465" w:type="dxa"/>
                  <w:tcBorders>
                    <w:tl2br w:val="nil"/>
                    <w:tr2bl w:val="nil"/>
                  </w:tcBorders>
                  <w:vAlign w:val="center"/>
                </w:tcPr>
                <w:p>
                  <w:pPr>
                    <w:snapToGrid w:val="0"/>
                    <w:spacing w:line="240" w:lineRule="auto"/>
                    <w:jc w:val="center"/>
                    <w:rPr>
                      <w:rFonts w:hint="eastAsia" w:eastAsia="宋体"/>
                      <w:color w:val="auto"/>
                      <w:sz w:val="21"/>
                      <w:szCs w:val="21"/>
                      <w:lang w:eastAsia="zh-CN"/>
                    </w:rPr>
                  </w:pPr>
                  <w:r>
                    <w:rPr>
                      <w:color w:val="auto"/>
                      <w:sz w:val="21"/>
                      <w:szCs w:val="21"/>
                    </w:rPr>
                    <w:t xml:space="preserve"> pH、COD</w:t>
                  </w:r>
                  <w:r>
                    <w:rPr>
                      <w:rFonts w:hint="eastAsia"/>
                      <w:color w:val="auto"/>
                      <w:sz w:val="21"/>
                      <w:szCs w:val="21"/>
                      <w:vertAlign w:val="subscript"/>
                    </w:rPr>
                    <w:t>cr</w:t>
                  </w:r>
                  <w:r>
                    <w:rPr>
                      <w:color w:val="auto"/>
                      <w:sz w:val="21"/>
                      <w:szCs w:val="21"/>
                    </w:rPr>
                    <w:t>、BOD</w:t>
                  </w:r>
                  <w:r>
                    <w:rPr>
                      <w:color w:val="auto"/>
                      <w:sz w:val="21"/>
                      <w:szCs w:val="21"/>
                      <w:vertAlign w:val="subscript"/>
                    </w:rPr>
                    <w:t>5</w:t>
                  </w:r>
                  <w:r>
                    <w:rPr>
                      <w:color w:val="auto"/>
                      <w:sz w:val="21"/>
                      <w:szCs w:val="21"/>
                    </w:rPr>
                    <w:t>、SS、氨氮、总氮、总磷</w:t>
                  </w:r>
                  <w:r>
                    <w:rPr>
                      <w:rFonts w:hint="eastAsia"/>
                      <w:color w:val="auto"/>
                      <w:sz w:val="21"/>
                      <w:szCs w:val="21"/>
                    </w:rPr>
                    <w:t>、LAS、</w:t>
                  </w:r>
                  <w:r>
                    <w:rPr>
                      <w:color w:val="auto"/>
                      <w:sz w:val="21"/>
                      <w:szCs w:val="21"/>
                    </w:rPr>
                    <w:t>粪大肠菌群数</w:t>
                  </w:r>
                </w:p>
              </w:tc>
              <w:tc>
                <w:tcPr>
                  <w:tcW w:w="1232" w:type="dxa"/>
                  <w:vMerge w:val="continue"/>
                  <w:tcBorders>
                    <w:tl2br w:val="nil"/>
                    <w:tr2bl w:val="nil"/>
                  </w:tcBorders>
                  <w:vAlign w:val="center"/>
                </w:tcPr>
                <w:p>
                  <w:pPr>
                    <w:snapToGrid w:val="0"/>
                    <w:spacing w:line="240" w:lineRule="auto"/>
                    <w:jc w:val="center"/>
                    <w:rPr>
                      <w:color w:val="auto"/>
                      <w:sz w:val="21"/>
                      <w:szCs w:val="21"/>
                    </w:rPr>
                  </w:pPr>
                </w:p>
              </w:tc>
              <w:tc>
                <w:tcPr>
                  <w:tcW w:w="3016" w:type="dxa"/>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《污水综合排放标准》（DB12/356-2018）</w:t>
                  </w: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dxa"/>
          </w:tcPr>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c>
          <w:tcPr>
            <w:tcW w:w="13228" w:type="dxa"/>
          </w:tcPr>
          <w:p>
            <w:pPr>
              <w:pStyle w:val="4"/>
              <w:bidi w:val="0"/>
              <w:rPr>
                <w:color w:val="auto"/>
              </w:rPr>
            </w:pPr>
            <w:r>
              <w:rPr>
                <w:rFonts w:hint="eastAsia"/>
                <w:color w:val="auto"/>
                <w:lang w:val="en-US" w:eastAsia="zh-CN"/>
              </w:rPr>
              <w:t>4.4</w:t>
            </w:r>
            <w:r>
              <w:rPr>
                <w:color w:val="auto"/>
              </w:rPr>
              <w:t>声环境影响分析</w:t>
            </w:r>
          </w:p>
          <w:p>
            <w:pPr>
              <w:pStyle w:val="4"/>
              <w:bidi w:val="0"/>
              <w:rPr>
                <w:color w:val="auto"/>
              </w:rPr>
            </w:pPr>
            <w:r>
              <w:rPr>
                <w:rFonts w:hint="eastAsia"/>
                <w:color w:val="auto"/>
                <w:lang w:val="en-US" w:eastAsia="zh-CN"/>
              </w:rPr>
              <w:t>4.4.1</w:t>
            </w:r>
            <w:r>
              <w:rPr>
                <w:color w:val="auto"/>
              </w:rPr>
              <w:t>噪声源及防治措施</w:t>
            </w:r>
          </w:p>
          <w:p>
            <w:pPr>
              <w:pStyle w:val="8"/>
              <w:adjustRightInd w:val="0"/>
              <w:snapToGrid w:val="0"/>
              <w:spacing w:line="360" w:lineRule="auto"/>
              <w:ind w:firstLineChars="175"/>
              <w:rPr>
                <w:rFonts w:hint="eastAsia"/>
                <w:color w:val="auto"/>
                <w:lang w:val="en-US" w:eastAsia="zh-CN"/>
              </w:rPr>
            </w:pPr>
            <w:r>
              <w:rPr>
                <w:rFonts w:hint="eastAsia"/>
                <w:color w:val="auto"/>
              </w:rPr>
              <w:t>本项目噪声源主要是</w:t>
            </w:r>
            <w:r>
              <w:rPr>
                <w:rFonts w:hint="eastAsia"/>
                <w:color w:val="auto"/>
                <w:lang w:val="en-US" w:eastAsia="zh-CN"/>
              </w:rPr>
              <w:t>环保设备风机、送排风风机、通风橱、净水机水泵</w:t>
            </w:r>
            <w:r>
              <w:rPr>
                <w:rFonts w:hint="eastAsia"/>
                <w:color w:val="auto"/>
              </w:rPr>
              <w:t>等产生的噪声，其噪声值在</w:t>
            </w:r>
            <w:r>
              <w:rPr>
                <w:rFonts w:hint="eastAsia"/>
                <w:color w:val="auto"/>
                <w:lang w:val="en-US" w:eastAsia="zh-CN"/>
              </w:rPr>
              <w:t>60</w:t>
            </w:r>
            <w:r>
              <w:rPr>
                <w:rFonts w:hint="eastAsia"/>
                <w:color w:val="auto"/>
              </w:rPr>
              <w:t>～</w:t>
            </w:r>
            <w:r>
              <w:rPr>
                <w:rFonts w:hint="eastAsia"/>
                <w:color w:val="auto"/>
                <w:lang w:val="en-US" w:eastAsia="zh-CN"/>
              </w:rPr>
              <w:t>80</w:t>
            </w:r>
            <w:r>
              <w:rPr>
                <w:rFonts w:hint="eastAsia"/>
                <w:color w:val="auto"/>
              </w:rPr>
              <w:t>dB（A）之间。</w:t>
            </w:r>
            <w:r>
              <w:rPr>
                <w:rFonts w:hint="eastAsia"/>
                <w:color w:val="auto"/>
                <w:lang w:val="en-US" w:eastAsia="zh-CN"/>
              </w:rPr>
              <w:t>通风橱位于病理实验室，净水机水泵位于洗消前室，</w:t>
            </w:r>
            <w:r>
              <w:rPr>
                <w:rFonts w:hint="eastAsia"/>
                <w:b w:val="0"/>
                <w:bCs/>
                <w:color w:val="auto"/>
                <w:sz w:val="24"/>
                <w:szCs w:val="24"/>
                <w:highlight w:val="none"/>
                <w:lang w:val="en-US" w:eastAsia="zh-CN"/>
              </w:rPr>
              <w:t>采取墙体隔声、距离衰减等措施</w:t>
            </w:r>
            <w:r>
              <w:rPr>
                <w:b w:val="0"/>
                <w:bCs/>
                <w:color w:val="auto"/>
                <w:sz w:val="24"/>
                <w:szCs w:val="24"/>
                <w:highlight w:val="none"/>
              </w:rPr>
              <w:t>，</w:t>
            </w:r>
            <w:r>
              <w:rPr>
                <w:rFonts w:hint="eastAsia"/>
                <w:b w:val="0"/>
                <w:bCs/>
                <w:color w:val="auto"/>
                <w:sz w:val="24"/>
                <w:szCs w:val="24"/>
                <w:highlight w:val="none"/>
                <w:lang w:val="en-US" w:eastAsia="zh-CN"/>
              </w:rPr>
              <w:t>根据《环境噪声控制》（刘惠玲主编，哈尔滨工业大学出版社），隔声量按15</w:t>
            </w:r>
            <w:r>
              <w:rPr>
                <w:rFonts w:hint="default"/>
                <w:b w:val="0"/>
                <w:bCs/>
                <w:color w:val="auto"/>
                <w:sz w:val="24"/>
                <w:szCs w:val="24"/>
                <w:highlight w:val="none"/>
              </w:rPr>
              <w:t>dB(A)</w:t>
            </w:r>
            <w:r>
              <w:rPr>
                <w:rFonts w:hint="eastAsia"/>
                <w:b w:val="0"/>
                <w:bCs/>
                <w:color w:val="auto"/>
                <w:sz w:val="24"/>
                <w:szCs w:val="24"/>
                <w:highlight w:val="none"/>
                <w:lang w:val="en-US" w:eastAsia="zh-CN"/>
              </w:rPr>
              <w:t>计。</w:t>
            </w:r>
            <w:r>
              <w:rPr>
                <w:rFonts w:hint="eastAsia"/>
                <w:color w:val="auto"/>
                <w:lang w:val="en-US" w:eastAsia="zh-CN"/>
              </w:rPr>
              <w:t>本</w:t>
            </w:r>
            <w:r>
              <w:rPr>
                <w:color w:val="auto"/>
              </w:rPr>
              <w:t>项目</w:t>
            </w:r>
            <w:r>
              <w:rPr>
                <w:rFonts w:hint="eastAsia"/>
                <w:color w:val="auto"/>
                <w:lang w:val="en-US" w:eastAsia="zh-CN"/>
              </w:rPr>
              <w:t>环保设备风机设置于室外楼顶，病理实验室排风风机、洁净送排风风机设置于5层室外平台处，洁净送排风风机、环保设备风机采取合理布局、加装隔声罩、软管连接等措施</w:t>
            </w:r>
            <w:r>
              <w:rPr>
                <w:color w:val="auto"/>
              </w:rPr>
              <w:t>，</w:t>
            </w:r>
            <w:r>
              <w:rPr>
                <w:rFonts w:hint="eastAsia"/>
                <w:color w:val="auto"/>
                <w:lang w:val="en-US" w:eastAsia="zh-CN"/>
              </w:rPr>
              <w:t>根据《环境噪声控制》（刘惠玲主编，哈尔滨工业大学出版社），隔声量按15</w:t>
            </w:r>
            <w:r>
              <w:rPr>
                <w:rFonts w:hint="default"/>
                <w:color w:val="auto"/>
              </w:rPr>
              <w:t>dB(A)</w:t>
            </w:r>
            <w:r>
              <w:rPr>
                <w:rFonts w:hint="eastAsia"/>
                <w:color w:val="auto"/>
                <w:lang w:val="en-US" w:eastAsia="zh-CN"/>
              </w:rPr>
              <w:t>计。</w:t>
            </w:r>
          </w:p>
          <w:p>
            <w:pPr>
              <w:pStyle w:val="83"/>
              <w:bidi w:val="0"/>
              <w:rPr>
                <w:rFonts w:hint="eastAsia"/>
                <w:color w:val="auto"/>
                <w:highlight w:val="none"/>
                <w:lang w:val="en-US" w:eastAsia="zh-CN"/>
              </w:rPr>
            </w:pPr>
            <w:r>
              <w:rPr>
                <w:rFonts w:hint="eastAsia"/>
                <w:color w:val="auto"/>
                <w:highlight w:val="none"/>
                <w:lang w:val="en-US" w:eastAsia="zh-CN"/>
              </w:rPr>
              <w:t>表4-20  噪声源强调查清单（室内声源）</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8"/>
              <w:gridCol w:w="916"/>
              <w:gridCol w:w="1100"/>
              <w:gridCol w:w="500"/>
              <w:gridCol w:w="540"/>
              <w:gridCol w:w="433"/>
              <w:gridCol w:w="457"/>
              <w:gridCol w:w="496"/>
              <w:gridCol w:w="561"/>
              <w:gridCol w:w="532"/>
              <w:gridCol w:w="527"/>
              <w:gridCol w:w="514"/>
              <w:gridCol w:w="483"/>
              <w:gridCol w:w="467"/>
              <w:gridCol w:w="1248"/>
              <w:gridCol w:w="862"/>
              <w:gridCol w:w="439"/>
              <w:gridCol w:w="439"/>
              <w:gridCol w:w="439"/>
              <w:gridCol w:w="439"/>
              <w:gridCol w:w="9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序号</w:t>
                  </w:r>
                </w:p>
              </w:tc>
              <w:tc>
                <w:tcPr>
                  <w:tcW w:w="35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声源名称</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声源源强</w:t>
                  </w:r>
                </w:p>
              </w:tc>
              <w:tc>
                <w:tcPr>
                  <w:tcW w:w="56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b/>
                      <w:bCs/>
                      <w:color w:val="auto"/>
                      <w:sz w:val="21"/>
                      <w:szCs w:val="21"/>
                      <w:highlight w:val="none"/>
                      <w:lang w:val="en-US" w:eastAsia="zh-CN"/>
                    </w:rPr>
                    <w:t>空间相对位置/m</w:t>
                  </w:r>
                </w:p>
              </w:tc>
              <w:tc>
                <w:tcPr>
                  <w:tcW w:w="788"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距室内边界距离</w:t>
                  </w:r>
                </w:p>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b/>
                      <w:bCs/>
                      <w:color w:val="auto"/>
                      <w:sz w:val="21"/>
                      <w:szCs w:val="21"/>
                      <w:highlight w:val="none"/>
                      <w:lang w:val="en-US" w:eastAsia="zh-CN"/>
                    </w:rPr>
                    <w:t>/m</w:t>
                  </w:r>
                </w:p>
              </w:tc>
              <w:tc>
                <w:tcPr>
                  <w:tcW w:w="767"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室内边界声级/</w:t>
                  </w:r>
                  <w:r>
                    <w:rPr>
                      <w:rFonts w:hint="default" w:ascii="Times New Roman" w:hAnsi="Times New Roman" w:cs="Times New Roman"/>
                      <w:color w:val="auto"/>
                      <w:sz w:val="21"/>
                      <w:szCs w:val="21"/>
                      <w:highlight w:val="none"/>
                      <w:lang w:val="en-US" w:eastAsia="zh-CN"/>
                    </w:rPr>
                    <w:t>dB(A)</w:t>
                  </w:r>
                </w:p>
              </w:tc>
              <w:tc>
                <w:tcPr>
                  <w:tcW w:w="48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运行时段</w:t>
                  </w:r>
                </w:p>
              </w:tc>
              <w:tc>
                <w:tcPr>
                  <w:tcW w:w="332"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建筑物插入损失/</w:t>
                  </w:r>
                  <w:r>
                    <w:rPr>
                      <w:rFonts w:hint="default" w:ascii="Times New Roman" w:hAnsi="Times New Roman" w:cs="Times New Roman"/>
                      <w:color w:val="auto"/>
                      <w:sz w:val="21"/>
                      <w:szCs w:val="21"/>
                      <w:highlight w:val="none"/>
                      <w:lang w:val="en-US" w:eastAsia="zh-CN"/>
                    </w:rPr>
                    <w:t>dB(A)</w:t>
                  </w:r>
                </w:p>
              </w:tc>
              <w:tc>
                <w:tcPr>
                  <w:tcW w:w="1060"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建筑物外噪声声压级/</w:t>
                  </w:r>
                  <w:r>
                    <w:rPr>
                      <w:rFonts w:hint="default" w:ascii="Times New Roman" w:hAnsi="Times New Roman" w:cs="Times New Roman"/>
                      <w:color w:val="auto"/>
                      <w:sz w:val="21"/>
                      <w:szCs w:val="21"/>
                      <w:highlight w:val="none"/>
                      <w:lang w:val="en-US" w:eastAsia="zh-CN"/>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p>
              </w:tc>
              <w:tc>
                <w:tcPr>
                  <w:tcW w:w="35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r>
                    <w:rPr>
                      <w:rFonts w:hint="eastAsia" w:cs="Times New Roman"/>
                      <w:b/>
                      <w:bCs/>
                      <w:color w:val="auto"/>
                      <w:sz w:val="21"/>
                      <w:szCs w:val="21"/>
                      <w:highlight w:val="none"/>
                      <w:lang w:val="en-US" w:eastAsia="zh-CN"/>
                    </w:rPr>
                    <w:t>声功率级</w:t>
                  </w:r>
                  <w:r>
                    <w:rPr>
                      <w:rFonts w:hint="default" w:ascii="Times New Roman" w:hAnsi="Times New Roman" w:cs="Times New Roman"/>
                      <w:b/>
                      <w:bCs/>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dB(A)</w:t>
                  </w:r>
                </w:p>
              </w:tc>
              <w:tc>
                <w:tcPr>
                  <w:tcW w:w="19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rPr>
                  </w:pPr>
                  <w:r>
                    <w:rPr>
                      <w:rFonts w:hint="eastAsia"/>
                      <w:b/>
                      <w:bCs/>
                      <w:color w:val="auto"/>
                      <w:sz w:val="21"/>
                      <w:szCs w:val="21"/>
                      <w:highlight w:val="none"/>
                      <w:lang w:val="en-US" w:eastAsia="zh-CN"/>
                    </w:rPr>
                    <w:t>X</w:t>
                  </w:r>
                </w:p>
              </w:tc>
              <w:tc>
                <w:tcPr>
                  <w:tcW w:w="2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rPr>
                  </w:pPr>
                  <w:r>
                    <w:rPr>
                      <w:rFonts w:hint="eastAsia"/>
                      <w:b/>
                      <w:bCs/>
                      <w:color w:val="auto"/>
                      <w:sz w:val="21"/>
                      <w:szCs w:val="21"/>
                      <w:highlight w:val="none"/>
                      <w:lang w:val="en-US" w:eastAsia="zh-CN"/>
                    </w:rPr>
                    <w:t>Y</w:t>
                  </w:r>
                </w:p>
              </w:tc>
              <w:tc>
                <w:tcPr>
                  <w:tcW w:w="16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rPr>
                  </w:pPr>
                  <w:r>
                    <w:rPr>
                      <w:rFonts w:hint="eastAsia"/>
                      <w:b/>
                      <w:bCs/>
                      <w:color w:val="auto"/>
                      <w:sz w:val="21"/>
                      <w:szCs w:val="21"/>
                      <w:highlight w:val="none"/>
                      <w:lang w:val="en-US" w:eastAsia="zh-CN"/>
                    </w:rPr>
                    <w:t>Z</w:t>
                  </w:r>
                </w:p>
              </w:tc>
              <w:tc>
                <w:tcPr>
                  <w:tcW w:w="1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北</w:t>
                  </w:r>
                </w:p>
              </w:tc>
              <w:tc>
                <w:tcPr>
                  <w:tcW w:w="19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西</w:t>
                  </w:r>
                </w:p>
              </w:tc>
              <w:tc>
                <w:tcPr>
                  <w:tcW w:w="21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南</w:t>
                  </w:r>
                </w:p>
              </w:tc>
              <w:tc>
                <w:tcPr>
                  <w:tcW w:w="20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东</w:t>
                  </w:r>
                </w:p>
              </w:tc>
              <w:tc>
                <w:tcPr>
                  <w:tcW w:w="20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北</w:t>
                  </w:r>
                </w:p>
              </w:tc>
              <w:tc>
                <w:tcPr>
                  <w:tcW w:w="19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西</w:t>
                  </w:r>
                </w:p>
              </w:tc>
              <w:tc>
                <w:tcPr>
                  <w:tcW w:w="18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南</w:t>
                  </w:r>
                </w:p>
              </w:tc>
              <w:tc>
                <w:tcPr>
                  <w:tcW w:w="17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东</w:t>
                  </w:r>
                </w:p>
              </w:tc>
              <w:tc>
                <w:tcPr>
                  <w:tcW w:w="48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p>
              </w:tc>
              <w:tc>
                <w:tcPr>
                  <w:tcW w:w="332"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rPr>
                  </w:pPr>
                </w:p>
              </w:tc>
              <w:tc>
                <w:tcPr>
                  <w:tcW w:w="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eastAsia" w:cs="Times New Roman"/>
                      <w:b/>
                      <w:bCs/>
                      <w:color w:val="auto"/>
                      <w:sz w:val="21"/>
                      <w:szCs w:val="21"/>
                      <w:highlight w:val="none"/>
                      <w:lang w:val="en-US" w:eastAsia="zh-CN"/>
                    </w:rPr>
                    <w:t>北</w:t>
                  </w:r>
                </w:p>
              </w:tc>
              <w:tc>
                <w:tcPr>
                  <w:tcW w:w="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cs="Times New Roman"/>
                      <w:b/>
                      <w:bCs/>
                      <w:color w:val="auto"/>
                      <w:sz w:val="21"/>
                      <w:szCs w:val="21"/>
                      <w:highlight w:val="none"/>
                      <w:lang w:val="en-US" w:eastAsia="zh-CN"/>
                    </w:rPr>
                    <w:t>西</w:t>
                  </w:r>
                </w:p>
              </w:tc>
              <w:tc>
                <w:tcPr>
                  <w:tcW w:w="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南</w:t>
                  </w:r>
                </w:p>
              </w:tc>
              <w:tc>
                <w:tcPr>
                  <w:tcW w:w="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东</w:t>
                  </w:r>
                </w:p>
              </w:tc>
              <w:tc>
                <w:tcPr>
                  <w:tcW w:w="38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b/>
                      <w:bCs/>
                      <w:color w:val="auto"/>
                      <w:sz w:val="21"/>
                      <w:szCs w:val="21"/>
                      <w:highlight w:val="none"/>
                      <w:lang w:val="en-US"/>
                    </w:rPr>
                  </w:pPr>
                  <w:r>
                    <w:rPr>
                      <w:rFonts w:hint="default" w:ascii="Times New Roman" w:hAnsi="Times New Roman" w:cs="Times New Roman"/>
                      <w:b/>
                      <w:bCs/>
                      <w:color w:val="auto"/>
                      <w:sz w:val="21"/>
                      <w:szCs w:val="21"/>
                      <w:highlight w:val="none"/>
                      <w:lang w:val="en-US" w:eastAsia="zh-CN"/>
                    </w:rPr>
                    <w:t>建筑物外距离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通风橱</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38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44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37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39 </w:t>
                  </w:r>
                </w:p>
              </w:tc>
              <w:tc>
                <w:tcPr>
                  <w:tcW w:w="480"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8:00~17:00</w:t>
                  </w: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38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1m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eastAsia"/>
                      <w:color w:val="auto"/>
                      <w:sz w:val="21"/>
                      <w:szCs w:val="21"/>
                      <w:lang w:val="en-US" w:eastAsia="zh-CN"/>
                    </w:rPr>
                    <w:t>通风橱</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70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35</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42</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42</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43</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38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44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37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39 </w:t>
                  </w:r>
                </w:p>
              </w:tc>
              <w:tc>
                <w:tcPr>
                  <w:tcW w:w="48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3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通风橱</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44</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41</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37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44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38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39 </w:t>
                  </w:r>
                </w:p>
              </w:tc>
              <w:tc>
                <w:tcPr>
                  <w:tcW w:w="48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18</w:t>
                  </w:r>
                </w:p>
              </w:tc>
              <w:tc>
                <w:tcPr>
                  <w:tcW w:w="3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5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val="en-US" w:eastAsia="zh-CN"/>
                    </w:rPr>
                    <w:t>通风橱</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23</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32</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37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43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38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40 </w:t>
                  </w:r>
                </w:p>
              </w:tc>
              <w:tc>
                <w:tcPr>
                  <w:tcW w:w="48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22</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3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color w:val="auto"/>
                      <w:sz w:val="21"/>
                      <w:szCs w:val="21"/>
                      <w:lang w:val="en-US" w:eastAsia="zh-CN"/>
                    </w:rPr>
                    <w:t>通风橱</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kern w:val="2"/>
                      <w:sz w:val="21"/>
                      <w:szCs w:val="21"/>
                      <w:highlight w:val="none"/>
                      <w:lang w:val="en-US" w:eastAsia="zh-CN" w:bidi="ar-SA"/>
                    </w:rPr>
                    <w:t>70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31</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45</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0</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45</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31</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37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42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38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40 </w:t>
                  </w:r>
                </w:p>
              </w:tc>
              <w:tc>
                <w:tcPr>
                  <w:tcW w:w="48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21</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19</w:t>
                  </w:r>
                </w:p>
              </w:tc>
              <w:tc>
                <w:tcPr>
                  <w:tcW w:w="3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2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3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val="0"/>
                    <w:spacing w:line="240" w:lineRule="auto"/>
                    <w:ind w:firstLine="0" w:firstLineChars="0"/>
                    <w:jc w:val="center"/>
                    <w:rPr>
                      <w:rFonts w:hint="default" w:ascii="Times New Roman" w:hAnsi="Times New Roman" w:cs="Times New Roman"/>
                      <w:b w:val="0"/>
                      <w:bCs w:val="0"/>
                      <w:color w:val="auto"/>
                      <w:kern w:val="2"/>
                      <w:sz w:val="21"/>
                      <w:szCs w:val="21"/>
                      <w:highlight w:val="none"/>
                      <w:lang w:val="en-US" w:eastAsia="zh-CN" w:bidi="ar-SA"/>
                    </w:rPr>
                  </w:pPr>
                  <w:r>
                    <w:rPr>
                      <w:rFonts w:hint="eastAsia"/>
                      <w:color w:val="auto"/>
                      <w:sz w:val="21"/>
                      <w:szCs w:val="21"/>
                      <w:lang w:val="en-US" w:eastAsia="zh-CN"/>
                    </w:rPr>
                    <w:t>净水机水泵</w:t>
                  </w:r>
                </w:p>
              </w:tc>
              <w:tc>
                <w:tcPr>
                  <w:tcW w:w="4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60</w:t>
                  </w:r>
                </w:p>
              </w:tc>
              <w:tc>
                <w:tcPr>
                  <w:tcW w:w="1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25</w:t>
                  </w:r>
                </w:p>
              </w:tc>
              <w:tc>
                <w:tcPr>
                  <w:tcW w:w="20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color w:val="auto"/>
                      <w:sz w:val="21"/>
                      <w:szCs w:val="21"/>
                      <w:highlight w:val="none"/>
                      <w:lang w:val="en-US" w:eastAsia="zh-CN"/>
                    </w:rPr>
                    <w:t>20</w:t>
                  </w:r>
                </w:p>
              </w:tc>
              <w:tc>
                <w:tcPr>
                  <w:tcW w:w="16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firstLine="0" w:firstLineChars="0"/>
                    <w:jc w:val="center"/>
                    <w:textAlignment w:val="center"/>
                    <w:rPr>
                      <w:rFonts w:hint="default" w:ascii="Times New Roman" w:hAnsi="Times New Roman" w:cs="Times New Roman"/>
                      <w:b w:val="0"/>
                      <w:bCs w:val="0"/>
                      <w:color w:val="auto"/>
                      <w:kern w:val="2"/>
                      <w:sz w:val="21"/>
                      <w:szCs w:val="21"/>
                      <w:highlight w:val="none"/>
                      <w:lang w:val="en-US" w:eastAsia="zh-CN" w:bidi="ar-SA"/>
                    </w:rPr>
                  </w:pPr>
                  <w:r>
                    <w:rPr>
                      <w:rFonts w:hint="eastAsia" w:cs="Times New Roman"/>
                      <w:b w:val="0"/>
                      <w:bCs w:val="0"/>
                      <w:color w:val="auto"/>
                      <w:kern w:val="2"/>
                      <w:sz w:val="21"/>
                      <w:szCs w:val="21"/>
                      <w:highlight w:val="none"/>
                      <w:lang w:val="en-US" w:eastAsia="zh-CN" w:bidi="ar-SA"/>
                    </w:rPr>
                    <w:t>1</w:t>
                  </w:r>
                </w:p>
              </w:tc>
              <w:tc>
                <w:tcPr>
                  <w:tcW w:w="1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20</w:t>
                  </w:r>
                </w:p>
              </w:tc>
              <w:tc>
                <w:tcPr>
                  <w:tcW w:w="19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21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65</w:t>
                  </w:r>
                </w:p>
              </w:tc>
              <w:tc>
                <w:tcPr>
                  <w:tcW w:w="2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25</w:t>
                  </w:r>
                </w:p>
              </w:tc>
              <w:tc>
                <w:tcPr>
                  <w:tcW w:w="5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34 </w:t>
                  </w:r>
                </w:p>
              </w:tc>
              <w:tc>
                <w:tcPr>
                  <w:tcW w:w="5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30 </w:t>
                  </w:r>
                </w:p>
              </w:tc>
              <w:tc>
                <w:tcPr>
                  <w:tcW w:w="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24 </w:t>
                  </w:r>
                </w:p>
              </w:tc>
              <w:tc>
                <w:tcPr>
                  <w:tcW w:w="17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 xml:space="preserve">32 </w:t>
                  </w:r>
                </w:p>
              </w:tc>
              <w:tc>
                <w:tcPr>
                  <w:tcW w:w="480"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c>
                <w:tcPr>
                  <w:tcW w:w="33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contextualSpacing/>
                    <w:jc w:val="center"/>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highlight w:val="none"/>
                      <w:lang w:val="en-US" w:eastAsia="zh-CN"/>
                    </w:rPr>
                    <w:t>15</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13</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9</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3</w:t>
                  </w:r>
                </w:p>
              </w:tc>
              <w:tc>
                <w:tcPr>
                  <w:tcW w:w="4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napToGrid w:val="0"/>
                    <w:spacing w:before="20" w:after="20" w:line="240" w:lineRule="auto"/>
                    <w:ind w:firstLine="0" w:firstLineChars="0"/>
                    <w:jc w:val="center"/>
                    <w:textAlignment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11</w:t>
                  </w:r>
                </w:p>
              </w:tc>
              <w:tc>
                <w:tcPr>
                  <w:tcW w:w="38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0" w:firstLineChars="0"/>
                    <w:jc w:val="center"/>
                    <w:textAlignment w:val="center"/>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21"/>
                  <w:tcBorders>
                    <w:tl2br w:val="nil"/>
                    <w:tr2bl w:val="nil"/>
                  </w:tcBorders>
                  <w:noWrap w:val="0"/>
                  <w:vAlign w:val="center"/>
                </w:tcPr>
                <w:p>
                  <w:pPr>
                    <w:widowControl w:val="0"/>
                    <w:textAlignment w:val="auto"/>
                    <w:rPr>
                      <w:rFonts w:hint="default" w:ascii="Times New Roman" w:hAnsi="Times New Roman" w:cs="Times New Roman"/>
                      <w:color w:val="auto"/>
                      <w:sz w:val="21"/>
                      <w:szCs w:val="21"/>
                      <w:highlight w:val="none"/>
                      <w:lang w:val="en-US" w:eastAsia="zh-CN"/>
                    </w:rPr>
                  </w:pPr>
                  <w:r>
                    <w:rPr>
                      <w:rFonts w:hint="eastAsia"/>
                      <w:color w:val="auto"/>
                      <w:sz w:val="21"/>
                      <w:szCs w:val="21"/>
                      <w:lang w:eastAsia="zh-CN"/>
                    </w:rPr>
                    <w:t>坐标原点为厂界西侧与南侧交接点，正北方向为</w:t>
                  </w:r>
                  <w:r>
                    <w:rPr>
                      <w:rFonts w:hint="eastAsia"/>
                      <w:color w:val="auto"/>
                      <w:sz w:val="21"/>
                      <w:szCs w:val="21"/>
                      <w:lang w:val="en-US" w:eastAsia="zh-CN"/>
                    </w:rPr>
                    <w:t>X轴正方向，正东方向为Y轴正方向。</w:t>
                  </w:r>
                </w:p>
              </w:tc>
            </w:tr>
          </w:tbl>
          <w:p>
            <w:pPr>
              <w:pStyle w:val="83"/>
              <w:spacing w:before="120"/>
              <w:rPr>
                <w:color w:val="auto"/>
              </w:rPr>
            </w:pPr>
            <w:r>
              <w:rPr>
                <w:rFonts w:hint="eastAsia"/>
                <w:color w:val="auto"/>
              </w:rPr>
              <w:t>表4-</w:t>
            </w:r>
            <w:r>
              <w:rPr>
                <w:rFonts w:hint="eastAsia"/>
                <w:color w:val="auto"/>
                <w:lang w:val="en-US" w:eastAsia="zh-CN"/>
              </w:rPr>
              <w:t>21</w:t>
            </w:r>
            <w:r>
              <w:rPr>
                <w:rFonts w:hint="eastAsia"/>
                <w:color w:val="auto"/>
              </w:rPr>
              <w:t xml:space="preserve">  噪声源强调查清单（室外声源）</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8"/>
              <w:gridCol w:w="2413"/>
              <w:gridCol w:w="2297"/>
              <w:gridCol w:w="945"/>
              <w:gridCol w:w="914"/>
              <w:gridCol w:w="971"/>
              <w:gridCol w:w="1420"/>
              <w:gridCol w:w="1835"/>
              <w:gridCol w:w="14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vMerge w:val="restar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序号</w:t>
                  </w:r>
                </w:p>
              </w:tc>
              <w:tc>
                <w:tcPr>
                  <w:tcW w:w="930" w:type="pct"/>
                  <w:vMerge w:val="restar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声源名称</w:t>
                  </w:r>
                </w:p>
              </w:tc>
              <w:tc>
                <w:tcPr>
                  <w:tcW w:w="885" w:type="pct"/>
                  <w:vMerge w:val="restar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型号</w:t>
                  </w:r>
                </w:p>
              </w:tc>
              <w:tc>
                <w:tcPr>
                  <w:tcW w:w="1090" w:type="pct"/>
                  <w:gridSpan w:val="3"/>
                  <w:tcBorders>
                    <w:tl2br w:val="nil"/>
                    <w:tr2bl w:val="nil"/>
                  </w:tcBorders>
                  <w:vAlign w:val="center"/>
                </w:tcPr>
                <w:p>
                  <w:pPr>
                    <w:snapToGrid w:val="0"/>
                    <w:spacing w:line="240" w:lineRule="auto"/>
                    <w:jc w:val="center"/>
                    <w:rPr>
                      <w:rFonts w:hint="default" w:eastAsia="宋体"/>
                      <w:b/>
                      <w:bCs/>
                      <w:color w:val="auto"/>
                      <w:sz w:val="21"/>
                      <w:szCs w:val="21"/>
                      <w:lang w:val="en-US" w:eastAsia="zh-CN"/>
                    </w:rPr>
                  </w:pPr>
                  <w:r>
                    <w:rPr>
                      <w:rFonts w:hint="eastAsia"/>
                      <w:b/>
                      <w:bCs/>
                      <w:color w:val="auto"/>
                      <w:sz w:val="21"/>
                      <w:szCs w:val="21"/>
                      <w:lang w:eastAsia="zh-CN"/>
                    </w:rPr>
                    <w:t>空间相对位置</w:t>
                  </w:r>
                  <w:r>
                    <w:rPr>
                      <w:rFonts w:hint="eastAsia"/>
                      <w:b/>
                      <w:bCs/>
                      <w:color w:val="auto"/>
                      <w:sz w:val="21"/>
                      <w:szCs w:val="21"/>
                      <w:lang w:val="en-US" w:eastAsia="zh-CN"/>
                    </w:rPr>
                    <w:t>/m</w:t>
                  </w:r>
                </w:p>
              </w:tc>
              <w:tc>
                <w:tcPr>
                  <w:tcW w:w="547" w:type="pct"/>
                  <w:tcBorders>
                    <w:tl2br w:val="nil"/>
                    <w:tr2bl w:val="nil"/>
                  </w:tcBorders>
                  <w:vAlign w:val="center"/>
                </w:tcPr>
                <w:p>
                  <w:pPr>
                    <w:snapToGrid w:val="0"/>
                    <w:spacing w:line="240" w:lineRule="auto"/>
                    <w:jc w:val="center"/>
                    <w:rPr>
                      <w:rFonts w:hint="eastAsia"/>
                      <w:b/>
                      <w:bCs/>
                      <w:color w:val="auto"/>
                      <w:sz w:val="21"/>
                      <w:szCs w:val="21"/>
                    </w:rPr>
                  </w:pPr>
                  <w:r>
                    <w:rPr>
                      <w:rFonts w:hint="eastAsia"/>
                      <w:b/>
                      <w:bCs/>
                      <w:color w:val="auto"/>
                      <w:sz w:val="21"/>
                      <w:szCs w:val="21"/>
                    </w:rPr>
                    <w:t>声源源强</w:t>
                  </w:r>
                </w:p>
              </w:tc>
              <w:tc>
                <w:tcPr>
                  <w:tcW w:w="707" w:type="pct"/>
                  <w:vMerge w:val="restar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声源控制措施</w:t>
                  </w:r>
                </w:p>
              </w:tc>
              <w:tc>
                <w:tcPr>
                  <w:tcW w:w="539" w:type="pct"/>
                  <w:vMerge w:val="restar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运行时段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vMerge w:val="continue"/>
                  <w:tcBorders>
                    <w:tl2br w:val="nil"/>
                    <w:tr2bl w:val="nil"/>
                  </w:tcBorders>
                  <w:vAlign w:val="center"/>
                </w:tcPr>
                <w:p>
                  <w:pPr>
                    <w:snapToGrid w:val="0"/>
                    <w:spacing w:line="240" w:lineRule="auto"/>
                    <w:jc w:val="center"/>
                    <w:rPr>
                      <w:color w:val="auto"/>
                      <w:sz w:val="21"/>
                      <w:szCs w:val="21"/>
                    </w:rPr>
                  </w:pPr>
                </w:p>
              </w:tc>
              <w:tc>
                <w:tcPr>
                  <w:tcW w:w="930" w:type="pct"/>
                  <w:vMerge w:val="continue"/>
                  <w:tcBorders>
                    <w:tl2br w:val="nil"/>
                    <w:tr2bl w:val="nil"/>
                  </w:tcBorders>
                  <w:vAlign w:val="center"/>
                </w:tcPr>
                <w:p>
                  <w:pPr>
                    <w:snapToGrid w:val="0"/>
                    <w:spacing w:line="240" w:lineRule="auto"/>
                    <w:jc w:val="center"/>
                    <w:rPr>
                      <w:color w:val="auto"/>
                      <w:sz w:val="21"/>
                      <w:szCs w:val="21"/>
                    </w:rPr>
                  </w:pPr>
                </w:p>
              </w:tc>
              <w:tc>
                <w:tcPr>
                  <w:tcW w:w="885" w:type="pct"/>
                  <w:vMerge w:val="continue"/>
                  <w:tcBorders>
                    <w:tl2br w:val="nil"/>
                    <w:tr2bl w:val="nil"/>
                  </w:tcBorders>
                  <w:vAlign w:val="center"/>
                </w:tcPr>
                <w:p>
                  <w:pPr>
                    <w:snapToGrid w:val="0"/>
                    <w:spacing w:line="240" w:lineRule="auto"/>
                    <w:jc w:val="center"/>
                    <w:rPr>
                      <w:color w:val="auto"/>
                      <w:sz w:val="21"/>
                      <w:szCs w:val="21"/>
                    </w:rPr>
                  </w:pPr>
                </w:p>
              </w:tc>
              <w:tc>
                <w:tcPr>
                  <w:tcW w:w="364" w:type="pct"/>
                  <w:tcBorders>
                    <w:tl2br w:val="nil"/>
                    <w:tr2bl w:val="nil"/>
                  </w:tcBorders>
                  <w:vAlign w:val="center"/>
                </w:tcPr>
                <w:p>
                  <w:pPr>
                    <w:snapToGrid w:val="0"/>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X</w:t>
                  </w:r>
                </w:p>
              </w:tc>
              <w:tc>
                <w:tcPr>
                  <w:tcW w:w="352" w:type="pct"/>
                  <w:tcBorders>
                    <w:tl2br w:val="nil"/>
                    <w:tr2bl w:val="nil"/>
                  </w:tcBorders>
                  <w:vAlign w:val="center"/>
                </w:tcPr>
                <w:p>
                  <w:pPr>
                    <w:snapToGrid w:val="0"/>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Y</w:t>
                  </w:r>
                </w:p>
              </w:tc>
              <w:tc>
                <w:tcPr>
                  <w:tcW w:w="374" w:type="pct"/>
                  <w:tcBorders>
                    <w:tl2br w:val="nil"/>
                    <w:tr2bl w:val="nil"/>
                  </w:tcBorders>
                  <w:vAlign w:val="center"/>
                </w:tcPr>
                <w:p>
                  <w:pPr>
                    <w:snapToGrid w:val="0"/>
                    <w:spacing w:line="240" w:lineRule="auto"/>
                    <w:jc w:val="center"/>
                    <w:rPr>
                      <w:rFonts w:hint="eastAsia" w:eastAsia="宋体"/>
                      <w:b/>
                      <w:bCs/>
                      <w:color w:val="auto"/>
                      <w:sz w:val="21"/>
                      <w:szCs w:val="21"/>
                      <w:lang w:val="en-US" w:eastAsia="zh-CN"/>
                    </w:rPr>
                  </w:pPr>
                  <w:r>
                    <w:rPr>
                      <w:rFonts w:hint="eastAsia"/>
                      <w:b/>
                      <w:bCs/>
                      <w:color w:val="auto"/>
                      <w:sz w:val="21"/>
                      <w:szCs w:val="21"/>
                      <w:lang w:val="en-US" w:eastAsia="zh-CN"/>
                    </w:rPr>
                    <w:t>Z</w:t>
                  </w:r>
                </w:p>
              </w:tc>
              <w:tc>
                <w:tcPr>
                  <w:tcW w:w="547" w:type="pct"/>
                  <w:tcBorders>
                    <w:tl2br w:val="nil"/>
                    <w:tr2bl w:val="nil"/>
                  </w:tcBorders>
                  <w:vAlign w:val="center"/>
                </w:tcPr>
                <w:p>
                  <w:pPr>
                    <w:snapToGrid w:val="0"/>
                    <w:spacing w:line="240" w:lineRule="auto"/>
                    <w:jc w:val="center"/>
                    <w:rPr>
                      <w:rFonts w:hint="eastAsia" w:eastAsia="宋体"/>
                      <w:b/>
                      <w:bCs/>
                      <w:color w:val="auto"/>
                      <w:sz w:val="21"/>
                      <w:szCs w:val="21"/>
                      <w:lang w:eastAsia="zh-CN"/>
                    </w:rPr>
                  </w:pPr>
                  <w:r>
                    <w:rPr>
                      <w:rFonts w:hint="eastAsia"/>
                      <w:b/>
                      <w:bCs/>
                      <w:color w:val="auto"/>
                      <w:sz w:val="21"/>
                      <w:szCs w:val="21"/>
                      <w:lang w:eastAsia="zh-CN"/>
                    </w:rPr>
                    <w:t>声功率级</w:t>
                  </w:r>
                  <w:r>
                    <w:rPr>
                      <w:rFonts w:hint="eastAsia"/>
                      <w:b/>
                      <w:bCs/>
                      <w:color w:val="auto"/>
                      <w:sz w:val="21"/>
                      <w:szCs w:val="21"/>
                    </w:rPr>
                    <w:t>/dB(A)</w:t>
                  </w:r>
                </w:p>
              </w:tc>
              <w:tc>
                <w:tcPr>
                  <w:tcW w:w="707" w:type="pct"/>
                  <w:vMerge w:val="continue"/>
                  <w:tcBorders>
                    <w:tl2br w:val="nil"/>
                    <w:tr2bl w:val="nil"/>
                  </w:tcBorders>
                  <w:vAlign w:val="center"/>
                </w:tcPr>
                <w:p>
                  <w:pPr>
                    <w:snapToGrid w:val="0"/>
                    <w:spacing w:line="240" w:lineRule="auto"/>
                    <w:jc w:val="center"/>
                    <w:rPr>
                      <w:b/>
                      <w:bCs/>
                      <w:color w:val="auto"/>
                      <w:sz w:val="21"/>
                      <w:szCs w:val="21"/>
                    </w:rPr>
                  </w:pPr>
                </w:p>
              </w:tc>
              <w:tc>
                <w:tcPr>
                  <w:tcW w:w="539" w:type="pct"/>
                  <w:vMerge w:val="continue"/>
                  <w:tcBorders>
                    <w:tl2br w:val="nil"/>
                    <w:tr2bl w:val="nil"/>
                  </w:tcBorders>
                  <w:vAlign w:val="center"/>
                </w:tcPr>
                <w:p>
                  <w:pPr>
                    <w:snapToGrid w:val="0"/>
                    <w:spacing w:line="240" w:lineRule="auto"/>
                    <w:jc w:val="center"/>
                    <w:rPr>
                      <w:b/>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1</w:t>
                  </w:r>
                </w:p>
              </w:tc>
              <w:tc>
                <w:tcPr>
                  <w:tcW w:w="930"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eastAsia="zh-CN"/>
                    </w:rPr>
                    <w:t>洁净车间送风风机</w:t>
                  </w:r>
                </w:p>
              </w:tc>
              <w:tc>
                <w:tcPr>
                  <w:tcW w:w="885"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风机风量</w:t>
                  </w:r>
                  <w:r>
                    <w:rPr>
                      <w:rFonts w:hint="eastAsia"/>
                      <w:color w:val="auto"/>
                      <w:sz w:val="21"/>
                      <w:szCs w:val="21"/>
                      <w:lang w:val="en-US" w:eastAsia="zh-CN"/>
                    </w:rPr>
                    <w:t>9000m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352" w:type="pct"/>
                  <w:tcBorders>
                    <w:tl2br w:val="nil"/>
                    <w:tr2bl w:val="nil"/>
                  </w:tcBorders>
                  <w:vAlign w:val="center"/>
                </w:tcPr>
                <w:p>
                  <w:pPr>
                    <w:snapToGrid w:val="0"/>
                    <w:spacing w:before="20" w:after="2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45</w:t>
                  </w:r>
                </w:p>
              </w:tc>
              <w:tc>
                <w:tcPr>
                  <w:tcW w:w="374" w:type="pct"/>
                  <w:tcBorders>
                    <w:tl2br w:val="nil"/>
                    <w:tr2bl w:val="nil"/>
                  </w:tcBorders>
                  <w:vAlign w:val="center"/>
                </w:tcPr>
                <w:p>
                  <w:pPr>
                    <w:snapToGrid w:val="0"/>
                    <w:spacing w:line="240" w:lineRule="auto"/>
                    <w:jc w:val="center"/>
                    <w:rPr>
                      <w:rFonts w:hint="default"/>
                      <w:color w:val="auto"/>
                      <w:sz w:val="21"/>
                      <w:szCs w:val="21"/>
                      <w:lang w:val="en-US" w:eastAsia="zh-CN"/>
                    </w:rPr>
                  </w:pPr>
                  <w:r>
                    <w:rPr>
                      <w:rFonts w:hint="eastAsia"/>
                      <w:color w:val="auto"/>
                      <w:sz w:val="21"/>
                      <w:szCs w:val="21"/>
                      <w:lang w:val="en-US" w:eastAsia="zh-CN"/>
                    </w:rPr>
                    <w:t>0</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707"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val="en-US" w:eastAsia="zh-CN"/>
                    </w:rPr>
                    <w:t>合理布局、加装隔声罩、</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jc w:val="center"/>
                    <w:rPr>
                      <w:rFonts w:hint="eastAsia" w:eastAsia="宋体"/>
                      <w:color w:val="auto"/>
                      <w:sz w:val="21"/>
                      <w:szCs w:val="21"/>
                      <w:lang w:eastAsia="zh-CN"/>
                    </w:rPr>
                  </w:pPr>
                  <w:r>
                    <w:rPr>
                      <w:rFonts w:hint="eastAsia"/>
                      <w:color w:val="auto"/>
                      <w:sz w:val="21"/>
                      <w:szCs w:val="21"/>
                      <w:lang w:eastAsia="zh-CN"/>
                    </w:rPr>
                    <w:t>昼间、夜间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2</w:t>
                  </w:r>
                </w:p>
              </w:tc>
              <w:tc>
                <w:tcPr>
                  <w:tcW w:w="930"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885" w:type="pct"/>
                  <w:tcBorders>
                    <w:tl2br w:val="nil"/>
                    <w:tr2bl w:val="nil"/>
                  </w:tcBorders>
                  <w:vAlign w:val="center"/>
                </w:tcPr>
                <w:p>
                  <w:pPr>
                    <w:spacing w:line="240" w:lineRule="auto"/>
                    <w:jc w:val="center"/>
                    <w:rPr>
                      <w:color w:val="auto"/>
                      <w:sz w:val="21"/>
                      <w:szCs w:val="21"/>
                    </w:rPr>
                  </w:pPr>
                  <w:r>
                    <w:rPr>
                      <w:rFonts w:hint="eastAsia"/>
                      <w:color w:val="auto"/>
                      <w:sz w:val="21"/>
                      <w:szCs w:val="21"/>
                    </w:rPr>
                    <w:t>风机风量</w:t>
                  </w:r>
                  <w:r>
                    <w:rPr>
                      <w:rFonts w:hint="eastAsia"/>
                      <w:color w:val="auto"/>
                      <w:sz w:val="21"/>
                      <w:szCs w:val="21"/>
                      <w:lang w:val="en-US" w:eastAsia="zh-CN"/>
                    </w:rPr>
                    <w:t>6870m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color w:val="auto"/>
                      <w:sz w:val="21"/>
                      <w:szCs w:val="21"/>
                      <w:lang w:val="en-US"/>
                    </w:rPr>
                  </w:pPr>
                  <w:r>
                    <w:rPr>
                      <w:rFonts w:hint="eastAsia"/>
                      <w:color w:val="auto"/>
                      <w:sz w:val="21"/>
                      <w:szCs w:val="21"/>
                      <w:lang w:val="en-US" w:eastAsia="zh-CN"/>
                    </w:rPr>
                    <w:t>18</w:t>
                  </w:r>
                </w:p>
              </w:tc>
              <w:tc>
                <w:tcPr>
                  <w:tcW w:w="352" w:type="pct"/>
                  <w:tcBorders>
                    <w:tl2br w:val="nil"/>
                    <w:tr2bl w:val="nil"/>
                  </w:tcBorders>
                  <w:vAlign w:val="center"/>
                </w:tcPr>
                <w:p>
                  <w:pPr>
                    <w:snapToGrid w:val="0"/>
                    <w:spacing w:before="20" w:after="2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45</w:t>
                  </w:r>
                </w:p>
              </w:tc>
              <w:tc>
                <w:tcPr>
                  <w:tcW w:w="374" w:type="pct"/>
                  <w:tcBorders>
                    <w:tl2br w:val="nil"/>
                    <w:tr2bl w:val="nil"/>
                  </w:tcBorders>
                  <w:vAlign w:val="center"/>
                </w:tcPr>
                <w:p>
                  <w:pPr>
                    <w:snapToGrid w:val="0"/>
                    <w:spacing w:line="240" w:lineRule="auto"/>
                    <w:jc w:val="center"/>
                    <w:rPr>
                      <w:rFonts w:hint="default"/>
                      <w:color w:val="auto"/>
                      <w:sz w:val="21"/>
                      <w:szCs w:val="21"/>
                      <w:lang w:val="en-US" w:eastAsia="zh-CN"/>
                    </w:rPr>
                  </w:pPr>
                  <w:r>
                    <w:rPr>
                      <w:rFonts w:hint="eastAsia"/>
                      <w:color w:val="auto"/>
                      <w:sz w:val="21"/>
                      <w:szCs w:val="21"/>
                      <w:lang w:val="en-US" w:eastAsia="zh-CN"/>
                    </w:rPr>
                    <w:t>0</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707"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val="en-US" w:eastAsia="zh-CN"/>
                    </w:rPr>
                    <w:t>合理布局、加装隔声罩、</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ind w:firstLine="0" w:firstLineChars="0"/>
                    <w:jc w:val="center"/>
                    <w:rPr>
                      <w:color w:val="auto"/>
                      <w:sz w:val="21"/>
                      <w:szCs w:val="21"/>
                    </w:rPr>
                  </w:pPr>
                  <w:r>
                    <w:rPr>
                      <w:rFonts w:hint="eastAsia"/>
                      <w:color w:val="auto"/>
                      <w:sz w:val="21"/>
                      <w:szCs w:val="21"/>
                      <w:lang w:eastAsia="zh-CN"/>
                    </w:rPr>
                    <w:t>昼间、夜间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3</w:t>
                  </w:r>
                </w:p>
              </w:tc>
              <w:tc>
                <w:tcPr>
                  <w:tcW w:w="930" w:type="pct"/>
                  <w:tcBorders>
                    <w:tl2br w:val="nil"/>
                    <w:tr2bl w:val="nil"/>
                  </w:tcBorders>
                  <w:vAlign w:val="center"/>
                </w:tcPr>
                <w:p>
                  <w:pPr>
                    <w:snapToGrid w:val="0"/>
                    <w:spacing w:line="240" w:lineRule="auto"/>
                    <w:jc w:val="center"/>
                    <w:rPr>
                      <w:rFonts w:hint="eastAsia"/>
                      <w:color w:val="auto"/>
                      <w:sz w:val="21"/>
                      <w:szCs w:val="21"/>
                      <w:lang w:val="en-US" w:eastAsia="zh-CN"/>
                    </w:rPr>
                  </w:pPr>
                  <w:r>
                    <w:rPr>
                      <w:rFonts w:hint="eastAsia"/>
                      <w:color w:val="auto"/>
                      <w:sz w:val="21"/>
                      <w:szCs w:val="21"/>
                      <w:lang w:eastAsia="zh-CN"/>
                    </w:rPr>
                    <w:t>洁净车间送风风机</w:t>
                  </w:r>
                </w:p>
              </w:tc>
              <w:tc>
                <w:tcPr>
                  <w:tcW w:w="885" w:type="pct"/>
                  <w:tcBorders>
                    <w:tl2br w:val="nil"/>
                    <w:tr2bl w:val="nil"/>
                  </w:tcBorders>
                  <w:vAlign w:val="center"/>
                </w:tcPr>
                <w:p>
                  <w:pPr>
                    <w:spacing w:line="240" w:lineRule="auto"/>
                    <w:jc w:val="center"/>
                    <w:rPr>
                      <w:rFonts w:hint="eastAsia"/>
                      <w:color w:val="auto"/>
                      <w:sz w:val="21"/>
                      <w:szCs w:val="21"/>
                    </w:rPr>
                  </w:pPr>
                  <w:r>
                    <w:rPr>
                      <w:rFonts w:hint="eastAsia"/>
                      <w:color w:val="auto"/>
                      <w:sz w:val="21"/>
                      <w:szCs w:val="21"/>
                    </w:rPr>
                    <w:t>风机风量</w:t>
                  </w:r>
                  <w:r>
                    <w:rPr>
                      <w:rFonts w:hint="eastAsia"/>
                      <w:color w:val="auto"/>
                      <w:sz w:val="21"/>
                      <w:szCs w:val="21"/>
                      <w:lang w:val="en-US" w:eastAsia="zh-CN"/>
                    </w:rPr>
                    <w:t>5100m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352" w:type="pct"/>
                  <w:tcBorders>
                    <w:tl2br w:val="nil"/>
                    <w:tr2bl w:val="nil"/>
                  </w:tcBorders>
                  <w:vAlign w:val="center"/>
                </w:tcPr>
                <w:p>
                  <w:pPr>
                    <w:snapToGrid w:val="0"/>
                    <w:spacing w:before="20" w:after="2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45</w:t>
                  </w:r>
                </w:p>
              </w:tc>
              <w:tc>
                <w:tcPr>
                  <w:tcW w:w="374" w:type="pct"/>
                  <w:tcBorders>
                    <w:tl2br w:val="nil"/>
                    <w:tr2bl w:val="nil"/>
                  </w:tcBorders>
                  <w:vAlign w:val="center"/>
                </w:tcPr>
                <w:p>
                  <w:pPr>
                    <w:snapToGrid w:val="0"/>
                    <w:spacing w:line="240" w:lineRule="auto"/>
                    <w:jc w:val="center"/>
                    <w:rPr>
                      <w:rFonts w:hint="default"/>
                      <w:color w:val="auto"/>
                      <w:sz w:val="21"/>
                      <w:szCs w:val="21"/>
                      <w:lang w:val="en-US" w:eastAsia="zh-CN"/>
                    </w:rPr>
                  </w:pPr>
                  <w:r>
                    <w:rPr>
                      <w:rFonts w:hint="eastAsia"/>
                      <w:color w:val="auto"/>
                      <w:sz w:val="21"/>
                      <w:szCs w:val="21"/>
                      <w:lang w:val="en-US" w:eastAsia="zh-CN"/>
                    </w:rPr>
                    <w:t>0</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707"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val="en-US" w:eastAsia="zh-CN"/>
                    </w:rPr>
                    <w:t>合理布局、加装隔声罩、</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ind w:firstLine="0" w:firstLineChars="0"/>
                    <w:jc w:val="center"/>
                    <w:rPr>
                      <w:color w:val="auto"/>
                      <w:sz w:val="21"/>
                      <w:szCs w:val="21"/>
                    </w:rPr>
                  </w:pPr>
                  <w:r>
                    <w:rPr>
                      <w:rFonts w:hint="eastAsia"/>
                      <w:color w:val="auto"/>
                      <w:sz w:val="21"/>
                      <w:szCs w:val="21"/>
                      <w:lang w:eastAsia="zh-CN"/>
                    </w:rPr>
                    <w:t>昼间、夜间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4</w:t>
                  </w:r>
                </w:p>
              </w:tc>
              <w:tc>
                <w:tcPr>
                  <w:tcW w:w="930" w:type="pct"/>
                  <w:tcBorders>
                    <w:tl2br w:val="nil"/>
                    <w:tr2bl w:val="nil"/>
                  </w:tcBorders>
                  <w:vAlign w:val="center"/>
                </w:tcPr>
                <w:p>
                  <w:pPr>
                    <w:snapToGrid w:val="0"/>
                    <w:spacing w:line="240" w:lineRule="auto"/>
                    <w:jc w:val="center"/>
                    <w:rPr>
                      <w:rFonts w:hint="eastAsia"/>
                      <w:color w:val="auto"/>
                      <w:sz w:val="21"/>
                      <w:szCs w:val="21"/>
                      <w:lang w:eastAsia="zh-CN"/>
                    </w:rPr>
                  </w:pPr>
                  <w:r>
                    <w:rPr>
                      <w:rFonts w:hint="eastAsia"/>
                      <w:color w:val="auto"/>
                      <w:sz w:val="21"/>
                      <w:szCs w:val="21"/>
                      <w:lang w:eastAsia="zh-CN"/>
                    </w:rPr>
                    <w:t>洁净车间</w:t>
                  </w:r>
                  <w:r>
                    <w:rPr>
                      <w:rFonts w:hint="eastAsia"/>
                      <w:color w:val="auto"/>
                      <w:sz w:val="21"/>
                      <w:szCs w:val="21"/>
                      <w:lang w:val="en-US" w:eastAsia="zh-CN"/>
                    </w:rPr>
                    <w:t>排风风机</w:t>
                  </w:r>
                </w:p>
              </w:tc>
              <w:tc>
                <w:tcPr>
                  <w:tcW w:w="885" w:type="pct"/>
                  <w:tcBorders>
                    <w:tl2br w:val="nil"/>
                    <w:tr2bl w:val="nil"/>
                  </w:tcBorders>
                  <w:vAlign w:val="center"/>
                </w:tcPr>
                <w:p>
                  <w:pPr>
                    <w:spacing w:line="240" w:lineRule="auto"/>
                    <w:jc w:val="center"/>
                    <w:rPr>
                      <w:rFonts w:hint="eastAsia"/>
                      <w:color w:val="auto"/>
                      <w:sz w:val="21"/>
                      <w:szCs w:val="21"/>
                      <w:lang w:val="en-US" w:eastAsia="zh-CN"/>
                    </w:rPr>
                  </w:pPr>
                  <w:r>
                    <w:rPr>
                      <w:rFonts w:hint="eastAsia"/>
                      <w:color w:val="auto"/>
                      <w:sz w:val="21"/>
                      <w:szCs w:val="21"/>
                    </w:rPr>
                    <w:t>风机风量</w:t>
                  </w:r>
                  <w:r>
                    <w:rPr>
                      <w:rFonts w:hint="eastAsia"/>
                      <w:color w:val="auto"/>
                      <w:sz w:val="21"/>
                      <w:szCs w:val="21"/>
                      <w:lang w:val="en-US" w:eastAsia="zh-CN"/>
                    </w:rPr>
                    <w:t>4060m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18</w:t>
                  </w:r>
                </w:p>
              </w:tc>
              <w:tc>
                <w:tcPr>
                  <w:tcW w:w="352" w:type="pct"/>
                  <w:tcBorders>
                    <w:tl2br w:val="nil"/>
                    <w:tr2bl w:val="nil"/>
                  </w:tcBorders>
                  <w:vAlign w:val="center"/>
                </w:tcPr>
                <w:p>
                  <w:pPr>
                    <w:snapToGrid w:val="0"/>
                    <w:spacing w:before="20" w:after="2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45</w:t>
                  </w:r>
                </w:p>
              </w:tc>
              <w:tc>
                <w:tcPr>
                  <w:tcW w:w="374" w:type="pct"/>
                  <w:tcBorders>
                    <w:tl2br w:val="nil"/>
                    <w:tr2bl w:val="nil"/>
                  </w:tcBorders>
                  <w:vAlign w:val="center"/>
                </w:tcPr>
                <w:p>
                  <w:pPr>
                    <w:snapToGrid w:val="0"/>
                    <w:spacing w:line="240" w:lineRule="auto"/>
                    <w:jc w:val="center"/>
                    <w:rPr>
                      <w:rFonts w:hint="default"/>
                      <w:color w:val="auto"/>
                      <w:sz w:val="21"/>
                      <w:szCs w:val="21"/>
                      <w:lang w:val="en-US" w:eastAsia="zh-CN"/>
                    </w:rPr>
                  </w:pPr>
                  <w:r>
                    <w:rPr>
                      <w:rFonts w:hint="eastAsia"/>
                      <w:color w:val="auto"/>
                      <w:sz w:val="21"/>
                      <w:szCs w:val="21"/>
                      <w:lang w:val="en-US" w:eastAsia="zh-CN"/>
                    </w:rPr>
                    <w:t>0</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707"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lang w:val="en-US" w:eastAsia="zh-CN"/>
                    </w:rPr>
                    <w:t>合理布局、加装隔声罩、</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ind w:firstLine="0" w:firstLineChars="0"/>
                    <w:jc w:val="center"/>
                    <w:rPr>
                      <w:color w:val="auto"/>
                      <w:sz w:val="21"/>
                      <w:szCs w:val="21"/>
                    </w:rPr>
                  </w:pPr>
                  <w:r>
                    <w:rPr>
                      <w:rFonts w:hint="eastAsia"/>
                      <w:color w:val="auto"/>
                      <w:sz w:val="21"/>
                      <w:szCs w:val="21"/>
                      <w:lang w:eastAsia="zh-CN"/>
                    </w:rPr>
                    <w:t>昼间、夜间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rFonts w:hint="default" w:eastAsia="宋体"/>
                      <w:color w:val="auto"/>
                      <w:sz w:val="21"/>
                      <w:szCs w:val="21"/>
                      <w:lang w:val="en-US" w:eastAsia="zh-CN"/>
                    </w:rPr>
                  </w:pPr>
                  <w:r>
                    <w:rPr>
                      <w:rFonts w:hint="eastAsia"/>
                      <w:color w:val="auto"/>
                      <w:sz w:val="21"/>
                      <w:szCs w:val="21"/>
                      <w:lang w:val="en-US" w:eastAsia="zh-CN"/>
                    </w:rPr>
                    <w:t>5</w:t>
                  </w:r>
                </w:p>
              </w:tc>
              <w:tc>
                <w:tcPr>
                  <w:tcW w:w="930" w:type="pc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环保设备风机</w:t>
                  </w:r>
                </w:p>
              </w:tc>
              <w:tc>
                <w:tcPr>
                  <w:tcW w:w="885" w:type="pct"/>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rPr>
                    <w:t>风机风量</w:t>
                  </w:r>
                  <w:r>
                    <w:rPr>
                      <w:rFonts w:hint="eastAsia"/>
                      <w:color w:val="auto"/>
                      <w:sz w:val="21"/>
                      <w:szCs w:val="21"/>
                      <w:lang w:val="en-US" w:eastAsia="zh-CN"/>
                    </w:rPr>
                    <w:t>23000m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15</w:t>
                  </w:r>
                </w:p>
              </w:tc>
              <w:tc>
                <w:tcPr>
                  <w:tcW w:w="352" w:type="pct"/>
                  <w:tcBorders>
                    <w:tl2br w:val="nil"/>
                    <w:tr2bl w:val="nil"/>
                  </w:tcBorders>
                  <w:vAlign w:val="center"/>
                </w:tcPr>
                <w:p>
                  <w:pPr>
                    <w:pStyle w:val="12"/>
                    <w:snapToGrid w:val="0"/>
                    <w:spacing w:before="20" w:after="2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40</w:t>
                  </w:r>
                </w:p>
              </w:tc>
              <w:tc>
                <w:tcPr>
                  <w:tcW w:w="374" w:type="pc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w:t>
                  </w:r>
                </w:p>
              </w:tc>
              <w:tc>
                <w:tcPr>
                  <w:tcW w:w="707" w:type="pct"/>
                  <w:tcBorders>
                    <w:tl2br w:val="nil"/>
                    <w:tr2bl w:val="nil"/>
                  </w:tcBorders>
                  <w:vAlign w:val="center"/>
                </w:tcPr>
                <w:p>
                  <w:pPr>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合理布局、加装隔声罩、</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ind w:firstLine="0" w:firstLineChars="0"/>
                    <w:jc w:val="center"/>
                    <w:rPr>
                      <w:rFonts w:ascii="Times New Roman" w:hAnsi="Times New Roman" w:eastAsia="宋体" w:cs="Times New Roman"/>
                      <w:color w:val="auto"/>
                      <w:kern w:val="2"/>
                      <w:sz w:val="21"/>
                      <w:szCs w:val="21"/>
                      <w:lang w:val="en-US" w:eastAsia="zh-CN" w:bidi="ar-SA"/>
                    </w:rPr>
                  </w:pPr>
                  <w:r>
                    <w:rPr>
                      <w:rFonts w:hint="eastAsia"/>
                      <w:color w:val="auto"/>
                      <w:sz w:val="21"/>
                      <w:szCs w:val="21"/>
                      <w:lang w:eastAsia="zh-CN"/>
                    </w:rPr>
                    <w:t>昼间、夜间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00" w:type="pct"/>
                  <w:tcBorders>
                    <w:tl2br w:val="nil"/>
                    <w:tr2bl w:val="nil"/>
                  </w:tcBorders>
                  <w:vAlign w:val="center"/>
                </w:tcPr>
                <w:p>
                  <w:pPr>
                    <w:snapToGrid w:val="0"/>
                    <w:spacing w:line="240" w:lineRule="auto"/>
                    <w:jc w:val="center"/>
                    <w:rPr>
                      <w:rFonts w:hint="eastAsia" w:eastAsia="宋体"/>
                      <w:color w:val="auto"/>
                      <w:sz w:val="21"/>
                      <w:szCs w:val="21"/>
                      <w:lang w:val="en-US" w:eastAsia="zh-CN"/>
                    </w:rPr>
                  </w:pPr>
                  <w:r>
                    <w:rPr>
                      <w:rFonts w:hint="eastAsia"/>
                      <w:color w:val="auto"/>
                      <w:sz w:val="21"/>
                      <w:szCs w:val="21"/>
                      <w:lang w:val="en-US" w:eastAsia="zh-CN"/>
                    </w:rPr>
                    <w:t>6</w:t>
                  </w:r>
                </w:p>
              </w:tc>
              <w:tc>
                <w:tcPr>
                  <w:tcW w:w="930"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病理实验室排风风机</w:t>
                  </w:r>
                </w:p>
              </w:tc>
              <w:tc>
                <w:tcPr>
                  <w:tcW w:w="885" w:type="pct"/>
                  <w:tcBorders>
                    <w:tl2br w:val="nil"/>
                    <w:tr2bl w:val="nil"/>
                  </w:tcBorders>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rPr>
                    <w:t>风机风量</w:t>
                  </w:r>
                  <w:r>
                    <w:rPr>
                      <w:rFonts w:hint="eastAsia"/>
                      <w:color w:val="auto"/>
                      <w:sz w:val="21"/>
                      <w:szCs w:val="21"/>
                      <w:lang w:val="en-US" w:eastAsia="zh-CN"/>
                    </w:rPr>
                    <w:t>1700m</w:t>
                  </w:r>
                  <w:r>
                    <w:rPr>
                      <w:rFonts w:hint="eastAsia"/>
                      <w:color w:val="auto"/>
                      <w:sz w:val="21"/>
                      <w:szCs w:val="21"/>
                      <w:vertAlign w:val="superscript"/>
                      <w:lang w:val="en-US" w:eastAsia="zh-CN"/>
                    </w:rPr>
                    <w:t>3</w:t>
                  </w:r>
                  <w:r>
                    <w:rPr>
                      <w:rFonts w:hint="eastAsia"/>
                      <w:color w:val="auto"/>
                      <w:sz w:val="21"/>
                      <w:szCs w:val="21"/>
                      <w:lang w:val="en-US" w:eastAsia="zh-CN"/>
                    </w:rPr>
                    <w:t>/h</w:t>
                  </w:r>
                </w:p>
              </w:tc>
              <w:tc>
                <w:tcPr>
                  <w:tcW w:w="364" w:type="pct"/>
                  <w:tcBorders>
                    <w:tl2br w:val="nil"/>
                    <w:tr2bl w:val="nil"/>
                  </w:tcBorders>
                  <w:vAlign w:val="center"/>
                </w:tcPr>
                <w:p>
                  <w:pPr>
                    <w:snapToGrid w:val="0"/>
                    <w:spacing w:line="240" w:lineRule="auto"/>
                    <w:ind w:firstLine="0" w:firstLineChars="0"/>
                    <w:jc w:val="center"/>
                    <w:rPr>
                      <w:rFonts w:hint="default"/>
                      <w:color w:val="auto"/>
                      <w:sz w:val="21"/>
                      <w:szCs w:val="21"/>
                      <w:lang w:val="en-US"/>
                    </w:rPr>
                  </w:pPr>
                  <w:r>
                    <w:rPr>
                      <w:rFonts w:hint="eastAsia"/>
                      <w:color w:val="auto"/>
                      <w:sz w:val="21"/>
                      <w:szCs w:val="21"/>
                      <w:lang w:val="en-US" w:eastAsia="zh-CN"/>
                    </w:rPr>
                    <w:t>15</w:t>
                  </w:r>
                </w:p>
              </w:tc>
              <w:tc>
                <w:tcPr>
                  <w:tcW w:w="352" w:type="pct"/>
                  <w:tcBorders>
                    <w:tl2br w:val="nil"/>
                    <w:tr2bl w:val="nil"/>
                  </w:tcBorders>
                  <w:vAlign w:val="center"/>
                </w:tcPr>
                <w:p>
                  <w:pPr>
                    <w:snapToGrid w:val="0"/>
                    <w:spacing w:before="20" w:after="20"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45</w:t>
                  </w:r>
                </w:p>
              </w:tc>
              <w:tc>
                <w:tcPr>
                  <w:tcW w:w="374"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0</w:t>
                  </w:r>
                </w:p>
              </w:tc>
              <w:tc>
                <w:tcPr>
                  <w:tcW w:w="547"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70</w:t>
                  </w:r>
                </w:p>
              </w:tc>
              <w:tc>
                <w:tcPr>
                  <w:tcW w:w="707" w:type="pct"/>
                  <w:tcBorders>
                    <w:tl2br w:val="nil"/>
                    <w:tr2bl w:val="nil"/>
                  </w:tcBorders>
                  <w:vAlign w:val="center"/>
                </w:tcPr>
                <w:p>
                  <w:pPr>
                    <w:snapToGrid w:val="0"/>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合理布局、</w:t>
                  </w:r>
                  <w:r>
                    <w:rPr>
                      <w:rFonts w:hint="eastAsia"/>
                      <w:color w:val="auto"/>
                      <w:sz w:val="21"/>
                      <w:szCs w:val="21"/>
                      <w:lang w:eastAsia="zh-CN"/>
                    </w:rPr>
                    <w:t>软管连接</w:t>
                  </w:r>
                </w:p>
              </w:tc>
              <w:tc>
                <w:tcPr>
                  <w:tcW w:w="539" w:type="pct"/>
                  <w:tcBorders>
                    <w:tl2br w:val="nil"/>
                    <w:tr2bl w:val="nil"/>
                  </w:tcBorders>
                  <w:vAlign w:val="center"/>
                </w:tcPr>
                <w:p>
                  <w:pPr>
                    <w:snapToGrid w:val="0"/>
                    <w:spacing w:line="240" w:lineRule="auto"/>
                    <w:ind w:firstLine="0" w:firstLineChars="0"/>
                    <w:jc w:val="center"/>
                    <w:rPr>
                      <w:color w:val="auto"/>
                      <w:sz w:val="21"/>
                      <w:szCs w:val="21"/>
                    </w:rPr>
                  </w:pPr>
                  <w:r>
                    <w:rPr>
                      <w:rFonts w:hint="eastAsia"/>
                      <w:color w:val="auto"/>
                      <w:sz w:val="21"/>
                      <w:szCs w:val="21"/>
                      <w:lang w:eastAsia="zh-CN"/>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000" w:type="pct"/>
                  <w:gridSpan w:val="9"/>
                  <w:tcBorders>
                    <w:tl2br w:val="nil"/>
                    <w:tr2bl w:val="nil"/>
                  </w:tcBorders>
                  <w:vAlign w:val="center"/>
                </w:tcPr>
                <w:p>
                  <w:pPr>
                    <w:snapToGrid w:val="0"/>
                    <w:spacing w:line="240" w:lineRule="auto"/>
                    <w:jc w:val="left"/>
                    <w:rPr>
                      <w:rFonts w:hint="default" w:eastAsia="宋体"/>
                      <w:color w:val="auto"/>
                      <w:sz w:val="21"/>
                      <w:szCs w:val="21"/>
                      <w:lang w:val="en-US" w:eastAsia="zh-CN"/>
                    </w:rPr>
                  </w:pPr>
                  <w:r>
                    <w:rPr>
                      <w:rFonts w:hint="eastAsia"/>
                      <w:color w:val="auto"/>
                      <w:sz w:val="21"/>
                      <w:szCs w:val="21"/>
                      <w:lang w:eastAsia="zh-CN"/>
                    </w:rPr>
                    <w:t>坐标原点为厂界西侧与南侧交接点，正北方向为</w:t>
                  </w:r>
                  <w:r>
                    <w:rPr>
                      <w:rFonts w:hint="eastAsia"/>
                      <w:color w:val="auto"/>
                      <w:sz w:val="21"/>
                      <w:szCs w:val="21"/>
                      <w:lang w:val="en-US" w:eastAsia="zh-CN"/>
                    </w:rPr>
                    <w:t>X轴正方向，正东方向为Y轴正方向。</w:t>
                  </w:r>
                </w:p>
              </w:tc>
            </w:tr>
          </w:tbl>
          <w:p>
            <w:pPr>
              <w:pStyle w:val="8"/>
              <w:adjustRightInd w:val="0"/>
              <w:snapToGrid w:val="0"/>
              <w:spacing w:line="360" w:lineRule="auto"/>
              <w:ind w:firstLineChars="175"/>
              <w:rPr>
                <w:rFonts w:hint="eastAsia"/>
                <w:color w:val="auto"/>
              </w:rPr>
            </w:pPr>
            <w:r>
              <w:rPr>
                <w:rFonts w:hint="eastAsia"/>
                <w:color w:val="auto"/>
              </w:rPr>
              <w:t>各生产设备选取低噪声设备，采用减</w:t>
            </w:r>
            <w:r>
              <w:rPr>
                <w:rFonts w:hint="eastAsia"/>
                <w:color w:val="auto"/>
                <w:lang w:val="en-US" w:eastAsia="zh-CN"/>
              </w:rPr>
              <w:t>振</w:t>
            </w:r>
            <w:r>
              <w:rPr>
                <w:rFonts w:hint="eastAsia"/>
                <w:color w:val="auto"/>
              </w:rPr>
              <w:t>降噪措施，墙体隔声等措施</w:t>
            </w:r>
            <w:r>
              <w:rPr>
                <w:color w:val="auto"/>
              </w:rPr>
              <w:t>。</w:t>
            </w:r>
            <w:r>
              <w:rPr>
                <w:rFonts w:hint="eastAsia"/>
                <w:color w:val="auto"/>
              </w:rPr>
              <w:t>本评价采用噪声距离衰减和叠加模式计算厂界的噪声值。依据本项目主要噪声源强，以所有产噪设备同时投入使用计算本项目厂界噪声影响最大值，预测本项目实施后厂界声环境的噪声水平，有关预测模式如下：</w:t>
            </w:r>
          </w:p>
          <w:p>
            <w:pPr>
              <w:pStyle w:val="9"/>
              <w:spacing w:before="0" w:after="0"/>
              <w:ind w:firstLine="482" w:firstLineChars="200"/>
              <w:rPr>
                <w:rFonts w:hint="eastAsia" w:ascii="Times New Roman" w:hAnsi="Times New Roman" w:eastAsia="宋体"/>
                <w:b/>
                <w:bCs/>
                <w:caps w:val="0"/>
                <w:color w:val="auto"/>
                <w:sz w:val="24"/>
                <w:szCs w:val="24"/>
                <w:highlight w:val="none"/>
                <w:lang w:eastAsia="zh-CN"/>
              </w:rPr>
            </w:pPr>
            <w:r>
              <w:rPr>
                <w:rFonts w:hint="eastAsia" w:ascii="Times New Roman" w:hAnsi="Times New Roman"/>
                <w:b/>
                <w:bCs/>
                <w:caps w:val="0"/>
                <w:color w:val="auto"/>
                <w:sz w:val="24"/>
                <w:szCs w:val="24"/>
                <w:highlight w:val="none"/>
              </w:rPr>
              <w:t>（1）室内声源等效室外声源声功率级计算方法</w:t>
            </w:r>
            <w:r>
              <w:rPr>
                <w:rFonts w:hint="eastAsia"/>
                <w:b/>
                <w:bCs/>
                <w:caps w:val="0"/>
                <w:color w:val="auto"/>
                <w:sz w:val="24"/>
                <w:szCs w:val="24"/>
                <w:highlight w:val="none"/>
                <w:lang w:eastAsia="zh-CN"/>
              </w:rPr>
              <w:t>：</w:t>
            </w:r>
          </w:p>
          <w:p>
            <w:pPr>
              <w:rPr>
                <w:rFonts w:hAnsi="Cambria Math"/>
                <w:color w:val="auto"/>
                <w:highlight w:val="none"/>
              </w:rPr>
            </w:pPr>
            <m:oMathPara>
              <m:oMath>
                <m:sSub>
                  <m:sSubPr>
                    <m:ctrlPr>
                      <w:rPr>
                        <w:rFonts w:ascii="Cambria Math" w:hAnsi="Cambria Math"/>
                        <w:color w:val="auto"/>
                        <w:highlight w:val="none"/>
                      </w:rPr>
                    </m:ctrlPr>
                  </m:sSubPr>
                  <m:e>
                    <m:r>
                      <m:rPr>
                        <m:sty m:val="p"/>
                      </m:rPr>
                      <w:rPr>
                        <w:rFonts w:ascii="Cambria Math" w:hAnsi="Cambria Math"/>
                        <w:color w:val="auto"/>
                        <w:highlight w:val="none"/>
                      </w:rPr>
                      <m:t>Lp</m:t>
                    </m:r>
                    <m:ctrlPr>
                      <w:rPr>
                        <w:rFonts w:ascii="Cambria Math" w:hAnsi="Cambria Math"/>
                        <w:color w:val="auto"/>
                        <w:highlight w:val="none"/>
                      </w:rPr>
                    </m:ctrlPr>
                  </m:e>
                  <m:sub>
                    <m:r>
                      <m:rPr>
                        <m:sty m:val="p"/>
                      </m:rPr>
                      <w:rPr>
                        <w:rFonts w:ascii="Cambria Math" w:hAnsi="Cambria Math"/>
                        <w:color w:val="auto"/>
                        <w:highlight w:val="none"/>
                      </w:rPr>
                      <m:t>2</m:t>
                    </m:r>
                    <m:ctrlPr>
                      <w:rPr>
                        <w:rFonts w:ascii="Cambria Math" w:hAnsi="Cambria Math"/>
                        <w:color w:val="auto"/>
                        <w:highlight w:val="none"/>
                      </w:rPr>
                    </m:ctrlPr>
                  </m:sub>
                </m:sSub>
                <m:r>
                  <m:rPr>
                    <m:sty m:val="p"/>
                  </m:rPr>
                  <w:rPr>
                    <w:rFonts w:ascii="Cambria Math" w:hAnsi="Cambria Math"/>
                    <w:color w:val="auto"/>
                    <w:highlight w:val="none"/>
                  </w:rPr>
                  <m:t>=</m:t>
                </m:r>
                <m:sSub>
                  <m:sSubPr>
                    <m:ctrlPr>
                      <w:rPr>
                        <w:rFonts w:ascii="Cambria Math" w:hAnsi="Cambria Math"/>
                        <w:color w:val="auto"/>
                        <w:highlight w:val="none"/>
                      </w:rPr>
                    </m:ctrlPr>
                  </m:sSubPr>
                  <m:e>
                    <m:r>
                      <m:rPr>
                        <m:sty m:val="p"/>
                      </m:rPr>
                      <w:rPr>
                        <w:rFonts w:ascii="Cambria Math" w:hAnsi="Cambria Math"/>
                        <w:color w:val="auto"/>
                        <w:highlight w:val="none"/>
                      </w:rPr>
                      <m:t>Lp</m:t>
                    </m:r>
                    <m:ctrlPr>
                      <w:rPr>
                        <w:rFonts w:ascii="Cambria Math" w:hAnsi="Cambria Math"/>
                        <w:color w:val="auto"/>
                        <w:highlight w:val="none"/>
                      </w:rPr>
                    </m:ctrlPr>
                  </m:e>
                  <m:sub>
                    <m:r>
                      <m:rPr>
                        <m:sty m:val="p"/>
                      </m:rPr>
                      <w:rPr>
                        <w:rFonts w:ascii="Cambria Math" w:hAnsi="Cambria Math"/>
                        <w:color w:val="auto"/>
                        <w:highlight w:val="none"/>
                      </w:rPr>
                      <m:t>1</m:t>
                    </m:r>
                    <m:ctrlPr>
                      <w:rPr>
                        <w:rFonts w:ascii="Cambria Math" w:hAnsi="Cambria Math"/>
                        <w:color w:val="auto"/>
                        <w:highlight w:val="none"/>
                      </w:rPr>
                    </m:ctrlPr>
                  </m:sub>
                </m:sSub>
                <m:r>
                  <m:rPr>
                    <m:sty m:val="p"/>
                  </m:rPr>
                  <w:rPr>
                    <w:rFonts w:ascii="Cambria Math" w:hAnsi="Cambria Math"/>
                    <w:color w:val="auto"/>
                    <w:highlight w:val="none"/>
                  </w:rPr>
                  <m:t>−(TL+6)</m:t>
                </m:r>
              </m:oMath>
            </m:oMathPara>
          </w:p>
          <w:p>
            <w:pPr>
              <w:ind w:firstLine="480" w:firstLineChars="200"/>
              <w:rPr>
                <w:color w:val="auto"/>
                <w:highlight w:val="none"/>
              </w:rPr>
            </w:pPr>
            <w:r>
              <w:rPr>
                <w:color w:val="auto"/>
                <w:highlight w:val="none"/>
              </w:rPr>
              <w:t>式中：L</w:t>
            </w:r>
            <w:r>
              <w:rPr>
                <w:rFonts w:hint="eastAsia"/>
                <w:color w:val="auto"/>
                <w:highlight w:val="none"/>
              </w:rPr>
              <w:t>p1</w:t>
            </w:r>
            <w:r>
              <w:rPr>
                <w:color w:val="auto"/>
                <w:highlight w:val="none"/>
              </w:rPr>
              <w:t>——靠近开口处（或窗户）室内某倍频带的声压级或A声级，dB；</w:t>
            </w:r>
          </w:p>
          <w:p>
            <w:pPr>
              <w:ind w:firstLine="480" w:firstLineChars="200"/>
              <w:rPr>
                <w:color w:val="auto"/>
                <w:highlight w:val="none"/>
              </w:rPr>
            </w:pPr>
            <w:r>
              <w:rPr>
                <w:color w:val="auto"/>
                <w:highlight w:val="none"/>
              </w:rPr>
              <w:t xml:space="preserve">     L</w:t>
            </w:r>
            <w:r>
              <w:rPr>
                <w:rFonts w:hint="eastAsia"/>
                <w:color w:val="auto"/>
                <w:highlight w:val="none"/>
              </w:rPr>
              <w:t>p2</w:t>
            </w:r>
            <w:r>
              <w:rPr>
                <w:color w:val="auto"/>
                <w:highlight w:val="none"/>
              </w:rPr>
              <w:t>——靠近开口处（或窗户）室外某倍频带的声压级或A声级，dB；</w:t>
            </w:r>
          </w:p>
          <w:p>
            <w:pPr>
              <w:pStyle w:val="28"/>
              <w:ind w:left="480"/>
              <w:rPr>
                <w:color w:val="auto"/>
              </w:rPr>
            </w:pPr>
            <w:r>
              <w:rPr>
                <w:rFonts w:hint="eastAsia" w:ascii="Times New Roman" w:hAnsi="Times New Roman"/>
                <w:snapToGrid/>
                <w:color w:val="auto"/>
                <w:spacing w:val="0"/>
                <w:kern w:val="2"/>
                <w:sz w:val="24"/>
                <w:szCs w:val="24"/>
                <w:highlight w:val="none"/>
              </w:rPr>
              <w:t>TL</w:t>
            </w:r>
            <w:r>
              <w:rPr>
                <w:rFonts w:ascii="Times New Roman" w:hAnsi="Times New Roman"/>
                <w:snapToGrid/>
                <w:color w:val="auto"/>
                <w:spacing w:val="0"/>
                <w:kern w:val="2"/>
                <w:sz w:val="24"/>
                <w:szCs w:val="24"/>
                <w:highlight w:val="none"/>
              </w:rPr>
              <w:t>——</w:t>
            </w:r>
            <w:r>
              <w:rPr>
                <w:rFonts w:hint="eastAsia" w:ascii="Times New Roman" w:hAnsi="Times New Roman"/>
                <w:snapToGrid/>
                <w:color w:val="auto"/>
                <w:spacing w:val="0"/>
                <w:kern w:val="2"/>
                <w:sz w:val="24"/>
                <w:szCs w:val="24"/>
                <w:highlight w:val="none"/>
              </w:rPr>
              <w:t>隔墙（或窗户）倍频带或A声级的隔声量，dB。</w:t>
            </w:r>
          </w:p>
          <w:p>
            <w:pPr>
              <w:pStyle w:val="72"/>
              <w:keepNext w:val="0"/>
              <w:keepLines w:val="0"/>
              <w:pageBreakBefore w:val="0"/>
              <w:widowControl w:val="0"/>
              <w:kinsoku/>
              <w:wordWrap/>
              <w:overflowPunct/>
              <w:topLinePunct w:val="0"/>
              <w:autoSpaceDE/>
              <w:autoSpaceDN/>
              <w:bidi w:val="0"/>
              <w:adjustRightInd/>
              <w:snapToGrid/>
              <w:spacing w:before="0" w:beforeLines="0" w:after="0" w:afterLines="0" w:line="360" w:lineRule="auto"/>
              <w:ind w:firstLine="482" w:firstLineChars="200"/>
              <w:textAlignment w:val="auto"/>
              <w:rPr>
                <w:rFonts w:hint="default"/>
                <w:b/>
                <w:bCs/>
                <w:color w:val="auto"/>
                <w:lang w:val="en-US" w:eastAsia="zh-CN"/>
              </w:rPr>
            </w:pPr>
            <w:r>
              <w:rPr>
                <w:rFonts w:hint="eastAsia" w:ascii="Times New Roman" w:hAnsi="Times New Roman" w:eastAsia="宋体" w:cs="Times New Roman"/>
                <w:b/>
                <w:bCs/>
                <w:caps w:val="0"/>
                <w:color w:val="auto"/>
                <w:kern w:val="2"/>
                <w:sz w:val="24"/>
                <w:szCs w:val="24"/>
                <w:lang w:val="en-US" w:eastAsia="zh-CN" w:bidi="ar-SA"/>
              </w:rPr>
              <w:t>（</w:t>
            </w:r>
            <w:r>
              <w:rPr>
                <w:rFonts w:hint="eastAsia" w:cs="Times New Roman"/>
                <w:b/>
                <w:bCs/>
                <w:caps w:val="0"/>
                <w:color w:val="auto"/>
                <w:kern w:val="2"/>
                <w:sz w:val="24"/>
                <w:szCs w:val="24"/>
                <w:lang w:val="en-US" w:eastAsia="zh-CN" w:bidi="ar-SA"/>
              </w:rPr>
              <w:t>2</w:t>
            </w:r>
            <w:r>
              <w:rPr>
                <w:rFonts w:hint="eastAsia" w:ascii="Times New Roman" w:hAnsi="Times New Roman" w:eastAsia="宋体" w:cs="Times New Roman"/>
                <w:b/>
                <w:bCs/>
                <w:caps w:val="0"/>
                <w:color w:val="auto"/>
                <w:kern w:val="2"/>
                <w:sz w:val="24"/>
                <w:szCs w:val="24"/>
                <w:lang w:val="en-US" w:eastAsia="zh-CN" w:bidi="ar-SA"/>
              </w:rPr>
              <w:t>）</w:t>
            </w:r>
            <w:r>
              <w:rPr>
                <w:rFonts w:hint="default"/>
                <w:b/>
                <w:bCs/>
                <w:color w:val="auto"/>
                <w:lang w:val="en-US" w:eastAsia="zh-CN"/>
              </w:rPr>
              <w:t>噪声距离衰减模式：</w:t>
            </w:r>
          </w:p>
          <w:p>
            <w:pPr>
              <w:jc w:val="center"/>
              <w:rPr>
                <w:rFonts w:hint="default"/>
                <w:color w:val="auto"/>
              </w:rPr>
            </w:pPr>
            <w:r>
              <w:rPr>
                <w:rFonts w:hint="default"/>
                <w:color w:val="auto"/>
              </w:rPr>
              <w:t>Lr</w:t>
            </w:r>
            <w:r>
              <w:rPr>
                <w:rFonts w:hint="default"/>
                <w:color w:val="auto"/>
                <w:lang w:val="en-GB"/>
              </w:rPr>
              <w:t>＝</w:t>
            </w:r>
            <w:r>
              <w:rPr>
                <w:rFonts w:hint="default"/>
                <w:color w:val="auto"/>
              </w:rPr>
              <w:t>L0–20lg(r/r</w:t>
            </w:r>
            <w:r>
              <w:rPr>
                <w:rFonts w:hint="eastAsia"/>
                <w:color w:val="auto"/>
                <w:lang w:val="en-US" w:eastAsia="zh-CN"/>
              </w:rPr>
              <w:t>0</w:t>
            </w:r>
            <w:r>
              <w:rPr>
                <w:rFonts w:hint="default"/>
                <w:color w:val="auto"/>
              </w:rPr>
              <w:t>)-а(r-r</w:t>
            </w:r>
            <w:r>
              <w:rPr>
                <w:rFonts w:hint="eastAsia"/>
                <w:color w:val="auto"/>
                <w:lang w:val="en-US" w:eastAsia="zh-CN"/>
              </w:rPr>
              <w:t>0</w:t>
            </w:r>
            <w:r>
              <w:rPr>
                <w:rFonts w:hint="default"/>
                <w:color w:val="auto"/>
              </w:rPr>
              <w:t>)-R</w:t>
            </w:r>
          </w:p>
          <w:p>
            <w:pPr>
              <w:ind w:firstLine="480" w:firstLineChars="200"/>
              <w:rPr>
                <w:rFonts w:hint="default"/>
                <w:color w:val="auto"/>
              </w:rPr>
            </w:pPr>
            <w:r>
              <w:rPr>
                <w:rFonts w:hint="default"/>
                <w:color w:val="auto"/>
              </w:rPr>
              <w:t>式中：Lr——预测点所接受的声压级，dB(A)；</w:t>
            </w:r>
          </w:p>
          <w:p>
            <w:pPr>
              <w:ind w:firstLine="480" w:firstLineChars="200"/>
              <w:rPr>
                <w:rFonts w:hint="default"/>
                <w:color w:val="auto"/>
              </w:rPr>
            </w:pPr>
            <w:r>
              <w:rPr>
                <w:rFonts w:hint="default"/>
                <w:color w:val="auto"/>
              </w:rPr>
              <w:t xml:space="preserve">      L0——参考点的声压级，dB(A)；</w:t>
            </w:r>
          </w:p>
          <w:p>
            <w:pPr>
              <w:ind w:firstLine="480" w:firstLineChars="200"/>
              <w:rPr>
                <w:rFonts w:hint="default"/>
                <w:color w:val="auto"/>
              </w:rPr>
            </w:pPr>
            <w:r>
              <w:rPr>
                <w:rFonts w:hint="default"/>
                <w:color w:val="auto"/>
              </w:rPr>
              <w:t xml:space="preserve"> </w:t>
            </w:r>
            <w:r>
              <w:rPr>
                <w:rFonts w:hint="default"/>
                <w:color w:val="auto"/>
                <w:lang w:val="en-US" w:eastAsia="zh-CN"/>
              </w:rPr>
              <w:t xml:space="preserve">     </w:t>
            </w:r>
            <w:r>
              <w:rPr>
                <w:rFonts w:hint="default"/>
                <w:color w:val="auto"/>
              </w:rPr>
              <w:t>r——预测点至声源的距离，m；</w:t>
            </w:r>
          </w:p>
          <w:p>
            <w:pPr>
              <w:ind w:firstLine="1200" w:firstLineChars="500"/>
              <w:rPr>
                <w:rFonts w:hint="default"/>
                <w:color w:val="auto"/>
              </w:rPr>
            </w:pPr>
            <w:r>
              <w:rPr>
                <w:rStyle w:val="98"/>
                <w:rFonts w:hint="eastAsia"/>
                <w:color w:val="auto"/>
                <w:lang w:val="en-US" w:eastAsia="zh-CN"/>
              </w:rPr>
              <w:t>r0</w:t>
            </w:r>
            <w:r>
              <w:rPr>
                <w:rStyle w:val="98"/>
                <w:rFonts w:hint="default"/>
                <w:color w:val="auto"/>
              </w:rPr>
              <w:t>——</w:t>
            </w:r>
            <w:r>
              <w:rPr>
                <w:rFonts w:hint="default"/>
                <w:color w:val="auto"/>
              </w:rPr>
              <w:t>参考位置距声源的距离，m，取r</w:t>
            </w:r>
            <w:r>
              <w:rPr>
                <w:rFonts w:hint="eastAsia"/>
                <w:color w:val="auto"/>
                <w:lang w:val="en-US" w:eastAsia="zh-CN"/>
              </w:rPr>
              <w:t>0</w:t>
            </w:r>
            <w:r>
              <w:rPr>
                <w:rFonts w:hint="default"/>
                <w:color w:val="auto"/>
              </w:rPr>
              <w:t>=1m；</w:t>
            </w:r>
          </w:p>
          <w:p>
            <w:pPr>
              <w:ind w:firstLine="1200" w:firstLineChars="500"/>
              <w:rPr>
                <w:rFonts w:hint="default"/>
                <w:color w:val="auto"/>
              </w:rPr>
            </w:pPr>
            <w:r>
              <w:rPr>
                <w:rFonts w:hint="default"/>
                <w:color w:val="auto"/>
              </w:rPr>
              <w:t>а——大气对声波的吸收系数，dB(A)/m，平均值为0.008dB(A)/m；</w:t>
            </w:r>
          </w:p>
          <w:p>
            <w:pPr>
              <w:ind w:left="480" w:leftChars="200" w:firstLine="0" w:firstLineChars="0"/>
              <w:rPr>
                <w:rFonts w:hint="eastAsia"/>
                <w:color w:val="auto"/>
                <w:lang w:eastAsia="zh-CN"/>
              </w:rPr>
            </w:pPr>
            <w:r>
              <w:rPr>
                <w:rFonts w:hint="default"/>
                <w:color w:val="auto"/>
              </w:rPr>
              <w:t xml:space="preserve">      R——房屋、墙体、窗、门、围墙对噪声的隔声量</w:t>
            </w:r>
            <w:r>
              <w:rPr>
                <w:rFonts w:hint="eastAsia"/>
                <w:color w:val="auto"/>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rPr>
            </w:pPr>
            <w:r>
              <w:rPr>
                <w:rFonts w:hint="eastAsia"/>
                <w:b/>
                <w:bCs/>
                <w:color w:val="auto"/>
                <w:lang w:eastAsia="zh-CN"/>
              </w:rPr>
              <w:t>（</w:t>
            </w:r>
            <w:r>
              <w:rPr>
                <w:rFonts w:hint="eastAsia"/>
                <w:b/>
                <w:bCs/>
                <w:color w:val="auto"/>
                <w:lang w:val="en-US" w:eastAsia="zh-CN"/>
              </w:rPr>
              <w:t>3</w:t>
            </w:r>
            <w:r>
              <w:rPr>
                <w:rFonts w:hint="eastAsia"/>
                <w:b/>
                <w:bCs/>
                <w:color w:val="auto"/>
                <w:lang w:eastAsia="zh-CN"/>
              </w:rPr>
              <w:t>）</w:t>
            </w:r>
            <w:r>
              <w:rPr>
                <w:b/>
                <w:bCs/>
                <w:color w:val="auto"/>
              </w:rPr>
              <w:t>噪声叠加</w:t>
            </w:r>
            <w:r>
              <w:rPr>
                <w:rFonts w:hint="eastAsia"/>
                <w:b/>
                <w:bCs/>
                <w:color w:val="auto"/>
                <w:lang w:eastAsia="zh-CN"/>
              </w:rPr>
              <w:t>模式</w:t>
            </w:r>
            <w:r>
              <w:rPr>
                <w:b/>
                <w:bCs/>
                <w:color w:val="auto"/>
              </w:rPr>
              <w:t>：</w:t>
            </w:r>
          </w:p>
          <w:p>
            <w:pPr>
              <w:adjustRightInd w:val="0"/>
              <w:snapToGrid w:val="0"/>
              <w:spacing w:line="360" w:lineRule="auto"/>
              <w:ind w:firstLine="480" w:firstLineChars="200"/>
              <w:rPr>
                <w:color w:val="auto"/>
              </w:rPr>
            </w:pPr>
            <w:r>
              <w:rPr>
                <w:color w:val="auto"/>
              </w:rPr>
              <w:pict>
                <v:shape id="_x0000_s1030" o:spid="_x0000_s1030" o:spt="75" type="#_x0000_t75" style="position:absolute;left:0pt;margin-left:117pt;margin-top:7.8pt;height:34pt;width:92pt;mso-wrap-distance-bottom:0pt;mso-wrap-distance-top:0pt;z-index:251662336;mso-width-relative:page;mso-height-relative:page;" o:ole="t" filled="f" o:preferrelative="t" stroked="f" coordsize="21600,21600">
                  <v:path/>
                  <v:fill on="f" focussize="0,0"/>
                  <v:stroke on="f"/>
                  <v:imagedata r:id="rId23" o:title=""/>
                  <o:lock v:ext="edit" aspectratio="t"/>
                  <w10:wrap type="topAndBottom"/>
                </v:shape>
                <o:OLEObject Type="Embed" ProgID="Equations" ShapeID="_x0000_s1030" DrawAspect="Content" ObjectID="_1468075725" r:id="rId22">
                  <o:LockedField>false</o:LockedField>
                </o:OLEObject>
              </w:pict>
            </w:r>
            <w:r>
              <w:rPr>
                <w:color w:val="auto"/>
              </w:rPr>
              <w:t xml:space="preserve"> 式中：L——叠加后的声压级，dB(A)；</w:t>
            </w:r>
          </w:p>
          <w:p>
            <w:pPr>
              <w:adjustRightInd w:val="0"/>
              <w:snapToGrid w:val="0"/>
              <w:spacing w:line="360" w:lineRule="auto"/>
              <w:ind w:firstLine="480" w:firstLineChars="200"/>
              <w:rPr>
                <w:color w:val="auto"/>
              </w:rPr>
            </w:pPr>
            <w:r>
              <w:rPr>
                <w:color w:val="auto"/>
              </w:rPr>
              <w:t xml:space="preserve">       Pi——第i个噪声源声压级，dB(A)；</w:t>
            </w:r>
          </w:p>
          <w:p>
            <w:pPr>
              <w:pStyle w:val="4"/>
              <w:ind w:firstLine="482"/>
              <w:outlineLvl w:val="1"/>
              <w:rPr>
                <w:rFonts w:hint="eastAsia"/>
                <w:color w:val="auto"/>
              </w:rPr>
            </w:pPr>
            <w:r>
              <w:rPr>
                <w:color w:val="auto"/>
              </w:rPr>
              <w:t xml:space="preserve">     </w:t>
            </w:r>
            <w:r>
              <w:rPr>
                <w:b w:val="0"/>
                <w:bCs/>
                <w:color w:val="auto"/>
              </w:rPr>
              <w:t xml:space="preserve">  n——噪声源总数。</w:t>
            </w:r>
          </w:p>
          <w:p>
            <w:pPr>
              <w:pStyle w:val="4"/>
              <w:ind w:firstLine="482"/>
              <w:outlineLvl w:val="1"/>
              <w:rPr>
                <w:color w:val="auto"/>
                <w:lang w:val="en-GB"/>
              </w:rPr>
            </w:pPr>
            <w:r>
              <w:rPr>
                <w:rFonts w:hint="eastAsia"/>
                <w:color w:val="auto"/>
              </w:rPr>
              <w:t>4.4.2</w:t>
            </w:r>
            <w:r>
              <w:rPr>
                <w:color w:val="auto"/>
                <w:lang w:val="en-GB"/>
              </w:rPr>
              <w:t>预测结果及影响分析</w:t>
            </w:r>
          </w:p>
          <w:p>
            <w:pPr>
              <w:adjustRightInd w:val="0"/>
              <w:ind w:firstLine="480" w:firstLineChars="200"/>
              <w:rPr>
                <w:color w:val="auto"/>
              </w:rPr>
            </w:pPr>
            <w:r>
              <w:rPr>
                <w:rFonts w:hint="eastAsia"/>
                <w:color w:val="auto"/>
              </w:rPr>
              <w:t>根据《工业企业厂界环境噪声排放标准》（GB12348-2008）的相关规定，由法律文书（如土地证、房产证、租赁合同等）中确定的业主所拥有使用权（或所有权）的场所或建筑物边界。</w:t>
            </w:r>
            <w:r>
              <w:rPr>
                <w:color w:val="auto"/>
              </w:rPr>
              <w:t>各主要噪声源对各厂界</w:t>
            </w:r>
            <w:r>
              <w:rPr>
                <w:rFonts w:hint="eastAsia"/>
                <w:color w:val="auto"/>
              </w:rPr>
              <w:t>预测</w:t>
            </w:r>
            <w:r>
              <w:rPr>
                <w:color w:val="auto"/>
              </w:rPr>
              <w:t>值见</w:t>
            </w:r>
            <w:r>
              <w:rPr>
                <w:rFonts w:hint="eastAsia"/>
                <w:color w:val="auto"/>
              </w:rPr>
              <w:t>下</w:t>
            </w:r>
            <w:r>
              <w:rPr>
                <w:color w:val="auto"/>
              </w:rPr>
              <w:t>表。</w:t>
            </w:r>
          </w:p>
          <w:p>
            <w:pPr>
              <w:pStyle w:val="83"/>
              <w:spacing w:before="120"/>
              <w:rPr>
                <w:color w:val="auto"/>
                <w:lang w:val="en-GB"/>
              </w:rPr>
            </w:pPr>
            <w:r>
              <w:rPr>
                <w:rFonts w:hint="eastAsia"/>
                <w:color w:val="auto"/>
              </w:rPr>
              <w:t>表4-</w:t>
            </w:r>
            <w:r>
              <w:rPr>
                <w:rFonts w:hint="eastAsia"/>
                <w:color w:val="auto"/>
                <w:lang w:val="en-US" w:eastAsia="zh-CN"/>
              </w:rPr>
              <w:t>22</w:t>
            </w:r>
            <w:r>
              <w:rPr>
                <w:rFonts w:hint="eastAsia"/>
                <w:color w:val="auto"/>
              </w:rPr>
              <w:t xml:space="preserve">  </w:t>
            </w:r>
            <w:r>
              <w:rPr>
                <w:rFonts w:hint="eastAsia"/>
                <w:color w:val="auto"/>
                <w:lang w:val="en-GB"/>
              </w:rPr>
              <w:t>各噪声源</w:t>
            </w:r>
            <w:r>
              <w:rPr>
                <w:rFonts w:hint="eastAsia"/>
                <w:color w:val="auto"/>
                <w:lang w:val="en-GB" w:eastAsia="zh-CN"/>
              </w:rPr>
              <w:t>昼间</w:t>
            </w:r>
            <w:r>
              <w:rPr>
                <w:rFonts w:hint="eastAsia"/>
                <w:color w:val="auto"/>
                <w:lang w:val="en-GB"/>
              </w:rPr>
              <w:t>对厂界的影响</w:t>
            </w:r>
            <w:r>
              <w:rPr>
                <w:rFonts w:hint="eastAsia"/>
                <w:color w:val="auto"/>
                <w:lang w:val="en-GB"/>
              </w:rPr>
              <w:tab/>
            </w:r>
            <w:r>
              <w:rPr>
                <w:rFonts w:hint="eastAsia"/>
                <w:color w:val="auto"/>
              </w:rPr>
              <w:t xml:space="preserve">        </w:t>
            </w:r>
            <w:r>
              <w:rPr>
                <w:rFonts w:hint="eastAsia"/>
                <w:color w:val="auto"/>
                <w:lang w:val="en-GB"/>
              </w:rPr>
              <w:t>单位：dB(A)</w:t>
            </w:r>
          </w:p>
          <w:tbl>
            <w:tblPr>
              <w:tblStyle w:val="29"/>
              <w:tblW w:w="49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665"/>
              <w:gridCol w:w="2590"/>
              <w:gridCol w:w="1896"/>
              <w:gridCol w:w="1374"/>
              <w:gridCol w:w="1651"/>
              <w:gridCol w:w="1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b/>
                      <w:bCs/>
                      <w:color w:val="auto"/>
                      <w:sz w:val="21"/>
                      <w:szCs w:val="21"/>
                    </w:rPr>
                    <w:t>厂界</w:t>
                  </w:r>
                </w:p>
              </w:tc>
              <w:tc>
                <w:tcPr>
                  <w:tcW w:w="1031"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rFonts w:hint="eastAsia"/>
                      <w:b/>
                      <w:bCs/>
                      <w:color w:val="auto"/>
                      <w:sz w:val="21"/>
                      <w:szCs w:val="21"/>
                    </w:rPr>
                    <w:t>噪声源</w:t>
                  </w:r>
                </w:p>
              </w:tc>
              <w:tc>
                <w:tcPr>
                  <w:tcW w:w="1002"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rFonts w:hint="eastAsia"/>
                      <w:b/>
                      <w:bCs/>
                      <w:color w:val="auto"/>
                      <w:sz w:val="21"/>
                      <w:szCs w:val="21"/>
                    </w:rPr>
                    <w:t>采取声源控制措施后</w:t>
                  </w:r>
                  <w:r>
                    <w:rPr>
                      <w:b/>
                      <w:bCs/>
                      <w:color w:val="auto"/>
                      <w:sz w:val="21"/>
                      <w:szCs w:val="21"/>
                    </w:rPr>
                    <w:t>源强</w:t>
                  </w:r>
                </w:p>
              </w:tc>
              <w:tc>
                <w:tcPr>
                  <w:tcW w:w="734"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b/>
                      <w:bCs/>
                      <w:color w:val="auto"/>
                      <w:sz w:val="21"/>
                      <w:szCs w:val="21"/>
                    </w:rPr>
                    <w:t>距</w:t>
                  </w:r>
                  <w:r>
                    <w:rPr>
                      <w:rFonts w:hint="eastAsia"/>
                      <w:b/>
                      <w:bCs/>
                      <w:color w:val="auto"/>
                      <w:sz w:val="21"/>
                      <w:szCs w:val="21"/>
                    </w:rPr>
                    <w:t>厂界距离</w:t>
                  </w:r>
                  <w:r>
                    <w:rPr>
                      <w:rFonts w:hint="eastAsia"/>
                      <w:b/>
                      <w:bCs/>
                      <w:color w:val="auto"/>
                      <w:sz w:val="21"/>
                      <w:szCs w:val="21"/>
                      <w:lang w:eastAsia="zh-CN"/>
                    </w:rPr>
                    <w:t>（</w:t>
                  </w:r>
                  <w:r>
                    <w:rPr>
                      <w:rFonts w:hint="eastAsia"/>
                      <w:b/>
                      <w:bCs/>
                      <w:color w:val="auto"/>
                      <w:sz w:val="21"/>
                      <w:szCs w:val="21"/>
                      <w:lang w:val="en-US" w:eastAsia="zh-CN"/>
                    </w:rPr>
                    <w:t>m</w:t>
                  </w:r>
                  <w:r>
                    <w:rPr>
                      <w:rFonts w:hint="eastAsia"/>
                      <w:b/>
                      <w:bCs/>
                      <w:color w:val="auto"/>
                      <w:sz w:val="21"/>
                      <w:szCs w:val="21"/>
                      <w:lang w:eastAsia="zh-CN"/>
                    </w:rPr>
                    <w:t>）</w:t>
                  </w:r>
                </w:p>
              </w:tc>
              <w:tc>
                <w:tcPr>
                  <w:tcW w:w="532"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rFonts w:hint="eastAsia"/>
                      <w:b/>
                      <w:bCs/>
                      <w:color w:val="auto"/>
                      <w:sz w:val="21"/>
                      <w:szCs w:val="21"/>
                    </w:rPr>
                    <w:t>厂界</w:t>
                  </w:r>
                  <w:r>
                    <w:rPr>
                      <w:rFonts w:hint="eastAsia"/>
                      <w:b/>
                      <w:bCs/>
                      <w:color w:val="auto"/>
                      <w:sz w:val="21"/>
                      <w:szCs w:val="21"/>
                      <w:lang w:eastAsia="zh-CN"/>
                    </w:rPr>
                    <w:t>预测</w:t>
                  </w:r>
                  <w:r>
                    <w:rPr>
                      <w:rFonts w:hint="eastAsia"/>
                      <w:b/>
                      <w:bCs/>
                      <w:color w:val="auto"/>
                      <w:sz w:val="21"/>
                      <w:szCs w:val="21"/>
                    </w:rPr>
                    <w:t>值</w:t>
                  </w:r>
                </w:p>
              </w:tc>
              <w:tc>
                <w:tcPr>
                  <w:tcW w:w="639" w:type="pct"/>
                  <w:tcBorders>
                    <w:tl2br w:val="nil"/>
                    <w:tr2bl w:val="nil"/>
                  </w:tcBorders>
                  <w:shd w:val="clear" w:color="auto" w:fill="auto"/>
                  <w:vAlign w:val="center"/>
                </w:tcPr>
                <w:p>
                  <w:pPr>
                    <w:snapToGrid w:val="0"/>
                    <w:spacing w:before="20" w:after="2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b/>
                      <w:bCs/>
                      <w:color w:val="auto"/>
                      <w:sz w:val="21"/>
                      <w:szCs w:val="21"/>
                    </w:rPr>
                    <w:t>标准限值</w:t>
                  </w:r>
                </w:p>
              </w:tc>
              <w:tc>
                <w:tcPr>
                  <w:tcW w:w="500"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rFonts w:hint="eastAsia"/>
                      <w:b/>
                      <w:bCs/>
                      <w:color w:val="auto"/>
                      <w:sz w:val="21"/>
                      <w:szCs w:val="21"/>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color w:val="auto"/>
                      <w:sz w:val="21"/>
                      <w:szCs w:val="21"/>
                    </w:rPr>
                  </w:pPr>
                  <w:r>
                    <w:rPr>
                      <w:rFonts w:hint="eastAsia"/>
                      <w:color w:val="auto"/>
                      <w:sz w:val="21"/>
                      <w:szCs w:val="21"/>
                      <w:lang w:eastAsia="zh-CN"/>
                    </w:rPr>
                    <w:t>西侧</w:t>
                  </w:r>
                  <w:r>
                    <w:rPr>
                      <w:color w:val="auto"/>
                      <w:sz w:val="21"/>
                      <w:szCs w:val="21"/>
                    </w:rPr>
                    <w:t>厂界</w:t>
                  </w: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室内噪声源</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29</w:t>
                  </w:r>
                </w:p>
              </w:tc>
              <w:tc>
                <w:tcPr>
                  <w:tcW w:w="734"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532" w:type="pct"/>
                  <w:vMerge w:val="restart"/>
                  <w:tcBorders>
                    <w:tl2br w:val="nil"/>
                    <w:tr2bl w:val="nil"/>
                  </w:tcBorders>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43</w:t>
                  </w:r>
                </w:p>
              </w:tc>
              <w:tc>
                <w:tcPr>
                  <w:tcW w:w="639" w:type="pct"/>
                  <w:vMerge w:val="restart"/>
                  <w:tcBorders>
                    <w:tl2br w:val="nil"/>
                    <w:tr2bl w:val="nil"/>
                  </w:tcBorders>
                  <w:vAlign w:val="center"/>
                </w:tcPr>
                <w:p>
                  <w:pPr>
                    <w:pStyle w:val="12"/>
                    <w:snapToGrid w:val="0"/>
                    <w:spacing w:before="20" w:after="20" w:line="240" w:lineRule="auto"/>
                    <w:jc w:val="center"/>
                    <w:rPr>
                      <w:rFonts w:ascii="Times New Roman" w:hAnsi="Times New Roman" w:eastAsia="宋体" w:cs="Times New Roman"/>
                      <w:color w:val="auto"/>
                      <w:kern w:val="0"/>
                      <w:sz w:val="21"/>
                      <w:szCs w:val="21"/>
                      <w:lang w:val="en-US" w:eastAsia="zh-CN" w:bidi="ar-SA"/>
                    </w:rPr>
                  </w:pPr>
                  <w:r>
                    <w:rPr>
                      <w:rFonts w:hint="eastAsia"/>
                      <w:color w:val="auto"/>
                      <w:szCs w:val="21"/>
                      <w:lang w:eastAsia="zh-CN"/>
                    </w:rPr>
                    <w:t>昼间</w:t>
                  </w:r>
                  <w:r>
                    <w:rPr>
                      <w:color w:val="auto"/>
                      <w:szCs w:val="21"/>
                    </w:rPr>
                    <w:t>：</w:t>
                  </w:r>
                  <w:r>
                    <w:rPr>
                      <w:rFonts w:hint="eastAsia"/>
                      <w:color w:val="auto"/>
                      <w:szCs w:val="21"/>
                      <w:lang w:val="en-US" w:eastAsia="zh-CN"/>
                    </w:rPr>
                    <w:t>6</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rFonts w:hint="eastAsia" w:eastAsia="宋体"/>
                      <w:color w:val="auto"/>
                      <w:szCs w:val="21"/>
                      <w:lang w:eastAsia="zh-CN"/>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lang w:eastAsia="zh-CN"/>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continue"/>
                  <w:tcBorders>
                    <w:tl2br w:val="nil"/>
                    <w:tr2bl w:val="nil"/>
                  </w:tcBorders>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jc w:val="both"/>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病理实验室排风风机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15</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65</w:t>
                  </w:r>
                </w:p>
              </w:tc>
              <w:tc>
                <w:tcPr>
                  <w:tcW w:w="734"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color w:val="auto"/>
                      <w:sz w:val="21"/>
                      <w:szCs w:val="21"/>
                    </w:rPr>
                  </w:pPr>
                  <w:r>
                    <w:rPr>
                      <w:rFonts w:hint="eastAsia"/>
                      <w:color w:val="auto"/>
                      <w:sz w:val="21"/>
                      <w:szCs w:val="21"/>
                      <w:lang w:eastAsia="zh-CN"/>
                    </w:rPr>
                    <w:t>东侧</w:t>
                  </w:r>
                  <w:r>
                    <w:rPr>
                      <w:color w:val="auto"/>
                      <w:sz w:val="21"/>
                      <w:szCs w:val="21"/>
                    </w:rPr>
                    <w:t>厂界</w:t>
                  </w: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室内噪声源</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26</w:t>
                  </w:r>
                </w:p>
              </w:tc>
              <w:tc>
                <w:tcPr>
                  <w:tcW w:w="734"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w:t>
                  </w:r>
                </w:p>
              </w:tc>
              <w:tc>
                <w:tcPr>
                  <w:tcW w:w="532" w:type="pct"/>
                  <w:vMerge w:val="restart"/>
                  <w:tcBorders>
                    <w:tl2br w:val="nil"/>
                    <w:tr2bl w:val="nil"/>
                  </w:tcBorders>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56</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昼间</w:t>
                  </w:r>
                  <w:r>
                    <w:rPr>
                      <w:color w:val="auto"/>
                      <w:szCs w:val="21"/>
                    </w:rPr>
                    <w:t>：</w:t>
                  </w:r>
                  <w:r>
                    <w:rPr>
                      <w:rFonts w:hint="eastAsia"/>
                      <w:color w:val="auto"/>
                      <w:szCs w:val="21"/>
                      <w:lang w:val="en-US" w:eastAsia="zh-CN"/>
                    </w:rPr>
                    <w:t>6</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32" w:type="pct"/>
                  <w:vMerge w:val="continue"/>
                  <w:tcBorders>
                    <w:tl2br w:val="nil"/>
                    <w:tr2bl w:val="nil"/>
                  </w:tcBorders>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2</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病理实验室排风风机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5</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default"/>
                      <w:color w:val="auto"/>
                      <w:sz w:val="21"/>
                      <w:szCs w:val="21"/>
                      <w:lang w:val="en-US" w:eastAsia="zh-CN"/>
                    </w:rPr>
                    <w:t>65</w:t>
                  </w:r>
                </w:p>
              </w:tc>
              <w:tc>
                <w:tcPr>
                  <w:tcW w:w="734"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10</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rFonts w:hint="eastAsia" w:eastAsia="宋体"/>
                      <w:color w:val="auto"/>
                      <w:sz w:val="21"/>
                      <w:szCs w:val="21"/>
                      <w:lang w:eastAsia="zh-CN"/>
                    </w:rPr>
                  </w:pPr>
                  <w:r>
                    <w:rPr>
                      <w:rFonts w:hint="eastAsia"/>
                      <w:color w:val="auto"/>
                      <w:sz w:val="21"/>
                      <w:szCs w:val="21"/>
                      <w:lang w:eastAsia="zh-CN"/>
                    </w:rPr>
                    <w:t>南侧</w:t>
                  </w:r>
                  <w:r>
                    <w:rPr>
                      <w:color w:val="auto"/>
                      <w:sz w:val="21"/>
                      <w:szCs w:val="21"/>
                    </w:rPr>
                    <w:t>厂界</w:t>
                  </w: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室内噪声源</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24</w:t>
                  </w:r>
                </w:p>
              </w:tc>
              <w:tc>
                <w:tcPr>
                  <w:tcW w:w="734" w:type="pct"/>
                  <w:tcBorders>
                    <w:tl2br w:val="nil"/>
                    <w:tr2bl w:val="nil"/>
                  </w:tcBorders>
                  <w:shd w:val="clear" w:color="auto" w:fill="auto"/>
                  <w:vAlign w:val="center"/>
                </w:tcPr>
                <w:p>
                  <w:pPr>
                    <w:snapToGrid w:val="0"/>
                    <w:spacing w:before="20" w:after="20" w:line="240" w:lineRule="auto"/>
                    <w:jc w:val="center"/>
                    <w:rPr>
                      <w:rFonts w:hint="eastAsia" w:eastAsia="宋体"/>
                      <w:color w:val="auto"/>
                      <w:sz w:val="21"/>
                      <w:szCs w:val="21"/>
                      <w:lang w:val="en-US" w:eastAsia="zh-CN"/>
                    </w:rPr>
                  </w:pPr>
                  <w:r>
                    <w:rPr>
                      <w:rFonts w:hint="eastAsia"/>
                      <w:color w:val="auto"/>
                      <w:sz w:val="21"/>
                      <w:szCs w:val="21"/>
                      <w:lang w:val="en-US" w:eastAsia="zh-CN"/>
                    </w:rPr>
                    <w:t>1</w:t>
                  </w:r>
                </w:p>
              </w:tc>
              <w:tc>
                <w:tcPr>
                  <w:tcW w:w="532" w:type="pct"/>
                  <w:vMerge w:val="restart"/>
                  <w:tcBorders>
                    <w:tl2br w:val="nil"/>
                    <w:tr2bl w:val="nil"/>
                  </w:tcBorders>
                  <w:shd w:val="clear" w:color="auto" w:fill="auto"/>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35</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昼间</w:t>
                  </w:r>
                  <w:r>
                    <w:rPr>
                      <w:color w:val="auto"/>
                      <w:szCs w:val="21"/>
                    </w:rPr>
                    <w:t>：</w:t>
                  </w:r>
                  <w:r>
                    <w:rPr>
                      <w:rFonts w:hint="eastAsia"/>
                      <w:color w:val="auto"/>
                      <w:szCs w:val="21"/>
                      <w:lang w:val="en-US" w:eastAsia="zh-CN"/>
                    </w:rPr>
                    <w:t>6</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病理实验室排风风机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default"/>
                      <w:color w:val="auto"/>
                      <w:sz w:val="21"/>
                      <w:szCs w:val="21"/>
                      <w:lang w:val="en-US" w:eastAsia="zh-CN"/>
                    </w:rPr>
                    <w:t>65</w:t>
                  </w:r>
                </w:p>
              </w:tc>
              <w:tc>
                <w:tcPr>
                  <w:tcW w:w="734" w:type="pct"/>
                  <w:tcBorders>
                    <w:tl2br w:val="nil"/>
                    <w:tr2bl w:val="nil"/>
                  </w:tcBorders>
                  <w:shd w:val="clear" w:color="auto" w:fill="auto"/>
                  <w:vAlign w:val="center"/>
                </w:tcPr>
                <w:p>
                  <w:pPr>
                    <w:pStyle w:val="12"/>
                    <w:snapToGrid w:val="0"/>
                    <w:spacing w:before="20" w:after="20" w:line="240" w:lineRule="auto"/>
                    <w:jc w:val="center"/>
                    <w:rPr>
                      <w:rFonts w:hint="default" w:eastAsia="宋体"/>
                      <w:color w:val="auto"/>
                      <w:sz w:val="21"/>
                      <w:szCs w:val="21"/>
                      <w:lang w:val="en-US" w:eastAsia="zh-CN"/>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rFonts w:hint="eastAsia" w:eastAsia="宋体"/>
                      <w:color w:val="auto"/>
                      <w:sz w:val="21"/>
                      <w:szCs w:val="21"/>
                      <w:lang w:eastAsia="zh-CN"/>
                    </w:rPr>
                  </w:pPr>
                  <w:r>
                    <w:rPr>
                      <w:rFonts w:hint="eastAsia"/>
                      <w:color w:val="auto"/>
                      <w:sz w:val="21"/>
                      <w:szCs w:val="21"/>
                      <w:lang w:eastAsia="zh-CN"/>
                    </w:rPr>
                    <w:t>北侧</w:t>
                  </w:r>
                  <w:r>
                    <w:rPr>
                      <w:color w:val="auto"/>
                      <w:sz w:val="21"/>
                      <w:szCs w:val="21"/>
                    </w:rPr>
                    <w:t>厂界</w:t>
                  </w: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室内噪声源</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24</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1</w:t>
                  </w:r>
                </w:p>
              </w:tc>
              <w:tc>
                <w:tcPr>
                  <w:tcW w:w="532" w:type="pct"/>
                  <w:vMerge w:val="restart"/>
                  <w:tcBorders>
                    <w:tl2br w:val="nil"/>
                    <w:tr2bl w:val="nil"/>
                  </w:tcBorders>
                  <w:shd w:val="clear" w:color="auto" w:fill="auto"/>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34</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昼间</w:t>
                  </w:r>
                  <w:r>
                    <w:rPr>
                      <w:color w:val="auto"/>
                      <w:szCs w:val="21"/>
                    </w:rPr>
                    <w:t>：</w:t>
                  </w:r>
                  <w:r>
                    <w:rPr>
                      <w:rFonts w:hint="eastAsia"/>
                      <w:color w:val="auto"/>
                      <w:szCs w:val="21"/>
                      <w:lang w:val="en-US" w:eastAsia="zh-CN"/>
                    </w:rPr>
                    <w:t>6</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洁净车间送风风机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病理实验室排风风机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34"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1031"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0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default"/>
                      <w:color w:val="auto"/>
                      <w:sz w:val="21"/>
                      <w:szCs w:val="21"/>
                      <w:lang w:val="en-US" w:eastAsia="zh-CN"/>
                    </w:rPr>
                    <w:t>65</w:t>
                  </w:r>
                </w:p>
              </w:tc>
              <w:tc>
                <w:tcPr>
                  <w:tcW w:w="734" w:type="pct"/>
                  <w:tcBorders>
                    <w:tl2br w:val="nil"/>
                    <w:tr2bl w:val="nil"/>
                  </w:tcBorders>
                  <w:shd w:val="clear" w:color="auto" w:fill="auto"/>
                  <w:vAlign w:val="center"/>
                </w:tcPr>
                <w:p>
                  <w:pPr>
                    <w:pStyle w:val="12"/>
                    <w:snapToGrid w:val="0"/>
                    <w:spacing w:before="20" w:after="20" w:line="240" w:lineRule="auto"/>
                    <w:jc w:val="center"/>
                    <w:rPr>
                      <w:rFonts w:hint="default" w:eastAsia="宋体"/>
                      <w:color w:val="auto"/>
                      <w:sz w:val="21"/>
                      <w:szCs w:val="21"/>
                      <w:lang w:val="en-US" w:eastAsia="zh-CN"/>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bl>
          <w:p>
            <w:pPr>
              <w:pStyle w:val="8"/>
              <w:bidi w:val="0"/>
              <w:rPr>
                <w:color w:val="auto"/>
              </w:rPr>
            </w:pPr>
            <w:r>
              <w:rPr>
                <w:rFonts w:hint="eastAsia"/>
                <w:color w:val="auto"/>
                <w:lang w:eastAsia="zh-CN"/>
              </w:rPr>
              <w:t>本项目鼠饲养间洁净车间送排风机、环保设备风机</w:t>
            </w:r>
            <w:r>
              <w:rPr>
                <w:rFonts w:hint="eastAsia"/>
                <w:color w:val="auto"/>
                <w:lang w:val="en-US" w:eastAsia="zh-CN"/>
              </w:rPr>
              <w:t>24小时运行，夜间</w:t>
            </w:r>
            <w:r>
              <w:rPr>
                <w:color w:val="auto"/>
              </w:rPr>
              <w:t>噪声源对各厂界</w:t>
            </w:r>
            <w:r>
              <w:rPr>
                <w:rFonts w:hint="eastAsia"/>
                <w:color w:val="auto"/>
              </w:rPr>
              <w:t>预测</w:t>
            </w:r>
            <w:r>
              <w:rPr>
                <w:color w:val="auto"/>
              </w:rPr>
              <w:t>值见</w:t>
            </w:r>
            <w:r>
              <w:rPr>
                <w:rFonts w:hint="eastAsia"/>
                <w:color w:val="auto"/>
              </w:rPr>
              <w:t>下</w:t>
            </w:r>
            <w:r>
              <w:rPr>
                <w:color w:val="auto"/>
              </w:rPr>
              <w:t>表。</w:t>
            </w:r>
          </w:p>
          <w:p>
            <w:pPr>
              <w:pStyle w:val="83"/>
              <w:spacing w:before="120"/>
              <w:rPr>
                <w:color w:val="auto"/>
                <w:lang w:val="en-GB"/>
              </w:rPr>
            </w:pPr>
            <w:r>
              <w:rPr>
                <w:rFonts w:hint="eastAsia"/>
                <w:color w:val="auto"/>
              </w:rPr>
              <w:t>表4-</w:t>
            </w:r>
            <w:r>
              <w:rPr>
                <w:rFonts w:hint="eastAsia"/>
                <w:color w:val="auto"/>
                <w:lang w:val="en-US" w:eastAsia="zh-CN"/>
              </w:rPr>
              <w:t>23</w:t>
            </w:r>
            <w:r>
              <w:rPr>
                <w:rFonts w:hint="eastAsia"/>
                <w:color w:val="auto"/>
              </w:rPr>
              <w:t xml:space="preserve">  </w:t>
            </w:r>
            <w:r>
              <w:rPr>
                <w:rFonts w:hint="eastAsia"/>
                <w:color w:val="auto"/>
                <w:lang w:val="en-GB"/>
              </w:rPr>
              <w:t>各噪声源</w:t>
            </w:r>
            <w:r>
              <w:rPr>
                <w:rFonts w:hint="eastAsia"/>
                <w:color w:val="auto"/>
                <w:lang w:val="en-GB" w:eastAsia="zh-CN"/>
              </w:rPr>
              <w:t>夜间</w:t>
            </w:r>
            <w:r>
              <w:rPr>
                <w:rFonts w:hint="eastAsia"/>
                <w:color w:val="auto"/>
                <w:lang w:val="en-GB"/>
              </w:rPr>
              <w:t>对厂界的影响</w:t>
            </w:r>
            <w:r>
              <w:rPr>
                <w:rFonts w:hint="eastAsia"/>
                <w:color w:val="auto"/>
                <w:lang w:val="en-GB"/>
              </w:rPr>
              <w:tab/>
            </w:r>
            <w:r>
              <w:rPr>
                <w:rFonts w:hint="eastAsia"/>
                <w:color w:val="auto"/>
              </w:rPr>
              <w:t xml:space="preserve">        </w:t>
            </w:r>
            <w:r>
              <w:rPr>
                <w:rFonts w:hint="eastAsia"/>
                <w:color w:val="auto"/>
                <w:lang w:val="en-GB"/>
              </w:rPr>
              <w:t>单位：dB(A)</w:t>
            </w:r>
          </w:p>
          <w:tbl>
            <w:tblPr>
              <w:tblStyle w:val="29"/>
              <w:tblW w:w="497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2485"/>
              <w:gridCol w:w="2810"/>
              <w:gridCol w:w="1856"/>
              <w:gridCol w:w="1374"/>
              <w:gridCol w:w="1651"/>
              <w:gridCol w:w="12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b/>
                      <w:bCs/>
                      <w:color w:val="auto"/>
                      <w:sz w:val="21"/>
                      <w:szCs w:val="21"/>
                    </w:rPr>
                    <w:t>厂界</w:t>
                  </w:r>
                </w:p>
              </w:tc>
              <w:tc>
                <w:tcPr>
                  <w:tcW w:w="962"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rFonts w:hint="eastAsia"/>
                      <w:b/>
                      <w:bCs/>
                      <w:color w:val="auto"/>
                      <w:sz w:val="21"/>
                      <w:szCs w:val="21"/>
                    </w:rPr>
                    <w:t>噪声源</w:t>
                  </w:r>
                </w:p>
              </w:tc>
              <w:tc>
                <w:tcPr>
                  <w:tcW w:w="1088" w:type="pct"/>
                  <w:tcBorders>
                    <w:tl2br w:val="nil"/>
                    <w:tr2bl w:val="nil"/>
                  </w:tcBorders>
                  <w:shd w:val="clear" w:color="auto" w:fill="auto"/>
                  <w:vAlign w:val="center"/>
                </w:tcPr>
                <w:p>
                  <w:pPr>
                    <w:snapToGrid w:val="0"/>
                    <w:spacing w:before="20" w:after="20" w:line="240" w:lineRule="auto"/>
                    <w:jc w:val="center"/>
                    <w:rPr>
                      <w:b/>
                      <w:bCs/>
                      <w:color w:val="auto"/>
                      <w:sz w:val="21"/>
                      <w:szCs w:val="21"/>
                    </w:rPr>
                  </w:pPr>
                  <w:r>
                    <w:rPr>
                      <w:rFonts w:hint="eastAsia"/>
                      <w:b/>
                      <w:bCs/>
                      <w:color w:val="auto"/>
                      <w:sz w:val="21"/>
                      <w:szCs w:val="21"/>
                    </w:rPr>
                    <w:t>采取声源控制措施后</w:t>
                  </w:r>
                  <w:r>
                    <w:rPr>
                      <w:b/>
                      <w:bCs/>
                      <w:color w:val="auto"/>
                      <w:sz w:val="21"/>
                      <w:szCs w:val="21"/>
                    </w:rPr>
                    <w:t>源强</w:t>
                  </w:r>
                </w:p>
              </w:tc>
              <w:tc>
                <w:tcPr>
                  <w:tcW w:w="718"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b/>
                      <w:bCs/>
                      <w:color w:val="auto"/>
                      <w:sz w:val="21"/>
                      <w:szCs w:val="21"/>
                    </w:rPr>
                    <w:t>距</w:t>
                  </w:r>
                  <w:r>
                    <w:rPr>
                      <w:rFonts w:hint="eastAsia"/>
                      <w:b/>
                      <w:bCs/>
                      <w:color w:val="auto"/>
                      <w:sz w:val="21"/>
                      <w:szCs w:val="21"/>
                    </w:rPr>
                    <w:t>厂界距离</w:t>
                  </w:r>
                  <w:r>
                    <w:rPr>
                      <w:rFonts w:hint="eastAsia"/>
                      <w:b/>
                      <w:bCs/>
                      <w:color w:val="auto"/>
                      <w:sz w:val="21"/>
                      <w:szCs w:val="21"/>
                      <w:lang w:eastAsia="zh-CN"/>
                    </w:rPr>
                    <w:t>（</w:t>
                  </w:r>
                  <w:r>
                    <w:rPr>
                      <w:rFonts w:hint="eastAsia"/>
                      <w:b/>
                      <w:bCs/>
                      <w:color w:val="auto"/>
                      <w:sz w:val="21"/>
                      <w:szCs w:val="21"/>
                      <w:lang w:val="en-US" w:eastAsia="zh-CN"/>
                    </w:rPr>
                    <w:t>m</w:t>
                  </w:r>
                  <w:r>
                    <w:rPr>
                      <w:rFonts w:hint="eastAsia"/>
                      <w:b/>
                      <w:bCs/>
                      <w:color w:val="auto"/>
                      <w:sz w:val="21"/>
                      <w:szCs w:val="21"/>
                      <w:lang w:eastAsia="zh-CN"/>
                    </w:rPr>
                    <w:t>）</w:t>
                  </w:r>
                </w:p>
              </w:tc>
              <w:tc>
                <w:tcPr>
                  <w:tcW w:w="532"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rFonts w:hint="eastAsia"/>
                      <w:b/>
                      <w:bCs/>
                      <w:color w:val="auto"/>
                      <w:sz w:val="21"/>
                      <w:szCs w:val="21"/>
                    </w:rPr>
                    <w:t>厂界</w:t>
                  </w:r>
                  <w:r>
                    <w:rPr>
                      <w:rFonts w:hint="eastAsia"/>
                      <w:b/>
                      <w:bCs/>
                      <w:color w:val="auto"/>
                      <w:sz w:val="21"/>
                      <w:szCs w:val="21"/>
                      <w:lang w:eastAsia="zh-CN"/>
                    </w:rPr>
                    <w:t>预测</w:t>
                  </w:r>
                  <w:r>
                    <w:rPr>
                      <w:rFonts w:hint="eastAsia"/>
                      <w:b/>
                      <w:bCs/>
                      <w:color w:val="auto"/>
                      <w:sz w:val="21"/>
                      <w:szCs w:val="21"/>
                    </w:rPr>
                    <w:t>值</w:t>
                  </w:r>
                </w:p>
              </w:tc>
              <w:tc>
                <w:tcPr>
                  <w:tcW w:w="639" w:type="pct"/>
                  <w:tcBorders>
                    <w:tl2br w:val="nil"/>
                    <w:tr2bl w:val="nil"/>
                  </w:tcBorders>
                  <w:shd w:val="clear" w:color="auto" w:fill="auto"/>
                  <w:vAlign w:val="center"/>
                </w:tcPr>
                <w:p>
                  <w:pPr>
                    <w:snapToGrid w:val="0"/>
                    <w:spacing w:before="20" w:after="20" w:line="240" w:lineRule="auto"/>
                    <w:ind w:firstLine="0" w:firstLineChars="0"/>
                    <w:jc w:val="center"/>
                    <w:rPr>
                      <w:rFonts w:ascii="Times New Roman" w:hAnsi="Times New Roman" w:eastAsia="宋体" w:cs="Times New Roman"/>
                      <w:b/>
                      <w:bCs/>
                      <w:color w:val="auto"/>
                      <w:kern w:val="2"/>
                      <w:sz w:val="21"/>
                      <w:szCs w:val="21"/>
                      <w:lang w:val="en-US" w:eastAsia="zh-CN" w:bidi="ar-SA"/>
                    </w:rPr>
                  </w:pPr>
                  <w:r>
                    <w:rPr>
                      <w:b/>
                      <w:bCs/>
                      <w:color w:val="auto"/>
                      <w:sz w:val="21"/>
                      <w:szCs w:val="21"/>
                    </w:rPr>
                    <w:t>标准限值</w:t>
                  </w:r>
                </w:p>
              </w:tc>
              <w:tc>
                <w:tcPr>
                  <w:tcW w:w="500" w:type="pct"/>
                  <w:tcBorders>
                    <w:tl2br w:val="nil"/>
                    <w:tr2bl w:val="nil"/>
                  </w:tcBorders>
                  <w:shd w:val="clear" w:color="auto" w:fill="auto"/>
                  <w:vAlign w:val="center"/>
                </w:tcPr>
                <w:p>
                  <w:pPr>
                    <w:snapToGrid w:val="0"/>
                    <w:spacing w:before="20" w:after="20" w:line="240" w:lineRule="auto"/>
                    <w:jc w:val="center"/>
                    <w:rPr>
                      <w:rFonts w:hint="eastAsia" w:eastAsia="宋体"/>
                      <w:b/>
                      <w:bCs/>
                      <w:color w:val="auto"/>
                      <w:sz w:val="21"/>
                      <w:szCs w:val="21"/>
                      <w:lang w:eastAsia="zh-CN"/>
                    </w:rPr>
                  </w:pPr>
                  <w:r>
                    <w:rPr>
                      <w:rFonts w:hint="eastAsia"/>
                      <w:b/>
                      <w:bCs/>
                      <w:color w:val="auto"/>
                      <w:sz w:val="21"/>
                      <w:szCs w:val="21"/>
                      <w:lang w:eastAsia="zh-CN"/>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r>
                    <w:rPr>
                      <w:rFonts w:hint="eastAsia"/>
                      <w:color w:val="auto"/>
                      <w:sz w:val="21"/>
                      <w:szCs w:val="21"/>
                      <w:lang w:eastAsia="zh-CN"/>
                    </w:rPr>
                    <w:t>西侧</w:t>
                  </w:r>
                  <w:r>
                    <w:rPr>
                      <w:color w:val="auto"/>
                      <w:sz w:val="21"/>
                      <w:szCs w:val="21"/>
                    </w:rPr>
                    <w:t>厂界</w:t>
                  </w: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lang w:eastAsia="zh-CN"/>
                    </w:rPr>
                  </w:pPr>
                  <w:r>
                    <w:rPr>
                      <w:rFonts w:hint="eastAsia"/>
                      <w:color w:val="auto"/>
                      <w:sz w:val="21"/>
                      <w:szCs w:val="21"/>
                      <w:lang w:eastAsia="zh-CN"/>
                    </w:rPr>
                    <w:t>洁净车间送风风机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18"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restart"/>
                  <w:tcBorders>
                    <w:tl2br w:val="nil"/>
                    <w:tr2bl w:val="nil"/>
                  </w:tcBorders>
                  <w:vAlign w:val="center"/>
                </w:tcPr>
                <w:p>
                  <w:pPr>
                    <w:pStyle w:val="12"/>
                    <w:snapToGrid w:val="0"/>
                    <w:spacing w:before="20" w:after="20" w:line="240" w:lineRule="auto"/>
                    <w:rPr>
                      <w:rFonts w:hint="default"/>
                      <w:color w:val="auto"/>
                      <w:szCs w:val="21"/>
                      <w:lang w:val="en-US" w:eastAsia="zh-CN"/>
                    </w:rPr>
                  </w:pPr>
                  <w:r>
                    <w:rPr>
                      <w:rFonts w:hint="eastAsia"/>
                      <w:color w:val="auto"/>
                      <w:szCs w:val="21"/>
                      <w:lang w:val="en-US" w:eastAsia="zh-CN"/>
                    </w:rPr>
                    <w:t>42</w:t>
                  </w:r>
                </w:p>
              </w:tc>
              <w:tc>
                <w:tcPr>
                  <w:tcW w:w="639" w:type="pct"/>
                  <w:vMerge w:val="restart"/>
                  <w:tcBorders>
                    <w:tl2br w:val="nil"/>
                    <w:tr2bl w:val="nil"/>
                  </w:tcBorders>
                  <w:vAlign w:val="center"/>
                </w:tcPr>
                <w:p>
                  <w:pPr>
                    <w:pStyle w:val="12"/>
                    <w:snapToGrid w:val="0"/>
                    <w:spacing w:before="20" w:after="20" w:line="240" w:lineRule="auto"/>
                    <w:jc w:val="center"/>
                    <w:rPr>
                      <w:color w:val="auto"/>
                      <w:szCs w:val="21"/>
                    </w:rPr>
                  </w:pPr>
                  <w:r>
                    <w:rPr>
                      <w:rFonts w:hint="eastAsia"/>
                      <w:color w:val="auto"/>
                      <w:szCs w:val="21"/>
                      <w:lang w:eastAsia="zh-CN"/>
                    </w:rPr>
                    <w:t>夜</w:t>
                  </w:r>
                  <w:r>
                    <w:rPr>
                      <w:color w:val="auto"/>
                      <w:szCs w:val="21"/>
                    </w:rPr>
                    <w:t>间：</w:t>
                  </w:r>
                  <w:r>
                    <w:rPr>
                      <w:rFonts w:hint="eastAsia"/>
                      <w:color w:val="auto"/>
                      <w:szCs w:val="21"/>
                      <w:lang w:val="en-US" w:eastAsia="zh-CN"/>
                    </w:rPr>
                    <w:t>5</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rFonts w:hint="eastAsia"/>
                      <w:color w:val="auto"/>
                      <w:szCs w:val="21"/>
                      <w:lang w:eastAsia="zh-CN"/>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55</w:t>
                  </w:r>
                </w:p>
              </w:tc>
              <w:tc>
                <w:tcPr>
                  <w:tcW w:w="718" w:type="pct"/>
                  <w:tcBorders>
                    <w:tl2br w:val="nil"/>
                    <w:tr2bl w:val="nil"/>
                  </w:tcBorders>
                  <w:vAlign w:val="center"/>
                </w:tcPr>
                <w:p>
                  <w:pPr>
                    <w:snapToGrid w:val="0"/>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18</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color w:val="auto"/>
                      <w:sz w:val="21"/>
                      <w:szCs w:val="21"/>
                      <w:lang w:val="en-US" w:eastAsia="zh-CN"/>
                    </w:rPr>
                  </w:pPr>
                  <w:r>
                    <w:rPr>
                      <w:rFonts w:hint="default"/>
                      <w:color w:val="auto"/>
                      <w:sz w:val="21"/>
                      <w:szCs w:val="21"/>
                      <w:lang w:val="en-US" w:eastAsia="zh-CN"/>
                    </w:rPr>
                    <w:t>65</w:t>
                  </w:r>
                </w:p>
              </w:tc>
              <w:tc>
                <w:tcPr>
                  <w:tcW w:w="718" w:type="pct"/>
                  <w:tcBorders>
                    <w:tl2br w:val="nil"/>
                    <w:tr2bl w:val="nil"/>
                  </w:tcBorders>
                  <w:vAlign w:val="center"/>
                </w:tcPr>
                <w:p>
                  <w:pPr>
                    <w:snapToGrid w:val="0"/>
                    <w:spacing w:line="240" w:lineRule="auto"/>
                    <w:ind w:firstLine="0" w:firstLineChars="0"/>
                    <w:jc w:val="center"/>
                    <w:rPr>
                      <w:rFonts w:hint="default"/>
                      <w:color w:val="auto"/>
                      <w:sz w:val="21"/>
                      <w:szCs w:val="21"/>
                      <w:lang w:val="en-US" w:eastAsia="zh-CN"/>
                    </w:rPr>
                  </w:pPr>
                  <w:r>
                    <w:rPr>
                      <w:rFonts w:hint="eastAsia"/>
                      <w:color w:val="auto"/>
                      <w:sz w:val="21"/>
                      <w:szCs w:val="21"/>
                      <w:lang w:val="en-US" w:eastAsia="zh-CN"/>
                    </w:rPr>
                    <w:t>15</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color w:val="auto"/>
                      <w:sz w:val="21"/>
                      <w:szCs w:val="21"/>
                    </w:rPr>
                  </w:pPr>
                  <w:r>
                    <w:rPr>
                      <w:rFonts w:hint="eastAsia"/>
                      <w:color w:val="auto"/>
                      <w:sz w:val="21"/>
                      <w:szCs w:val="21"/>
                      <w:lang w:eastAsia="zh-CN"/>
                    </w:rPr>
                    <w:t>东侧</w:t>
                  </w:r>
                  <w:r>
                    <w:rPr>
                      <w:color w:val="auto"/>
                      <w:sz w:val="21"/>
                      <w:szCs w:val="21"/>
                    </w:rPr>
                    <w:t>厂界</w:t>
                  </w: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洁净车间送风风机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4"/>
                      <w:szCs w:val="21"/>
                      <w:lang w:val="en-US" w:eastAsia="zh-CN" w:bidi="ar-SA"/>
                    </w:rPr>
                  </w:pPr>
                  <w:r>
                    <w:rPr>
                      <w:rFonts w:hint="eastAsia"/>
                      <w:color w:val="auto"/>
                      <w:sz w:val="21"/>
                      <w:szCs w:val="21"/>
                      <w:lang w:val="en-US" w:eastAsia="zh-CN"/>
                    </w:rPr>
                    <w:t>55</w:t>
                  </w:r>
                </w:p>
              </w:tc>
              <w:tc>
                <w:tcPr>
                  <w:tcW w:w="718"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32" w:type="pct"/>
                  <w:vMerge w:val="restart"/>
                  <w:tcBorders>
                    <w:tl2br w:val="nil"/>
                    <w:tr2bl w:val="nil"/>
                  </w:tcBorders>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53</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夜</w:t>
                  </w:r>
                  <w:r>
                    <w:rPr>
                      <w:color w:val="auto"/>
                      <w:szCs w:val="21"/>
                    </w:rPr>
                    <w:t>间：</w:t>
                  </w:r>
                  <w:r>
                    <w:rPr>
                      <w:rFonts w:hint="eastAsia"/>
                      <w:color w:val="auto"/>
                      <w:szCs w:val="21"/>
                      <w:lang w:val="en-US" w:eastAsia="zh-CN"/>
                    </w:rPr>
                    <w:t>5</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w:t>
                  </w:r>
                  <w:r>
                    <w:rPr>
                      <w:rFonts w:hint="eastAsia"/>
                      <w:color w:val="auto"/>
                      <w:sz w:val="21"/>
                      <w:szCs w:val="21"/>
                      <w:lang w:val="en-US" w:eastAsia="zh-CN"/>
                    </w:rPr>
                    <w:t>排风风机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718" w:type="pct"/>
                  <w:tcBorders>
                    <w:tl2br w:val="nil"/>
                    <w:tr2bl w:val="nil"/>
                  </w:tcBorders>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2</w:t>
                  </w:r>
                </w:p>
              </w:tc>
              <w:tc>
                <w:tcPr>
                  <w:tcW w:w="532" w:type="pct"/>
                  <w:vMerge w:val="continue"/>
                  <w:tcBorders>
                    <w:tl2br w:val="nil"/>
                    <w:tr2bl w:val="nil"/>
                  </w:tcBorders>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环保设备风机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65</w:t>
                  </w:r>
                </w:p>
              </w:tc>
              <w:tc>
                <w:tcPr>
                  <w:tcW w:w="718" w:type="pct"/>
                  <w:tcBorders>
                    <w:tl2br w:val="nil"/>
                    <w:tr2bl w:val="nil"/>
                  </w:tcBorders>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532"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rFonts w:hint="eastAsia" w:eastAsia="宋体"/>
                      <w:color w:val="auto"/>
                      <w:sz w:val="21"/>
                      <w:szCs w:val="21"/>
                      <w:lang w:eastAsia="zh-CN"/>
                    </w:rPr>
                  </w:pPr>
                  <w:r>
                    <w:rPr>
                      <w:rFonts w:hint="eastAsia"/>
                      <w:color w:val="auto"/>
                      <w:sz w:val="21"/>
                      <w:szCs w:val="21"/>
                      <w:lang w:eastAsia="zh-CN"/>
                    </w:rPr>
                    <w:t>南侧</w:t>
                  </w:r>
                  <w:r>
                    <w:rPr>
                      <w:color w:val="auto"/>
                      <w:sz w:val="21"/>
                      <w:szCs w:val="21"/>
                    </w:rPr>
                    <w:t>厂界</w:t>
                  </w: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洁净车间送风风机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4"/>
                      <w:szCs w:val="21"/>
                      <w:lang w:val="en-US" w:eastAsia="zh-CN" w:bidi="ar-SA"/>
                    </w:rPr>
                  </w:pPr>
                  <w:r>
                    <w:rPr>
                      <w:rFonts w:hint="eastAsia"/>
                      <w:color w:val="auto"/>
                      <w:sz w:val="21"/>
                      <w:szCs w:val="21"/>
                      <w:lang w:val="en-US" w:eastAsia="zh-CN"/>
                    </w:rPr>
                    <w:t>55</w:t>
                  </w:r>
                </w:p>
              </w:tc>
              <w:tc>
                <w:tcPr>
                  <w:tcW w:w="718" w:type="pct"/>
                  <w:tcBorders>
                    <w:tl2br w:val="nil"/>
                    <w:tr2bl w:val="nil"/>
                  </w:tcBorders>
                  <w:shd w:val="clear" w:color="auto" w:fill="auto"/>
                  <w:vAlign w:val="center"/>
                </w:tcPr>
                <w:p>
                  <w:pPr>
                    <w:snapToGrid w:val="0"/>
                    <w:spacing w:before="20" w:after="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45</w:t>
                  </w:r>
                </w:p>
              </w:tc>
              <w:tc>
                <w:tcPr>
                  <w:tcW w:w="532" w:type="pct"/>
                  <w:vMerge w:val="restart"/>
                  <w:tcBorders>
                    <w:tl2br w:val="nil"/>
                    <w:tr2bl w:val="nil"/>
                  </w:tcBorders>
                  <w:shd w:val="clear" w:color="auto" w:fill="auto"/>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34</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夜</w:t>
                  </w:r>
                  <w:r>
                    <w:rPr>
                      <w:color w:val="auto"/>
                      <w:szCs w:val="21"/>
                    </w:rPr>
                    <w:t>间：</w:t>
                  </w:r>
                  <w:r>
                    <w:rPr>
                      <w:rFonts w:hint="eastAsia"/>
                      <w:color w:val="auto"/>
                      <w:szCs w:val="21"/>
                      <w:lang w:val="en-US" w:eastAsia="zh-CN"/>
                    </w:rPr>
                    <w:t>5</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snapToGrid w:val="0"/>
                    <w:spacing w:before="20" w:after="20" w:line="240" w:lineRule="auto"/>
                    <w:jc w:val="center"/>
                    <w:rPr>
                      <w:rFonts w:hint="eastAsia"/>
                      <w:color w:val="auto"/>
                      <w:sz w:val="21"/>
                      <w:szCs w:val="21"/>
                      <w:lang w:eastAsia="zh-CN"/>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eastAsia="zh-CN"/>
                    </w:rPr>
                    <w:t>洁净车间</w:t>
                  </w:r>
                  <w:r>
                    <w:rPr>
                      <w:rFonts w:hint="eastAsia"/>
                      <w:color w:val="auto"/>
                      <w:sz w:val="21"/>
                      <w:szCs w:val="21"/>
                      <w:lang w:val="en-US" w:eastAsia="zh-CN"/>
                    </w:rPr>
                    <w:t>排风风机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55</w:t>
                  </w:r>
                </w:p>
              </w:tc>
              <w:tc>
                <w:tcPr>
                  <w:tcW w:w="718" w:type="pct"/>
                  <w:tcBorders>
                    <w:tl2br w:val="nil"/>
                    <w:tr2bl w:val="nil"/>
                  </w:tcBorders>
                  <w:shd w:val="clear" w:color="auto" w:fill="auto"/>
                  <w:vAlign w:val="center"/>
                </w:tcPr>
                <w:p>
                  <w:pPr>
                    <w:snapToGrid w:val="0"/>
                    <w:spacing w:before="20" w:after="20"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Cs w:val="21"/>
                      <w:lang w:val="en-US" w:eastAsia="zh-CN"/>
                    </w:rPr>
                  </w:pPr>
                </w:p>
              </w:tc>
              <w:tc>
                <w:tcPr>
                  <w:tcW w:w="639" w:type="pct"/>
                  <w:vMerge w:val="continue"/>
                  <w:tcBorders>
                    <w:tl2br w:val="nil"/>
                    <w:tr2bl w:val="nil"/>
                  </w:tcBorders>
                  <w:vAlign w:val="center"/>
                </w:tcPr>
                <w:p>
                  <w:pPr>
                    <w:pStyle w:val="12"/>
                    <w:snapToGrid w:val="0"/>
                    <w:spacing w:before="20" w:after="20" w:line="240" w:lineRule="auto"/>
                    <w:rPr>
                      <w:color w:val="auto"/>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环保设备风机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ascii="Times New Roman" w:hAnsi="Times New Roman" w:eastAsia="宋体" w:cs="Times New Roman"/>
                      <w:color w:val="auto"/>
                      <w:kern w:val="2"/>
                      <w:sz w:val="21"/>
                      <w:szCs w:val="21"/>
                      <w:lang w:val="en-US" w:eastAsia="zh-CN" w:bidi="ar-SA"/>
                    </w:rPr>
                  </w:pPr>
                  <w:r>
                    <w:rPr>
                      <w:rFonts w:hint="default"/>
                      <w:color w:val="auto"/>
                      <w:sz w:val="21"/>
                      <w:szCs w:val="21"/>
                      <w:lang w:val="en-US" w:eastAsia="zh-CN"/>
                    </w:rPr>
                    <w:t>65</w:t>
                  </w:r>
                </w:p>
              </w:tc>
              <w:tc>
                <w:tcPr>
                  <w:tcW w:w="718" w:type="pct"/>
                  <w:tcBorders>
                    <w:tl2br w:val="nil"/>
                    <w:tr2bl w:val="nil"/>
                  </w:tcBorders>
                  <w:shd w:val="clear" w:color="auto" w:fill="auto"/>
                  <w:vAlign w:val="center"/>
                </w:tcPr>
                <w:p>
                  <w:pPr>
                    <w:pStyle w:val="12"/>
                    <w:snapToGrid w:val="0"/>
                    <w:spacing w:before="20" w:after="20" w:line="240" w:lineRule="auto"/>
                    <w:ind w:firstLine="0" w:firstLineChars="0"/>
                    <w:jc w:val="center"/>
                    <w:rPr>
                      <w:rFonts w:hint="eastAsia" w:ascii="Times New Roman" w:hAnsi="Times New Roman" w:eastAsia="宋体" w:cs="Times New Roman"/>
                      <w:color w:val="auto"/>
                      <w:kern w:val="0"/>
                      <w:sz w:val="21"/>
                      <w:szCs w:val="21"/>
                      <w:lang w:val="en-US" w:eastAsia="zh-CN" w:bidi="ar-SA"/>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restart"/>
                  <w:tcBorders>
                    <w:tl2br w:val="nil"/>
                    <w:tr2bl w:val="nil"/>
                  </w:tcBorders>
                  <w:shd w:val="clear" w:color="auto" w:fill="auto"/>
                  <w:vAlign w:val="center"/>
                </w:tcPr>
                <w:p>
                  <w:pPr>
                    <w:snapToGrid w:val="0"/>
                    <w:spacing w:before="20" w:after="20" w:line="240" w:lineRule="auto"/>
                    <w:jc w:val="center"/>
                    <w:rPr>
                      <w:rFonts w:hint="eastAsia" w:eastAsia="宋体"/>
                      <w:color w:val="auto"/>
                      <w:sz w:val="21"/>
                      <w:szCs w:val="21"/>
                      <w:lang w:eastAsia="zh-CN"/>
                    </w:rPr>
                  </w:pPr>
                  <w:r>
                    <w:rPr>
                      <w:rFonts w:hint="eastAsia"/>
                      <w:color w:val="auto"/>
                      <w:sz w:val="21"/>
                      <w:szCs w:val="21"/>
                      <w:lang w:eastAsia="zh-CN"/>
                    </w:rPr>
                    <w:t>北侧</w:t>
                  </w:r>
                  <w:r>
                    <w:rPr>
                      <w:color w:val="auto"/>
                      <w:sz w:val="21"/>
                      <w:szCs w:val="21"/>
                    </w:rPr>
                    <w:t>厂界</w:t>
                  </w: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洁净车间送风风机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color w:val="auto"/>
                      <w:szCs w:val="21"/>
                    </w:rPr>
                  </w:pPr>
                  <w:r>
                    <w:rPr>
                      <w:rFonts w:hint="eastAsia"/>
                      <w:color w:val="auto"/>
                      <w:sz w:val="21"/>
                      <w:szCs w:val="21"/>
                      <w:lang w:val="en-US" w:eastAsia="zh-CN"/>
                    </w:rPr>
                    <w:t>55</w:t>
                  </w:r>
                </w:p>
              </w:tc>
              <w:tc>
                <w:tcPr>
                  <w:tcW w:w="718"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restart"/>
                  <w:tcBorders>
                    <w:tl2br w:val="nil"/>
                    <w:tr2bl w:val="nil"/>
                  </w:tcBorders>
                  <w:shd w:val="clear" w:color="auto" w:fill="auto"/>
                  <w:vAlign w:val="center"/>
                </w:tcPr>
                <w:p>
                  <w:pPr>
                    <w:pStyle w:val="12"/>
                    <w:snapToGrid w:val="0"/>
                    <w:spacing w:before="20" w:after="20" w:line="240" w:lineRule="auto"/>
                    <w:rPr>
                      <w:rFonts w:hint="default" w:eastAsia="宋体"/>
                      <w:color w:val="auto"/>
                      <w:szCs w:val="21"/>
                      <w:lang w:val="en-US" w:eastAsia="zh-CN"/>
                    </w:rPr>
                  </w:pPr>
                  <w:r>
                    <w:rPr>
                      <w:rFonts w:hint="eastAsia"/>
                      <w:color w:val="auto"/>
                      <w:szCs w:val="21"/>
                      <w:lang w:val="en-US" w:eastAsia="zh-CN"/>
                    </w:rPr>
                    <w:t>33</w:t>
                  </w:r>
                </w:p>
              </w:tc>
              <w:tc>
                <w:tcPr>
                  <w:tcW w:w="639"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夜</w:t>
                  </w:r>
                  <w:r>
                    <w:rPr>
                      <w:color w:val="auto"/>
                      <w:szCs w:val="21"/>
                    </w:rPr>
                    <w:t>间：</w:t>
                  </w:r>
                  <w:r>
                    <w:rPr>
                      <w:rFonts w:hint="eastAsia"/>
                      <w:color w:val="auto"/>
                      <w:szCs w:val="21"/>
                      <w:lang w:val="en-US" w:eastAsia="zh-CN"/>
                    </w:rPr>
                    <w:t>5</w:t>
                  </w:r>
                  <w:r>
                    <w:rPr>
                      <w:color w:val="auto"/>
                      <w:szCs w:val="21"/>
                    </w:rPr>
                    <w:t>5</w:t>
                  </w:r>
                </w:p>
              </w:tc>
              <w:tc>
                <w:tcPr>
                  <w:tcW w:w="500" w:type="pct"/>
                  <w:vMerge w:val="restart"/>
                  <w:tcBorders>
                    <w:tl2br w:val="nil"/>
                    <w:tr2bl w:val="nil"/>
                  </w:tcBorders>
                  <w:vAlign w:val="center"/>
                </w:tcPr>
                <w:p>
                  <w:pPr>
                    <w:pStyle w:val="12"/>
                    <w:snapToGrid w:val="0"/>
                    <w:spacing w:before="20" w:after="20" w:line="240" w:lineRule="auto"/>
                    <w:rPr>
                      <w:color w:val="auto"/>
                      <w:szCs w:val="21"/>
                    </w:rPr>
                  </w:pPr>
                  <w:r>
                    <w:rPr>
                      <w:rFonts w:hint="eastAsia"/>
                      <w:color w:val="auto"/>
                      <w:szCs w:val="21"/>
                      <w:lang w:eastAsia="zh-CN"/>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color w:val="auto"/>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eastAsia="zh-CN"/>
                    </w:rPr>
                    <w:t>洁净车间</w:t>
                  </w:r>
                  <w:r>
                    <w:rPr>
                      <w:rFonts w:hint="eastAsia"/>
                      <w:color w:val="auto"/>
                      <w:sz w:val="21"/>
                      <w:szCs w:val="21"/>
                      <w:lang w:val="en-US" w:eastAsia="zh-CN"/>
                    </w:rPr>
                    <w:t>排风风机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55</w:t>
                  </w:r>
                </w:p>
              </w:tc>
              <w:tc>
                <w:tcPr>
                  <w:tcW w:w="718" w:type="pct"/>
                  <w:tcBorders>
                    <w:tl2br w:val="nil"/>
                    <w:tr2bl w:val="nil"/>
                  </w:tcBorders>
                  <w:shd w:val="clear" w:color="auto" w:fill="auto"/>
                  <w:vAlign w:val="center"/>
                </w:tcPr>
                <w:p>
                  <w:pPr>
                    <w:snapToGrid w:val="0"/>
                    <w:spacing w:before="20" w:after="20" w:line="240" w:lineRule="auto"/>
                    <w:ind w:firstLine="0" w:firstLineChars="0"/>
                    <w:jc w:val="center"/>
                    <w:rPr>
                      <w:rFonts w:hint="eastAsia"/>
                      <w:color w:val="auto"/>
                      <w:sz w:val="21"/>
                      <w:szCs w:val="21"/>
                    </w:rPr>
                  </w:pPr>
                  <w:r>
                    <w:rPr>
                      <w:rFonts w:hint="eastAsia"/>
                      <w:color w:val="auto"/>
                      <w:sz w:val="21"/>
                      <w:szCs w:val="21"/>
                      <w:lang w:val="en-US" w:eastAsia="zh-CN"/>
                    </w:rPr>
                    <w:t>40</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9"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962"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eastAsia"/>
                      <w:color w:val="auto"/>
                      <w:sz w:val="21"/>
                      <w:szCs w:val="21"/>
                      <w:lang w:val="en-US" w:eastAsia="zh-CN"/>
                    </w:rPr>
                    <w:t>环保设备风机</w:t>
                  </w:r>
                </w:p>
              </w:tc>
              <w:tc>
                <w:tcPr>
                  <w:tcW w:w="1088" w:type="pct"/>
                  <w:tcBorders>
                    <w:tl2br w:val="nil"/>
                    <w:tr2bl w:val="nil"/>
                  </w:tcBorders>
                  <w:shd w:val="clear" w:color="auto" w:fill="auto"/>
                  <w:vAlign w:val="center"/>
                </w:tcPr>
                <w:p>
                  <w:pPr>
                    <w:snapToGrid w:val="0"/>
                    <w:spacing w:line="240" w:lineRule="auto"/>
                    <w:ind w:firstLine="0" w:firstLineChars="0"/>
                    <w:jc w:val="center"/>
                    <w:rPr>
                      <w:rFonts w:hint="eastAsia"/>
                      <w:color w:val="auto"/>
                      <w:sz w:val="21"/>
                      <w:szCs w:val="21"/>
                    </w:rPr>
                  </w:pPr>
                  <w:r>
                    <w:rPr>
                      <w:rFonts w:hint="default"/>
                      <w:color w:val="auto"/>
                      <w:sz w:val="21"/>
                      <w:szCs w:val="21"/>
                      <w:lang w:val="en-US" w:eastAsia="zh-CN"/>
                    </w:rPr>
                    <w:t>65</w:t>
                  </w:r>
                </w:p>
              </w:tc>
              <w:tc>
                <w:tcPr>
                  <w:tcW w:w="718" w:type="pct"/>
                  <w:tcBorders>
                    <w:tl2br w:val="nil"/>
                    <w:tr2bl w:val="nil"/>
                  </w:tcBorders>
                  <w:shd w:val="clear" w:color="auto" w:fill="auto"/>
                  <w:vAlign w:val="center"/>
                </w:tcPr>
                <w:p>
                  <w:pPr>
                    <w:pStyle w:val="12"/>
                    <w:snapToGrid w:val="0"/>
                    <w:spacing w:before="20" w:after="20" w:line="240" w:lineRule="auto"/>
                    <w:jc w:val="center"/>
                    <w:rPr>
                      <w:rFonts w:hint="default" w:eastAsia="宋体"/>
                      <w:color w:val="auto"/>
                      <w:sz w:val="21"/>
                      <w:szCs w:val="21"/>
                      <w:lang w:val="en-US" w:eastAsia="zh-CN"/>
                    </w:rPr>
                  </w:pPr>
                  <w:r>
                    <w:rPr>
                      <w:rFonts w:hint="eastAsia"/>
                      <w:color w:val="auto"/>
                      <w:sz w:val="21"/>
                      <w:szCs w:val="21"/>
                      <w:lang w:val="en-US" w:eastAsia="zh-CN"/>
                    </w:rPr>
                    <w:t>45</w:t>
                  </w:r>
                </w:p>
              </w:tc>
              <w:tc>
                <w:tcPr>
                  <w:tcW w:w="532" w:type="pct"/>
                  <w:vMerge w:val="continue"/>
                  <w:tcBorders>
                    <w:tl2br w:val="nil"/>
                    <w:tr2bl w:val="nil"/>
                  </w:tcBorders>
                  <w:shd w:val="clear" w:color="auto" w:fill="auto"/>
                  <w:vAlign w:val="center"/>
                </w:tcPr>
                <w:p>
                  <w:pPr>
                    <w:pStyle w:val="12"/>
                    <w:snapToGrid w:val="0"/>
                    <w:spacing w:before="20" w:after="20" w:line="240" w:lineRule="auto"/>
                    <w:rPr>
                      <w:rFonts w:hint="eastAsia"/>
                      <w:color w:val="auto"/>
                      <w:sz w:val="21"/>
                      <w:szCs w:val="21"/>
                    </w:rPr>
                  </w:pPr>
                </w:p>
              </w:tc>
              <w:tc>
                <w:tcPr>
                  <w:tcW w:w="639"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c>
                <w:tcPr>
                  <w:tcW w:w="500" w:type="pct"/>
                  <w:vMerge w:val="continue"/>
                  <w:tcBorders>
                    <w:tl2br w:val="nil"/>
                    <w:tr2bl w:val="nil"/>
                  </w:tcBorders>
                  <w:vAlign w:val="center"/>
                </w:tcPr>
                <w:p>
                  <w:pPr>
                    <w:pStyle w:val="12"/>
                    <w:snapToGrid w:val="0"/>
                    <w:spacing w:before="20" w:after="20" w:line="240" w:lineRule="auto"/>
                    <w:rPr>
                      <w:rFonts w:hint="eastAsia"/>
                      <w:color w:val="auto"/>
                      <w:sz w:val="21"/>
                      <w:szCs w:val="21"/>
                    </w:rPr>
                  </w:pPr>
                </w:p>
              </w:tc>
            </w:tr>
          </w:tbl>
          <w:p>
            <w:pPr>
              <w:pStyle w:val="8"/>
              <w:bidi w:val="0"/>
              <w:rPr>
                <w:rFonts w:hint="eastAsia"/>
                <w:color w:val="auto"/>
                <w:lang w:eastAsia="zh-CN"/>
              </w:rPr>
            </w:pPr>
            <w:r>
              <w:rPr>
                <w:rFonts w:hint="eastAsia"/>
                <w:color w:val="auto"/>
              </w:rPr>
              <w:t>从预测结果看，本项目</w:t>
            </w:r>
            <w:r>
              <w:rPr>
                <w:rFonts w:hint="eastAsia"/>
                <w:color w:val="auto"/>
                <w:lang w:val="en-US" w:eastAsia="zh-CN"/>
              </w:rPr>
              <w:t>运营期</w:t>
            </w:r>
            <w:r>
              <w:rPr>
                <w:rFonts w:hint="eastAsia"/>
                <w:color w:val="auto"/>
              </w:rPr>
              <w:t>产生的噪声经基础减振和距离衰减后，</w:t>
            </w:r>
            <w:r>
              <w:rPr>
                <w:rFonts w:hint="eastAsia"/>
                <w:color w:val="auto"/>
                <w:lang w:val="en-US" w:eastAsia="zh-CN"/>
              </w:rPr>
              <w:t>北</w:t>
            </w:r>
            <w:r>
              <w:rPr>
                <w:rFonts w:hint="eastAsia"/>
                <w:color w:val="auto"/>
              </w:rPr>
              <w:t>侧、南侧</w:t>
            </w:r>
            <w:r>
              <w:rPr>
                <w:rFonts w:hint="eastAsia"/>
                <w:color w:val="auto"/>
                <w:lang w:eastAsia="zh-CN"/>
              </w:rPr>
              <w:t>、</w:t>
            </w:r>
            <w:r>
              <w:rPr>
                <w:rFonts w:hint="eastAsia"/>
                <w:color w:val="auto"/>
                <w:lang w:val="en-US" w:eastAsia="zh-CN"/>
              </w:rPr>
              <w:t>东侧、</w:t>
            </w:r>
            <w:r>
              <w:rPr>
                <w:rFonts w:hint="eastAsia"/>
                <w:color w:val="auto"/>
              </w:rPr>
              <w:t>西侧厂界昼</w:t>
            </w:r>
            <w:r>
              <w:rPr>
                <w:rFonts w:hint="eastAsia"/>
                <w:color w:val="auto"/>
                <w:lang w:eastAsia="zh-CN"/>
              </w:rPr>
              <w:t>、夜</w:t>
            </w:r>
            <w:r>
              <w:rPr>
                <w:rFonts w:hint="eastAsia"/>
                <w:color w:val="auto"/>
              </w:rPr>
              <w:t>间噪声预测值均能达到《工业企业厂界环境噪声排放标准》</w:t>
            </w:r>
            <w:r>
              <w:rPr>
                <w:rFonts w:hint="eastAsia"/>
                <w:color w:val="auto"/>
                <w:lang w:eastAsia="zh-CN"/>
              </w:rPr>
              <w:t>（</w:t>
            </w:r>
            <w:r>
              <w:rPr>
                <w:rFonts w:hint="eastAsia"/>
                <w:color w:val="auto"/>
              </w:rPr>
              <w:t>GB12348-2008</w:t>
            </w:r>
            <w:r>
              <w:rPr>
                <w:rFonts w:hint="eastAsia"/>
                <w:color w:val="auto"/>
                <w:lang w:eastAsia="zh-CN"/>
              </w:rPr>
              <w:t>）</w:t>
            </w:r>
            <w:r>
              <w:rPr>
                <w:rFonts w:hint="eastAsia"/>
                <w:color w:val="auto"/>
                <w:lang w:val="en-US" w:eastAsia="zh-CN"/>
              </w:rPr>
              <w:t>3</w:t>
            </w:r>
            <w:r>
              <w:rPr>
                <w:rFonts w:hint="eastAsia"/>
                <w:color w:val="auto"/>
              </w:rPr>
              <w:t>类</w:t>
            </w:r>
            <w:r>
              <w:rPr>
                <w:rFonts w:hint="eastAsia"/>
                <w:color w:val="auto"/>
                <w:lang w:val="en-US" w:eastAsia="zh-CN"/>
              </w:rPr>
              <w:t>昼、夜间</w:t>
            </w:r>
            <w:r>
              <w:rPr>
                <w:rFonts w:hint="eastAsia"/>
                <w:color w:val="auto"/>
              </w:rPr>
              <w:t>标准要求</w:t>
            </w:r>
            <w:r>
              <w:rPr>
                <w:rFonts w:hint="eastAsia"/>
                <w:color w:val="auto"/>
                <w:lang w:eastAsia="zh-CN"/>
              </w:rPr>
              <w:t>。</w:t>
            </w:r>
          </w:p>
          <w:p>
            <w:pPr>
              <w:pStyle w:val="4"/>
              <w:bidi w:val="0"/>
              <w:rPr>
                <w:rFonts w:hint="eastAsia"/>
                <w:color w:val="auto"/>
                <w:lang w:val="en-US" w:eastAsia="zh-CN"/>
              </w:rPr>
            </w:pPr>
            <w:r>
              <w:rPr>
                <w:rFonts w:hint="eastAsia"/>
                <w:color w:val="auto"/>
                <w:lang w:val="en-US" w:eastAsia="zh-CN"/>
              </w:rPr>
              <w:t>4.4.3噪声监测计划</w:t>
            </w:r>
          </w:p>
          <w:p>
            <w:pPr>
              <w:pStyle w:val="8"/>
              <w:bidi w:val="0"/>
              <w:rPr>
                <w:rFonts w:hint="eastAsia"/>
                <w:color w:val="auto"/>
              </w:rPr>
            </w:pPr>
            <w:r>
              <w:rPr>
                <w:rFonts w:hint="eastAsia"/>
                <w:color w:val="auto"/>
                <w:lang w:val="en-US" w:eastAsia="zh-CN"/>
              </w:rPr>
              <w:t>本项目50m范围内无噪声环境敏感点，根据《工业企业厂界环境噪声排放标准》（GB12348-2008）中5.3.2测点位置一般规定“一般情况下，测点选在工业企业厂界外1m，高度1.2m以上”，本项目位于建筑物五层，西、北、南侧无法满足监测点位要求，东侧设有室外平台（宽3m）可满足监测点位要求，故依据《排污单位自行监测技术指南 总则》（</w:t>
            </w:r>
            <w:r>
              <w:rPr>
                <w:rFonts w:hint="default"/>
                <w:color w:val="auto"/>
                <w:lang w:val="en-US" w:eastAsia="zh-CN"/>
              </w:rPr>
              <w:t>HJ819-2017</w:t>
            </w:r>
            <w:r>
              <w:rPr>
                <w:rFonts w:hint="eastAsia"/>
                <w:color w:val="auto"/>
                <w:lang w:val="en-US" w:eastAsia="zh-CN"/>
              </w:rPr>
              <w:t>），本项目对东侧厂界外1m进行噪声监测，本项目噪声监测计划见下表。</w:t>
            </w:r>
          </w:p>
          <w:p>
            <w:pPr>
              <w:pStyle w:val="83"/>
              <w:spacing w:before="120"/>
              <w:rPr>
                <w:color w:val="auto"/>
              </w:rPr>
            </w:pPr>
            <w:r>
              <w:rPr>
                <w:rFonts w:hint="eastAsia"/>
                <w:color w:val="auto"/>
              </w:rPr>
              <w:t>表4-</w:t>
            </w:r>
            <w:r>
              <w:rPr>
                <w:rFonts w:hint="eastAsia"/>
                <w:color w:val="auto"/>
                <w:lang w:val="en-US" w:eastAsia="zh-CN"/>
              </w:rPr>
              <w:t>24</w:t>
            </w:r>
            <w:r>
              <w:rPr>
                <w:rFonts w:hint="eastAsia"/>
                <w:color w:val="auto"/>
              </w:rPr>
              <w:t xml:space="preserve">  本项目自行监测计划</w:t>
            </w:r>
          </w:p>
          <w:tbl>
            <w:tblPr>
              <w:tblStyle w:val="29"/>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36"/>
              <w:gridCol w:w="2016"/>
              <w:gridCol w:w="1930"/>
              <w:gridCol w:w="1550"/>
              <w:gridCol w:w="60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553" w:type="pct"/>
                  <w:tcBorders>
                    <w:tl2br w:val="nil"/>
                    <w:tr2bl w:val="nil"/>
                  </w:tcBorders>
                  <w:vAlign w:val="center"/>
                </w:tcPr>
                <w:p>
                  <w:pPr>
                    <w:snapToGrid w:val="0"/>
                    <w:spacing w:line="240" w:lineRule="auto"/>
                    <w:jc w:val="center"/>
                    <w:rPr>
                      <w:b/>
                      <w:bCs/>
                      <w:color w:val="auto"/>
                      <w:sz w:val="21"/>
                      <w:szCs w:val="21"/>
                    </w:rPr>
                  </w:pPr>
                  <w:r>
                    <w:rPr>
                      <w:b/>
                      <w:bCs/>
                      <w:color w:val="auto"/>
                      <w:sz w:val="21"/>
                      <w:szCs w:val="21"/>
                    </w:rPr>
                    <w:t>污染物类型</w:t>
                  </w:r>
                </w:p>
              </w:tc>
              <w:tc>
                <w:tcPr>
                  <w:tcW w:w="776" w:type="pct"/>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监测位置</w:t>
                  </w:r>
                </w:p>
              </w:tc>
              <w:tc>
                <w:tcPr>
                  <w:tcW w:w="743" w:type="pct"/>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监测项目</w:t>
                  </w:r>
                </w:p>
              </w:tc>
              <w:tc>
                <w:tcPr>
                  <w:tcW w:w="597" w:type="pct"/>
                  <w:tcBorders>
                    <w:tl2br w:val="nil"/>
                    <w:tr2bl w:val="nil"/>
                  </w:tcBorders>
                  <w:vAlign w:val="center"/>
                </w:tcPr>
                <w:p>
                  <w:pPr>
                    <w:snapToGrid w:val="0"/>
                    <w:spacing w:line="240" w:lineRule="auto"/>
                    <w:jc w:val="center"/>
                    <w:rPr>
                      <w:b/>
                      <w:bCs/>
                      <w:color w:val="auto"/>
                      <w:sz w:val="21"/>
                      <w:szCs w:val="21"/>
                    </w:rPr>
                  </w:pPr>
                  <w:r>
                    <w:rPr>
                      <w:b/>
                      <w:bCs/>
                      <w:color w:val="auto"/>
                      <w:sz w:val="21"/>
                      <w:szCs w:val="21"/>
                    </w:rPr>
                    <w:t>监测频次</w:t>
                  </w:r>
                </w:p>
              </w:tc>
              <w:tc>
                <w:tcPr>
                  <w:tcW w:w="2329" w:type="pct"/>
                  <w:tcBorders>
                    <w:tl2br w:val="nil"/>
                    <w:tr2bl w:val="nil"/>
                  </w:tcBorders>
                  <w:vAlign w:val="center"/>
                </w:tcPr>
                <w:p>
                  <w:pPr>
                    <w:snapToGrid w:val="0"/>
                    <w:spacing w:line="240" w:lineRule="auto"/>
                    <w:jc w:val="center"/>
                    <w:rPr>
                      <w:b/>
                      <w:bCs/>
                      <w:color w:val="auto"/>
                      <w:sz w:val="21"/>
                      <w:szCs w:val="21"/>
                    </w:rPr>
                  </w:pPr>
                  <w:r>
                    <w:rPr>
                      <w:rFonts w:hint="eastAsia"/>
                      <w:b/>
                      <w:bCs/>
                      <w:color w:val="auto"/>
                      <w:sz w:val="21"/>
                      <w:szCs w:val="21"/>
                    </w:rPr>
                    <w:t>执行排放标准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53" w:type="pct"/>
                  <w:tcBorders>
                    <w:tl2br w:val="nil"/>
                    <w:tr2bl w:val="nil"/>
                  </w:tcBorders>
                  <w:vAlign w:val="center"/>
                </w:tcPr>
                <w:p>
                  <w:pPr>
                    <w:snapToGrid w:val="0"/>
                    <w:spacing w:line="240" w:lineRule="auto"/>
                    <w:jc w:val="center"/>
                    <w:rPr>
                      <w:color w:val="auto"/>
                      <w:sz w:val="21"/>
                      <w:szCs w:val="21"/>
                    </w:rPr>
                  </w:pPr>
                  <w:r>
                    <w:rPr>
                      <w:color w:val="auto"/>
                      <w:sz w:val="21"/>
                      <w:szCs w:val="21"/>
                    </w:rPr>
                    <w:t>噪声</w:t>
                  </w:r>
                </w:p>
              </w:tc>
              <w:tc>
                <w:tcPr>
                  <w:tcW w:w="776" w:type="pct"/>
                  <w:tcBorders>
                    <w:tl2br w:val="nil"/>
                    <w:tr2bl w:val="nil"/>
                  </w:tcBorders>
                  <w:vAlign w:val="center"/>
                </w:tcPr>
                <w:p>
                  <w:pPr>
                    <w:snapToGrid w:val="0"/>
                    <w:spacing w:line="240" w:lineRule="auto"/>
                    <w:jc w:val="center"/>
                    <w:rPr>
                      <w:rFonts w:hint="eastAsia" w:eastAsia="宋体"/>
                      <w:color w:val="auto"/>
                      <w:sz w:val="21"/>
                      <w:szCs w:val="21"/>
                      <w:lang w:eastAsia="zh-CN"/>
                    </w:rPr>
                  </w:pPr>
                  <w:r>
                    <w:rPr>
                      <w:rFonts w:hint="eastAsia"/>
                      <w:color w:val="auto"/>
                      <w:sz w:val="21"/>
                      <w:szCs w:val="21"/>
                    </w:rPr>
                    <w:t>东侧</w:t>
                  </w:r>
                  <w:r>
                    <w:rPr>
                      <w:rFonts w:hint="eastAsia"/>
                      <w:color w:val="auto"/>
                      <w:sz w:val="21"/>
                      <w:szCs w:val="21"/>
                      <w:lang w:eastAsia="zh-CN"/>
                    </w:rPr>
                    <w:t>室外平台</w:t>
                  </w:r>
                </w:p>
              </w:tc>
              <w:tc>
                <w:tcPr>
                  <w:tcW w:w="743" w:type="pct"/>
                  <w:tcBorders>
                    <w:tl2br w:val="nil"/>
                    <w:tr2bl w:val="nil"/>
                  </w:tcBorders>
                  <w:vAlign w:val="center"/>
                </w:tcPr>
                <w:p>
                  <w:pPr>
                    <w:snapToGrid w:val="0"/>
                    <w:spacing w:line="240" w:lineRule="auto"/>
                    <w:jc w:val="center"/>
                    <w:rPr>
                      <w:color w:val="auto"/>
                      <w:sz w:val="21"/>
                      <w:szCs w:val="21"/>
                    </w:rPr>
                  </w:pPr>
                  <w:r>
                    <w:rPr>
                      <w:color w:val="auto"/>
                      <w:sz w:val="21"/>
                      <w:szCs w:val="21"/>
                    </w:rPr>
                    <w:t>等效连续A声级</w:t>
                  </w:r>
                </w:p>
              </w:tc>
              <w:tc>
                <w:tcPr>
                  <w:tcW w:w="597" w:type="pct"/>
                  <w:tcBorders>
                    <w:tl2br w:val="nil"/>
                    <w:tr2bl w:val="nil"/>
                  </w:tcBorders>
                  <w:vAlign w:val="center"/>
                </w:tcPr>
                <w:p>
                  <w:pPr>
                    <w:snapToGrid w:val="0"/>
                    <w:spacing w:line="240" w:lineRule="auto"/>
                    <w:jc w:val="center"/>
                    <w:rPr>
                      <w:rFonts w:hint="eastAsia"/>
                      <w:color w:val="auto"/>
                      <w:sz w:val="21"/>
                      <w:szCs w:val="21"/>
                      <w:lang w:val="en-US" w:eastAsia="zh-CN"/>
                    </w:rPr>
                  </w:pPr>
                  <w:r>
                    <w:rPr>
                      <w:color w:val="auto"/>
                      <w:sz w:val="21"/>
                      <w:szCs w:val="21"/>
                    </w:rPr>
                    <w:t>1次</w:t>
                  </w:r>
                  <w:r>
                    <w:rPr>
                      <w:rFonts w:hint="eastAsia"/>
                      <w:color w:val="auto"/>
                      <w:sz w:val="21"/>
                      <w:szCs w:val="21"/>
                      <w:lang w:val="en-US" w:eastAsia="zh-CN"/>
                    </w:rPr>
                    <w:t>/</w:t>
                  </w:r>
                  <w:r>
                    <w:rPr>
                      <w:color w:val="auto"/>
                      <w:sz w:val="21"/>
                      <w:szCs w:val="21"/>
                    </w:rPr>
                    <w:t>季度</w:t>
                  </w:r>
                </w:p>
              </w:tc>
              <w:tc>
                <w:tcPr>
                  <w:tcW w:w="2329" w:type="pct"/>
                  <w:tcBorders>
                    <w:tl2br w:val="nil"/>
                    <w:tr2bl w:val="nil"/>
                  </w:tcBorders>
                  <w:vAlign w:val="center"/>
                </w:tcPr>
                <w:p>
                  <w:pPr>
                    <w:snapToGrid w:val="0"/>
                    <w:spacing w:line="240" w:lineRule="auto"/>
                    <w:jc w:val="center"/>
                    <w:rPr>
                      <w:color w:val="auto"/>
                      <w:sz w:val="21"/>
                      <w:szCs w:val="21"/>
                    </w:rPr>
                  </w:pPr>
                  <w:r>
                    <w:rPr>
                      <w:rFonts w:hint="eastAsia"/>
                      <w:color w:val="auto"/>
                      <w:sz w:val="21"/>
                      <w:szCs w:val="21"/>
                    </w:rPr>
                    <w:t>《工业企业厂界环境噪声排放标准》（GB12348-2008）3类标准</w:t>
                  </w: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
        <w:gridCol w:w="8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2" w:type="dxa"/>
          </w:tcPr>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vertAlign w:val="baseline"/>
              </w:rPr>
            </w:pPr>
          </w:p>
        </w:tc>
        <w:tc>
          <w:tcPr>
            <w:tcW w:w="8588" w:type="dxa"/>
          </w:tcPr>
          <w:p>
            <w:pPr>
              <w:pStyle w:val="8"/>
              <w:bidi w:val="0"/>
              <w:rPr>
                <w:b/>
                <w:bCs/>
                <w:color w:val="auto"/>
              </w:rPr>
            </w:pPr>
            <w:r>
              <w:rPr>
                <w:rFonts w:hint="eastAsia"/>
                <w:b/>
                <w:bCs/>
                <w:color w:val="auto"/>
                <w:lang w:val="en-US" w:eastAsia="zh-CN"/>
              </w:rPr>
              <w:t>4.5</w:t>
            </w:r>
            <w:r>
              <w:rPr>
                <w:b/>
                <w:bCs/>
                <w:color w:val="auto"/>
              </w:rPr>
              <w:t>固体废物环境影响分析</w:t>
            </w:r>
          </w:p>
          <w:p>
            <w:pPr>
              <w:pStyle w:val="4"/>
              <w:bidi w:val="0"/>
              <w:rPr>
                <w:rFonts w:hint="default"/>
                <w:color w:val="auto"/>
                <w:lang w:val="en-US"/>
              </w:rPr>
            </w:pPr>
            <w:r>
              <w:rPr>
                <w:rFonts w:hint="eastAsia"/>
                <w:color w:val="auto"/>
                <w:lang w:val="en-US" w:eastAsia="zh-CN"/>
              </w:rPr>
              <w:t xml:space="preserve">4.5.1固体废物产生量  </w:t>
            </w:r>
          </w:p>
          <w:p>
            <w:pPr>
              <w:autoSpaceDE w:val="0"/>
              <w:autoSpaceDN w:val="0"/>
              <w:adjustRightInd w:val="0"/>
              <w:snapToGrid w:val="0"/>
              <w:spacing w:line="360" w:lineRule="auto"/>
              <w:ind w:firstLine="480" w:firstLineChars="200"/>
              <w:jc w:val="left"/>
              <w:rPr>
                <w:rFonts w:hint="eastAsia"/>
                <w:color w:val="auto"/>
                <w:lang w:val="en-US" w:eastAsia="zh-CN"/>
              </w:rPr>
            </w:pPr>
            <w:r>
              <w:rPr>
                <w:rFonts w:hint="eastAsia"/>
                <w:color w:val="auto"/>
                <w:lang w:val="en-US" w:eastAsia="zh-CN"/>
              </w:rPr>
              <w:t>本项目固体废物包括一般固体废物废包装物、废培养基、净水设备废弃物、动物粪便，生活垃圾和危险废物实验废液、实验废物（实验耗材枪头、离心管、载玻片、盖玻片、废试剂瓶等）、废活性炭、废培养基、废UV灯管、动物尸体、滤渣。</w:t>
            </w:r>
          </w:p>
          <w:p>
            <w:pPr>
              <w:pStyle w:val="8"/>
              <w:numPr>
                <w:ilvl w:val="0"/>
                <w:numId w:val="10"/>
              </w:numPr>
              <w:bidi w:val="0"/>
              <w:rPr>
                <w:rFonts w:hint="eastAsia"/>
                <w:color w:val="auto"/>
                <w:lang w:val="en-US" w:eastAsia="zh-CN"/>
              </w:rPr>
            </w:pPr>
            <w:r>
              <w:rPr>
                <w:rFonts w:hint="eastAsia"/>
                <w:color w:val="auto"/>
                <w:lang w:val="en-US" w:eastAsia="zh-CN"/>
              </w:rPr>
              <w:t>一般固体废物</w:t>
            </w:r>
          </w:p>
          <w:p>
            <w:pPr>
              <w:pStyle w:val="8"/>
              <w:bidi w:val="0"/>
              <w:rPr>
                <w:rFonts w:hint="eastAsia"/>
                <w:color w:val="auto"/>
                <w:lang w:val="en-US" w:eastAsia="zh-CN"/>
              </w:rPr>
            </w:pPr>
            <w:r>
              <w:rPr>
                <w:rFonts w:hint="eastAsia"/>
                <w:color w:val="auto"/>
                <w:lang w:val="en-US" w:eastAsia="zh-CN"/>
              </w:rPr>
              <w:t>①废包装物</w:t>
            </w:r>
          </w:p>
          <w:p>
            <w:pPr>
              <w:pStyle w:val="8"/>
              <w:bidi w:val="0"/>
              <w:rPr>
                <w:rFonts w:hint="eastAsia"/>
                <w:color w:val="auto"/>
                <w:lang w:val="en-US" w:eastAsia="zh-CN"/>
              </w:rPr>
            </w:pPr>
            <w:r>
              <w:rPr>
                <w:rFonts w:hint="eastAsia"/>
                <w:color w:val="auto"/>
                <w:lang w:val="en-US" w:eastAsia="zh-CN"/>
              </w:rPr>
              <w:t>本项目原材料拆包过程中产生的废包装物纸盒、塑料盒等，年产生量为0.01t/a，根据《一般固体废物分类与代码》（GB/T39198-2020），属于一般固体废物-其他废物，类别代码734-000-07，合理收集，定期交由物资回收公司回收。</w:t>
            </w:r>
          </w:p>
          <w:p>
            <w:pPr>
              <w:pStyle w:val="8"/>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②废培养基</w:t>
            </w:r>
          </w:p>
          <w:p>
            <w:pPr>
              <w:pStyle w:val="8"/>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本项目实验过程中产生的废培养基，主要为DMEM/F12培养基</w:t>
            </w:r>
            <w:r>
              <w:rPr>
                <w:rFonts w:hint="eastAsia" w:cs="Times New Roman"/>
                <w:color w:val="auto"/>
                <w:lang w:val="en-US" w:eastAsia="zh-CN"/>
              </w:rPr>
              <w:t>、DMEM/HIGH培养基、MEM/EBSS培养基</w:t>
            </w:r>
            <w:r>
              <w:rPr>
                <w:rFonts w:hint="eastAsia" w:ascii="Times New Roman" w:hAnsi="Times New Roman" w:eastAsia="宋体" w:cs="Times New Roman"/>
                <w:color w:val="auto"/>
                <w:lang w:val="en-US" w:eastAsia="zh-CN"/>
              </w:rPr>
              <w:t>等</w:t>
            </w:r>
            <w:r>
              <w:rPr>
                <w:rFonts w:hint="eastAsia" w:cs="Times New Roman"/>
                <w:color w:val="auto"/>
                <w:lang w:val="en-US" w:eastAsia="zh-CN"/>
              </w:rPr>
              <w:t>成品培养基，内含细胞所需</w:t>
            </w:r>
            <w:r>
              <w:rPr>
                <w:rFonts w:hint="eastAsia" w:ascii="Times New Roman" w:hAnsi="Times New Roman" w:eastAsia="宋体" w:cs="Times New Roman"/>
                <w:color w:val="auto"/>
                <w:lang w:val="en-US" w:eastAsia="zh-CN"/>
              </w:rPr>
              <w:t>营养物质，</w:t>
            </w:r>
            <w:r>
              <w:rPr>
                <w:rFonts w:hint="eastAsia" w:cs="Times New Roman"/>
                <w:color w:val="auto"/>
                <w:lang w:val="en-US" w:eastAsia="zh-CN"/>
              </w:rPr>
              <w:t>不含</w:t>
            </w:r>
            <w:r>
              <w:rPr>
                <w:rFonts w:hint="eastAsia" w:ascii="Times New Roman" w:hAnsi="Times New Roman" w:eastAsia="宋体" w:cs="Times New Roman"/>
                <w:color w:val="auto"/>
                <w:lang w:val="en-US" w:eastAsia="zh-CN"/>
              </w:rPr>
              <w:t>重金属无机废液</w:t>
            </w:r>
            <w:r>
              <w:rPr>
                <w:rFonts w:hint="eastAsia" w:cs="Times New Roman"/>
                <w:color w:val="auto"/>
                <w:lang w:val="en-US" w:eastAsia="zh-CN"/>
              </w:rPr>
              <w:t>、</w:t>
            </w:r>
            <w:r>
              <w:rPr>
                <w:rFonts w:hint="eastAsia" w:ascii="Times New Roman" w:hAnsi="Times New Roman" w:eastAsia="宋体" w:cs="Times New Roman"/>
                <w:color w:val="auto"/>
                <w:lang w:val="en-US" w:eastAsia="zh-CN"/>
              </w:rPr>
              <w:t>有机溶剂、甲醛有机废液，废酸、废碱</w:t>
            </w:r>
            <w:r>
              <w:rPr>
                <w:rFonts w:hint="eastAsia" w:cs="Times New Roman"/>
                <w:color w:val="auto"/>
                <w:lang w:val="en-US" w:eastAsia="zh-CN"/>
              </w:rPr>
              <w:t>等物质</w:t>
            </w:r>
            <w:r>
              <w:rPr>
                <w:rFonts w:hint="eastAsia" w:ascii="Times New Roman" w:hAnsi="Times New Roman" w:eastAsia="宋体" w:cs="Times New Roman"/>
                <w:color w:val="auto"/>
                <w:lang w:val="en-US" w:eastAsia="zh-CN"/>
              </w:rPr>
              <w:t>，使用后进行高温灭菌，产生量为</w:t>
            </w:r>
            <w:r>
              <w:rPr>
                <w:rFonts w:hint="eastAsia" w:cs="Times New Roman"/>
                <w:color w:val="auto"/>
                <w:lang w:val="en-US" w:eastAsia="zh-CN"/>
              </w:rPr>
              <w:t>0.1</w:t>
            </w:r>
            <w:r>
              <w:rPr>
                <w:rFonts w:hint="eastAsia"/>
                <w:color w:val="auto"/>
                <w:lang w:val="en-US" w:eastAsia="zh-CN"/>
              </w:rPr>
              <w:t>t/a</w:t>
            </w:r>
            <w:r>
              <w:rPr>
                <w:rFonts w:hint="eastAsia" w:ascii="Times New Roman" w:hAnsi="Times New Roman" w:eastAsia="宋体" w:cs="Times New Roman"/>
                <w:color w:val="auto"/>
                <w:lang w:val="en-US" w:eastAsia="zh-CN"/>
              </w:rPr>
              <w:t>，根据《一般固体废物分类与代码》（GB/T39198-2020），属于一般固体废物-其他废物，类别代码</w:t>
            </w: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r>
              <w:rPr>
                <w:rFonts w:hint="eastAsia" w:ascii="Times New Roman" w:hAnsi="Times New Roman" w:eastAsia="宋体" w:cs="Times New Roman"/>
                <w:color w:val="auto"/>
                <w:lang w:val="en-US" w:eastAsia="zh-CN"/>
              </w:rPr>
              <w:t>，合理收集，由</w:t>
            </w:r>
            <w:r>
              <w:rPr>
                <w:rFonts w:hint="eastAsia" w:cs="Times New Roman"/>
                <w:color w:val="auto"/>
                <w:lang w:val="en-US" w:eastAsia="zh-CN"/>
              </w:rPr>
              <w:t>城市管理部门</w:t>
            </w:r>
            <w:r>
              <w:rPr>
                <w:rFonts w:hint="eastAsia" w:ascii="Times New Roman" w:hAnsi="Times New Roman" w:eastAsia="宋体" w:cs="Times New Roman"/>
                <w:color w:val="auto"/>
                <w:lang w:val="en-US" w:eastAsia="zh-CN"/>
              </w:rPr>
              <w:t xml:space="preserve">定期清运。 </w:t>
            </w:r>
          </w:p>
          <w:p>
            <w:pPr>
              <w:pStyle w:val="8"/>
              <w:bidi w:val="0"/>
              <w:rPr>
                <w:rFonts w:hint="eastAsia" w:ascii="Times New Roman" w:hAnsi="Times New Roman" w:cs="Times New Roman"/>
                <w:color w:val="auto"/>
                <w:lang w:val="en-US" w:eastAsia="zh-CN"/>
              </w:rPr>
            </w:pPr>
            <w:r>
              <w:rPr>
                <w:rFonts w:hint="eastAsia" w:cs="Times New Roman"/>
                <w:color w:val="auto"/>
                <w:lang w:val="en-US" w:eastAsia="zh-CN"/>
              </w:rPr>
              <w:t>③</w:t>
            </w:r>
            <w:r>
              <w:rPr>
                <w:rFonts w:hint="eastAsia"/>
                <w:color w:val="auto"/>
                <w:lang w:val="en-US" w:eastAsia="zh-CN"/>
              </w:rPr>
              <w:t>动物粪便</w:t>
            </w:r>
          </w:p>
          <w:p>
            <w:pPr>
              <w:pStyle w:val="8"/>
              <w:bidi w:val="0"/>
              <w:rPr>
                <w:rFonts w:hint="default"/>
                <w:color w:val="auto"/>
                <w:lang w:val="en-US" w:eastAsia="zh-CN"/>
              </w:rPr>
            </w:pPr>
            <w:r>
              <w:rPr>
                <w:rFonts w:hint="eastAsia"/>
                <w:color w:val="auto"/>
                <w:lang w:val="en-US" w:eastAsia="zh-CN"/>
              </w:rPr>
              <w:t>本项目饲养的动物</w:t>
            </w:r>
            <w:r>
              <w:rPr>
                <w:rFonts w:hint="eastAsia" w:ascii="宋体" w:hAnsi="宋体"/>
                <w:color w:val="auto"/>
              </w:rPr>
              <w:t>产生的排泄物，</w:t>
            </w:r>
            <w:r>
              <w:rPr>
                <w:rFonts w:hint="eastAsia" w:ascii="宋体" w:hAnsi="宋体"/>
                <w:color w:val="auto"/>
                <w:lang w:eastAsia="zh-CN"/>
              </w:rPr>
              <w:t>由笼子里的垫料收集，使用</w:t>
            </w:r>
            <w:r>
              <w:rPr>
                <w:rFonts w:hint="default" w:ascii="Times New Roman" w:hAnsi="Times New Roman" w:cs="Times New Roman"/>
                <w:color w:val="auto"/>
                <w:lang w:val="en-US" w:eastAsia="zh-CN"/>
              </w:rPr>
              <w:t>84消毒</w:t>
            </w:r>
            <w:r>
              <w:rPr>
                <w:rFonts w:hint="eastAsia" w:ascii="宋体" w:hAnsi="宋体"/>
                <w:color w:val="auto"/>
                <w:lang w:val="en-US" w:eastAsia="zh-CN"/>
              </w:rPr>
              <w:t>液</w:t>
            </w:r>
            <w:r>
              <w:rPr>
                <w:rFonts w:hint="eastAsia" w:ascii="宋体" w:hAnsi="宋体"/>
                <w:color w:val="auto"/>
              </w:rPr>
              <w:t>进行消毒</w:t>
            </w:r>
            <w:r>
              <w:rPr>
                <w:rFonts w:hint="eastAsia"/>
                <w:color w:val="auto"/>
                <w:lang w:val="en-US" w:eastAsia="zh-CN"/>
              </w:rPr>
              <w:t>，</w:t>
            </w:r>
            <w:r>
              <w:rPr>
                <w:rFonts w:hint="eastAsia"/>
                <w:color w:val="auto"/>
                <w:lang w:eastAsia="zh-CN"/>
              </w:rPr>
              <w:t>饲养</w:t>
            </w:r>
            <w:r>
              <w:rPr>
                <w:rFonts w:hint="eastAsia"/>
                <w:color w:val="auto"/>
                <w:lang w:val="en-US" w:eastAsia="zh-CN"/>
              </w:rPr>
              <w:t>12000</w:t>
            </w:r>
            <w:r>
              <w:rPr>
                <w:rFonts w:hint="eastAsia"/>
                <w:color w:val="auto"/>
                <w:lang w:eastAsia="zh-CN"/>
              </w:rPr>
              <w:t>只鼠，</w:t>
            </w:r>
            <w:r>
              <w:rPr>
                <w:rFonts w:hint="eastAsia"/>
                <w:color w:val="auto"/>
                <w:lang w:val="en-US" w:eastAsia="zh-CN"/>
              </w:rPr>
              <w:t>2000只兔子，</w:t>
            </w:r>
            <w:r>
              <w:rPr>
                <w:rFonts w:hint="eastAsia"/>
                <w:color w:val="auto"/>
              </w:rPr>
              <w:t>产生量按照0.0</w:t>
            </w:r>
            <w:r>
              <w:rPr>
                <w:rFonts w:hint="eastAsia"/>
                <w:color w:val="auto"/>
                <w:lang w:val="en-US" w:eastAsia="zh-CN"/>
              </w:rPr>
              <w:t>0</w:t>
            </w:r>
            <w:r>
              <w:rPr>
                <w:rFonts w:hint="eastAsia"/>
                <w:color w:val="auto"/>
              </w:rPr>
              <w:t>5kg/只</w:t>
            </w:r>
            <w:r>
              <w:rPr>
                <w:rFonts w:hint="eastAsia"/>
                <w:color w:val="auto"/>
                <w:lang w:eastAsia="zh-CN"/>
              </w:rPr>
              <w:t>动物</w:t>
            </w:r>
            <w:r>
              <w:rPr>
                <w:rFonts w:hint="eastAsia"/>
                <w:color w:val="auto"/>
              </w:rPr>
              <w:t>进行计算，</w:t>
            </w:r>
            <w:r>
              <w:rPr>
                <w:rFonts w:hint="eastAsia"/>
                <w:color w:val="auto"/>
                <w:lang w:eastAsia="zh-CN"/>
              </w:rPr>
              <w:t>饲养期按</w:t>
            </w:r>
            <w:r>
              <w:rPr>
                <w:rFonts w:hint="eastAsia"/>
                <w:color w:val="auto"/>
                <w:lang w:val="en-US" w:eastAsia="zh-CN"/>
              </w:rPr>
              <w:t>10天计，产生量约0.7t/a；动物垫料年用量为1t/a。动物粪便合计产生量为1.7t/a，</w:t>
            </w:r>
            <w:r>
              <w:rPr>
                <w:rFonts w:hint="eastAsia" w:ascii="Times New Roman" w:hAnsi="Times New Roman" w:eastAsia="宋体" w:cs="Times New Roman"/>
                <w:color w:val="auto"/>
                <w:lang w:val="en-US" w:eastAsia="zh-CN"/>
              </w:rPr>
              <w:t>根据《一般固体废物分类与代码》（GB/T39198-2020），属于一般固体废物-其他废物，类别代码</w:t>
            </w: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r>
              <w:rPr>
                <w:rFonts w:hint="eastAsia" w:ascii="Times New Roman" w:hAnsi="Times New Roman" w:eastAsia="宋体" w:cs="Times New Roman"/>
                <w:color w:val="auto"/>
                <w:lang w:val="en-US" w:eastAsia="zh-CN"/>
              </w:rPr>
              <w:t>，合理收集，由</w:t>
            </w:r>
            <w:r>
              <w:rPr>
                <w:rFonts w:hint="eastAsia" w:cs="Times New Roman"/>
                <w:color w:val="auto"/>
                <w:lang w:val="en-US" w:eastAsia="zh-CN"/>
              </w:rPr>
              <w:t>城市管理部门</w:t>
            </w:r>
            <w:r>
              <w:rPr>
                <w:rFonts w:hint="eastAsia" w:ascii="Times New Roman" w:hAnsi="Times New Roman" w:eastAsia="宋体" w:cs="Times New Roman"/>
                <w:color w:val="auto"/>
                <w:lang w:val="en-US" w:eastAsia="zh-CN"/>
              </w:rPr>
              <w:t xml:space="preserve">定期清运。 </w:t>
            </w:r>
          </w:p>
          <w:p>
            <w:pPr>
              <w:pStyle w:val="8"/>
              <w:bidi w:val="0"/>
              <w:rPr>
                <w:rFonts w:hint="eastAsia" w:cs="Times New Roman"/>
                <w:color w:val="auto"/>
                <w:lang w:val="en-US" w:eastAsia="zh-CN"/>
              </w:rPr>
            </w:pPr>
            <w:r>
              <w:rPr>
                <w:rFonts w:hint="eastAsia" w:cs="Times New Roman"/>
                <w:color w:val="auto"/>
                <w:lang w:val="en-US" w:eastAsia="zh-CN"/>
              </w:rPr>
              <w:t>④净水设备废弃物</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ascii="Times New Roman" w:hAnsi="Times New Roman" w:eastAsia="宋体" w:cs="Times New Roman"/>
                <w:b w:val="0"/>
                <w:bCs w:val="0"/>
                <w:caps w:val="0"/>
                <w:color w:val="auto"/>
                <w:kern w:val="2"/>
                <w:sz w:val="24"/>
                <w:szCs w:val="24"/>
                <w:lang w:val="en-US" w:eastAsia="zh-CN" w:bidi="ar-SA"/>
              </w:rPr>
              <w:t>本项目动物饮水使用净水机净化后饮用，净水机</w:t>
            </w:r>
            <w:r>
              <w:rPr>
                <w:rFonts w:hint="eastAsia" w:cs="Times New Roman"/>
                <w:b w:val="0"/>
                <w:bCs w:val="0"/>
                <w:caps w:val="0"/>
                <w:color w:val="auto"/>
                <w:kern w:val="2"/>
                <w:sz w:val="24"/>
                <w:szCs w:val="24"/>
                <w:lang w:val="en-US" w:eastAsia="zh-CN" w:bidi="ar-SA"/>
              </w:rPr>
              <w:t>PP</w:t>
            </w:r>
            <w:r>
              <w:rPr>
                <w:rFonts w:hint="eastAsia" w:ascii="Times New Roman" w:hAnsi="Times New Roman" w:eastAsia="宋体" w:cs="Times New Roman"/>
                <w:b w:val="0"/>
                <w:bCs w:val="0"/>
                <w:caps w:val="0"/>
                <w:color w:val="auto"/>
                <w:kern w:val="2"/>
                <w:sz w:val="24"/>
                <w:szCs w:val="24"/>
                <w:lang w:val="en-US" w:eastAsia="zh-CN" w:bidi="ar-SA"/>
              </w:rPr>
              <w:t>滤芯、</w:t>
            </w:r>
            <w:r>
              <w:rPr>
                <w:rFonts w:hint="eastAsia" w:cs="Times New Roman"/>
                <w:b w:val="0"/>
                <w:bCs w:val="0"/>
                <w:caps w:val="0"/>
                <w:color w:val="auto"/>
                <w:kern w:val="2"/>
                <w:sz w:val="24"/>
                <w:szCs w:val="24"/>
                <w:lang w:val="en-US" w:eastAsia="zh-CN" w:bidi="ar-SA"/>
              </w:rPr>
              <w:t>活性炭滤芯、</w:t>
            </w:r>
            <w:r>
              <w:rPr>
                <w:rFonts w:hint="eastAsia" w:ascii="Times New Roman" w:hAnsi="Times New Roman" w:eastAsia="宋体" w:cs="Times New Roman"/>
                <w:b w:val="0"/>
                <w:bCs w:val="0"/>
                <w:caps w:val="0"/>
                <w:color w:val="auto"/>
                <w:kern w:val="2"/>
                <w:sz w:val="24"/>
                <w:szCs w:val="24"/>
                <w:lang w:val="en-US" w:eastAsia="zh-CN" w:bidi="ar-SA"/>
              </w:rPr>
              <w:t>RO膜定期更换，由设备单位更换，产生量为0.01t/a，根据《一般固体废物分类与代码》（GB/T39198-2020），属于一般</w:t>
            </w:r>
            <w:r>
              <w:rPr>
                <w:rFonts w:hint="eastAsia" w:ascii="Times New Roman" w:hAnsi="Times New Roman" w:eastAsia="宋体" w:cs="Times New Roman"/>
                <w:color w:val="auto"/>
                <w:lang w:val="en-US" w:eastAsia="zh-CN"/>
              </w:rPr>
              <w:t>固体废物-其他废物，类别代码</w:t>
            </w: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r>
              <w:rPr>
                <w:rFonts w:hint="eastAsia" w:ascii="Times New Roman" w:hAnsi="Times New Roman" w:eastAsia="宋体" w:cs="Times New Roman"/>
                <w:color w:val="auto"/>
                <w:lang w:val="en-US" w:eastAsia="zh-CN"/>
              </w:rPr>
              <w:t>，合理收集，由</w:t>
            </w:r>
            <w:r>
              <w:rPr>
                <w:rFonts w:hint="eastAsia" w:cs="Times New Roman"/>
                <w:color w:val="auto"/>
                <w:lang w:val="en-US" w:eastAsia="zh-CN"/>
              </w:rPr>
              <w:t>城市管理部门</w:t>
            </w:r>
            <w:r>
              <w:rPr>
                <w:rFonts w:hint="eastAsia" w:ascii="Times New Roman" w:hAnsi="Times New Roman" w:eastAsia="宋体" w:cs="Times New Roman"/>
                <w:color w:val="auto"/>
                <w:lang w:val="en-US" w:eastAsia="zh-CN"/>
              </w:rPr>
              <w:t>定期清运</w:t>
            </w:r>
            <w:r>
              <w:rPr>
                <w:rFonts w:hint="eastAsia" w:cs="Times New Roman"/>
                <w:color w:val="auto"/>
                <w:lang w:val="en-US" w:eastAsia="zh-CN"/>
              </w:rPr>
              <w:t>。</w:t>
            </w:r>
          </w:p>
          <w:p>
            <w:pPr>
              <w:pStyle w:val="8"/>
              <w:bidi w:val="0"/>
              <w:rPr>
                <w:rFonts w:hint="default"/>
                <w:color w:val="auto"/>
                <w:lang w:val="en-US" w:eastAsia="zh-CN"/>
              </w:rPr>
            </w:pPr>
            <w:r>
              <w:rPr>
                <w:rFonts w:hint="eastAsia"/>
                <w:color w:val="auto"/>
                <w:lang w:val="en-US" w:eastAsia="zh-CN"/>
              </w:rPr>
              <w:t>（2）生活垃圾</w:t>
            </w:r>
          </w:p>
          <w:p>
            <w:pPr>
              <w:pStyle w:val="8"/>
              <w:bidi w:val="0"/>
              <w:rPr>
                <w:rFonts w:hint="eastAsia"/>
                <w:color w:val="auto"/>
                <w:lang w:val="en-US" w:eastAsia="zh-CN"/>
              </w:rPr>
            </w:pPr>
            <w:r>
              <w:rPr>
                <w:rFonts w:hint="eastAsia"/>
                <w:color w:val="auto"/>
                <w:lang w:val="en-US" w:eastAsia="zh-CN"/>
              </w:rPr>
              <w:t xml:space="preserve">本项目年工作250天，职工总人数19人。生活垃圾产生量按0.5kg/人·d 计，则生活垃圾产生量约2.375t/a。生活垃圾由城市管理部门定期清运。 </w:t>
            </w:r>
          </w:p>
          <w:p>
            <w:pPr>
              <w:pStyle w:val="8"/>
              <w:bidi w:val="0"/>
              <w:rPr>
                <w:rFonts w:hint="default"/>
                <w:color w:val="auto"/>
                <w:lang w:val="en-US" w:eastAsia="zh-CN"/>
              </w:rPr>
            </w:pPr>
            <w:r>
              <w:rPr>
                <w:rFonts w:hint="eastAsia"/>
                <w:color w:val="auto"/>
                <w:lang w:val="en-US" w:eastAsia="zh-CN"/>
              </w:rPr>
              <w:t>（3）危险废物</w:t>
            </w:r>
          </w:p>
          <w:p>
            <w:pPr>
              <w:pStyle w:val="8"/>
              <w:bidi w:val="0"/>
              <w:rPr>
                <w:rFonts w:hint="eastAsia"/>
                <w:color w:val="auto"/>
                <w:lang w:val="en-US" w:eastAsia="zh-CN"/>
              </w:rPr>
            </w:pPr>
            <w:r>
              <w:rPr>
                <w:rFonts w:hint="eastAsia"/>
                <w:color w:val="auto"/>
                <w:lang w:val="en-US" w:eastAsia="zh-CN"/>
              </w:rPr>
              <w:t>①实验废液</w:t>
            </w:r>
          </w:p>
          <w:p>
            <w:pPr>
              <w:pStyle w:val="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本项目实验废液包括检测后的剩余试剂、实验后的第1、2次清洗废水，检测后的剩余试剂产生量</w:t>
            </w:r>
            <w:r>
              <w:rPr>
                <w:rFonts w:hint="eastAsia" w:cs="Times New Roman"/>
                <w:color w:val="auto"/>
                <w:lang w:val="en-US" w:eastAsia="zh-CN"/>
              </w:rPr>
              <w:t>按化学试剂用量50%计，0.795</w:t>
            </w:r>
            <w:r>
              <w:rPr>
                <w:rFonts w:hint="eastAsia"/>
                <w:color w:val="auto"/>
                <w:lang w:val="en-US" w:eastAsia="zh-CN"/>
              </w:rPr>
              <w:t>t/a；</w:t>
            </w:r>
            <w:r>
              <w:rPr>
                <w:rFonts w:hint="eastAsia" w:ascii="Times New Roman" w:hAnsi="Times New Roman" w:eastAsia="宋体" w:cs="Times New Roman"/>
                <w:color w:val="auto"/>
                <w:lang w:val="en-US" w:eastAsia="zh-CN"/>
              </w:rPr>
              <w:t>实验后的第1、2次清洗废水产生量为</w:t>
            </w:r>
            <w:r>
              <w:rPr>
                <w:rFonts w:hint="eastAsia"/>
                <w:color w:val="auto"/>
                <w:lang w:val="en-US" w:eastAsia="zh-CN"/>
              </w:rPr>
              <w:t>0.225t/a</w:t>
            </w:r>
            <w:r>
              <w:rPr>
                <w:rFonts w:hint="eastAsia" w:ascii="Times New Roman" w:hAnsi="Times New Roman" w:eastAsia="宋体" w:cs="Times New Roman"/>
                <w:color w:val="auto"/>
                <w:lang w:val="en-US" w:eastAsia="zh-CN"/>
              </w:rPr>
              <w:t>，</w:t>
            </w:r>
            <w:r>
              <w:rPr>
                <w:rFonts w:hint="eastAsia" w:cs="Times New Roman"/>
                <w:color w:val="auto"/>
                <w:lang w:val="en-US" w:eastAsia="zh-CN"/>
              </w:rPr>
              <w:t>实验清洗废水经水槽下方软管连接塑料收集桶收集，</w:t>
            </w:r>
            <w:r>
              <w:rPr>
                <w:rFonts w:hint="eastAsia" w:ascii="Times New Roman" w:hAnsi="Times New Roman" w:eastAsia="宋体" w:cs="Times New Roman"/>
                <w:color w:val="auto"/>
                <w:lang w:val="en-US" w:eastAsia="zh-CN"/>
              </w:rPr>
              <w:t>合计产生实验废液</w:t>
            </w:r>
            <w:r>
              <w:rPr>
                <w:rFonts w:hint="eastAsia" w:cs="Times New Roman"/>
                <w:color w:val="auto"/>
                <w:lang w:val="en-US" w:eastAsia="zh-CN"/>
              </w:rPr>
              <w:t>1.02</w:t>
            </w:r>
            <w:r>
              <w:rPr>
                <w:rFonts w:hint="eastAsia"/>
                <w:color w:val="auto"/>
                <w:lang w:val="en-US" w:eastAsia="zh-CN"/>
              </w:rPr>
              <w:t>t/a</w:t>
            </w:r>
            <w:r>
              <w:rPr>
                <w:rFonts w:hint="eastAsia" w:ascii="Times New Roman" w:hAnsi="Times New Roman" w:eastAsia="宋体" w:cs="Times New Roman"/>
                <w:color w:val="auto"/>
                <w:lang w:val="en-US" w:eastAsia="zh-CN"/>
              </w:rPr>
              <w:t>，</w:t>
            </w:r>
            <w:r>
              <w:rPr>
                <w:color w:val="auto"/>
              </w:rPr>
              <w:t>参照《国家危险废物名录（2021年版）》，属于“</w:t>
            </w:r>
            <w:r>
              <w:rPr>
                <w:rFonts w:hint="eastAsia"/>
                <w:color w:val="auto"/>
                <w:lang w:val="en-US" w:eastAsia="zh-CN"/>
              </w:rPr>
              <w:t>HW49其他废物</w:t>
            </w:r>
            <w:r>
              <w:rPr>
                <w:color w:val="auto"/>
              </w:rPr>
              <w:t>”类别，危险废物代码</w:t>
            </w:r>
            <w:r>
              <w:rPr>
                <w:rFonts w:hint="eastAsia"/>
                <w:color w:val="auto"/>
              </w:rPr>
              <w:t>900-0</w:t>
            </w:r>
            <w:r>
              <w:rPr>
                <w:rFonts w:hint="eastAsia"/>
                <w:color w:val="auto"/>
                <w:lang w:val="en-US" w:eastAsia="zh-CN"/>
              </w:rPr>
              <w:t>47</w:t>
            </w:r>
            <w:r>
              <w:rPr>
                <w:rFonts w:hint="eastAsia"/>
                <w:color w:val="auto"/>
              </w:rPr>
              <w:t>-</w:t>
            </w:r>
            <w:r>
              <w:rPr>
                <w:rFonts w:hint="eastAsia"/>
                <w:color w:val="auto"/>
                <w:lang w:val="en-US" w:eastAsia="zh-CN"/>
              </w:rPr>
              <w:t>49</w:t>
            </w:r>
            <w:r>
              <w:rPr>
                <w:rFonts w:hint="eastAsia"/>
                <w:color w:val="auto"/>
                <w:lang w:eastAsia="zh-CN"/>
              </w:rPr>
              <w:t>，</w:t>
            </w:r>
            <w:r>
              <w:rPr>
                <w:rFonts w:hint="eastAsia"/>
                <w:color w:val="auto"/>
                <w:lang w:val="en-US" w:eastAsia="zh-CN"/>
              </w:rPr>
              <w:t>收集后暂存于危险废物暂存间，委托有资质单位进行处置。</w:t>
            </w:r>
          </w:p>
          <w:p>
            <w:pPr>
              <w:pStyle w:val="8"/>
              <w:bidi w:val="0"/>
              <w:rPr>
                <w:rFonts w:hint="eastAsia"/>
                <w:color w:val="auto"/>
                <w:lang w:val="en-US" w:eastAsia="zh-CN"/>
              </w:rPr>
            </w:pPr>
            <w:r>
              <w:rPr>
                <w:rFonts w:hint="eastAsia" w:ascii="Times New Roman" w:hAnsi="Times New Roman" w:cs="Times New Roman"/>
                <w:color w:val="auto"/>
                <w:lang w:val="en-US" w:eastAsia="zh-CN"/>
              </w:rPr>
              <w:t>②</w:t>
            </w:r>
            <w:r>
              <w:rPr>
                <w:rFonts w:hint="eastAsia"/>
                <w:color w:val="auto"/>
                <w:lang w:val="en-US" w:eastAsia="zh-CN"/>
              </w:rPr>
              <w:t>废活性炭</w:t>
            </w:r>
          </w:p>
          <w:p>
            <w:pPr>
              <w:pStyle w:val="8"/>
              <w:bidi w:val="0"/>
              <w:rPr>
                <w:color w:val="auto"/>
              </w:rPr>
            </w:pPr>
            <w:r>
              <w:rPr>
                <w:rFonts w:hint="eastAsia"/>
                <w:color w:val="auto"/>
                <w:lang w:val="en-US" w:eastAsia="zh-CN"/>
              </w:rPr>
              <w:t>本项目“活性炭吸附”装置需定期更换活性炭，废活性炭产生量=活性炭填充量+吸附有机废气量=3.24t/a+0.1981t/a=3.4381t/a，</w:t>
            </w:r>
            <w:r>
              <w:rPr>
                <w:color w:val="auto"/>
              </w:rPr>
              <w:t>参照《国家危险废物名录（2021年版）》，属于“</w:t>
            </w:r>
            <w:r>
              <w:rPr>
                <w:rFonts w:hint="eastAsia"/>
                <w:color w:val="auto"/>
                <w:lang w:val="en-US" w:eastAsia="zh-CN"/>
              </w:rPr>
              <w:t>HW49其他废物</w:t>
            </w:r>
            <w:r>
              <w:rPr>
                <w:color w:val="auto"/>
              </w:rPr>
              <w:t>”类别，危险废物代码</w:t>
            </w:r>
            <w:r>
              <w:rPr>
                <w:rFonts w:hint="eastAsia"/>
                <w:color w:val="auto"/>
              </w:rPr>
              <w:t>900-0</w:t>
            </w:r>
            <w:r>
              <w:rPr>
                <w:rFonts w:hint="eastAsia"/>
                <w:color w:val="auto"/>
                <w:lang w:val="en-US" w:eastAsia="zh-CN"/>
              </w:rPr>
              <w:t>39</w:t>
            </w:r>
            <w:r>
              <w:rPr>
                <w:rFonts w:hint="eastAsia"/>
                <w:color w:val="auto"/>
              </w:rPr>
              <w:t>-</w:t>
            </w:r>
            <w:r>
              <w:rPr>
                <w:rFonts w:hint="eastAsia"/>
                <w:color w:val="auto"/>
                <w:lang w:val="en-US" w:eastAsia="zh-CN"/>
              </w:rPr>
              <w:t>49</w:t>
            </w:r>
            <w:r>
              <w:rPr>
                <w:rFonts w:hint="eastAsia"/>
                <w:color w:val="auto"/>
                <w:lang w:eastAsia="zh-CN"/>
              </w:rPr>
              <w:t>，</w:t>
            </w:r>
            <w:r>
              <w:rPr>
                <w:rFonts w:hint="eastAsia"/>
                <w:color w:val="auto"/>
                <w:lang w:val="en-US" w:eastAsia="zh-CN"/>
              </w:rPr>
              <w:t>收集后暂存于危险废物暂存间，委托有资质单位进行处置。</w:t>
            </w:r>
          </w:p>
          <w:p>
            <w:pPr>
              <w:pStyle w:val="8"/>
              <w:bidi w:val="0"/>
              <w:rPr>
                <w:rFonts w:hint="default" w:ascii="Times New Roman" w:hAnsi="Times New Roman" w:cs="Times New Roman"/>
                <w:color w:val="auto"/>
                <w:lang w:val="en-US" w:eastAsia="zh-CN"/>
              </w:rPr>
            </w:pPr>
            <w:r>
              <w:rPr>
                <w:rFonts w:hint="eastAsia" w:cs="Times New Roman"/>
                <w:color w:val="auto"/>
                <w:lang w:val="en-US" w:eastAsia="zh-CN"/>
              </w:rPr>
              <w:t>③</w:t>
            </w:r>
            <w:r>
              <w:rPr>
                <w:rFonts w:hint="eastAsia"/>
                <w:color w:val="auto"/>
                <w:lang w:val="en-US" w:eastAsia="zh-CN"/>
              </w:rPr>
              <w:t>实验废物（实验耗材枪头、离心管、载玻片、盖玻片、废试剂瓶等）</w:t>
            </w:r>
          </w:p>
          <w:p>
            <w:pPr>
              <w:pStyle w:val="8"/>
              <w:bidi w:val="0"/>
              <w:rPr>
                <w:rFonts w:hint="eastAsia"/>
                <w:color w:val="auto"/>
                <w:lang w:val="en-US" w:eastAsia="zh-CN"/>
              </w:rPr>
            </w:pPr>
            <w:r>
              <w:rPr>
                <w:rFonts w:hint="eastAsia"/>
                <w:color w:val="auto"/>
                <w:lang w:val="en-US" w:eastAsia="zh-CN"/>
              </w:rPr>
              <w:t>本项目实验过程中产生的实验废物（实验耗材枪头、离心管、载玻片、盖玻片、滤纸、废试剂瓶等），产生量约0.1t/a，参照《国家危险废物名录（2021年版）》，参照《国家危险废物名录（2021年版）》，属于“HW49其他废物”类别，危险废物代码900-047-49，暂存危废暂存间，交由有资质的单位处理处置。</w:t>
            </w:r>
          </w:p>
          <w:p>
            <w:pPr>
              <w:pStyle w:val="8"/>
              <w:bidi w:val="0"/>
              <w:rPr>
                <w:rFonts w:hint="eastAsia"/>
                <w:color w:val="auto"/>
                <w:lang w:val="en-US" w:eastAsia="zh-CN"/>
              </w:rPr>
            </w:pPr>
            <w:r>
              <w:rPr>
                <w:rFonts w:hint="eastAsia"/>
                <w:color w:val="auto"/>
                <w:lang w:val="en-US" w:eastAsia="zh-CN"/>
              </w:rPr>
              <w:t>④废UV灯管</w:t>
            </w:r>
          </w:p>
          <w:p>
            <w:pPr>
              <w:pStyle w:val="8"/>
              <w:bidi w:val="0"/>
              <w:rPr>
                <w:rFonts w:hint="eastAsia"/>
                <w:color w:val="auto"/>
                <w:lang w:val="en-US" w:eastAsia="zh-CN"/>
              </w:rPr>
            </w:pPr>
            <w:r>
              <w:rPr>
                <w:rFonts w:hint="eastAsia"/>
                <w:color w:val="auto"/>
                <w:lang w:val="en-US" w:eastAsia="zh-CN"/>
              </w:rPr>
              <w:t>本项目生物安全柜、实验超净台使用紫外消毒灯消毒，定期更换UV灯管，产生量为0.008t/a（每个荧光灯管约1.0kg，更换量约8个/a），参照《国家危险废物名录（2021年版）》，属于“HW29含汞废物”类别，危险废物代码为900-023-29，暂存危废暂存间，交由有资质的单位处理处置。</w:t>
            </w:r>
          </w:p>
          <w:p>
            <w:pPr>
              <w:pStyle w:val="8"/>
              <w:bidi w:val="0"/>
              <w:rPr>
                <w:rFonts w:hint="eastAsia"/>
                <w:color w:val="auto"/>
                <w:lang w:val="en-US" w:eastAsia="zh-CN"/>
              </w:rPr>
            </w:pPr>
            <w:r>
              <w:rPr>
                <w:rFonts w:hint="eastAsia"/>
                <w:color w:val="auto"/>
                <w:lang w:val="en-US" w:eastAsia="zh-CN"/>
              </w:rPr>
              <w:t>⑤动物尸体</w:t>
            </w:r>
          </w:p>
          <w:p>
            <w:pPr>
              <w:pStyle w:val="8"/>
              <w:bidi w:val="0"/>
              <w:rPr>
                <w:rFonts w:hint="eastAsia"/>
                <w:color w:val="auto"/>
                <w:lang w:val="en-US" w:eastAsia="zh-CN"/>
              </w:rPr>
            </w:pPr>
            <w:r>
              <w:rPr>
                <w:rFonts w:hint="eastAsia"/>
                <w:color w:val="auto"/>
                <w:lang w:val="en-US" w:eastAsia="zh-CN"/>
              </w:rPr>
              <w:t>本项目动物解剖产生的动物尸体，</w:t>
            </w:r>
            <w:r>
              <w:rPr>
                <w:rFonts w:hint="eastAsia"/>
                <w:color w:val="auto"/>
                <w:lang w:eastAsia="zh-CN"/>
              </w:rPr>
              <w:t>饲养</w:t>
            </w:r>
            <w:r>
              <w:rPr>
                <w:rFonts w:hint="eastAsia"/>
                <w:color w:val="auto"/>
                <w:lang w:val="en-US" w:eastAsia="zh-CN"/>
              </w:rPr>
              <w:t>12000</w:t>
            </w:r>
            <w:r>
              <w:rPr>
                <w:rFonts w:hint="eastAsia"/>
                <w:color w:val="auto"/>
                <w:lang w:eastAsia="zh-CN"/>
              </w:rPr>
              <w:t>只鼠，每只重</w:t>
            </w:r>
            <w:r>
              <w:rPr>
                <w:rFonts w:hint="eastAsia"/>
                <w:color w:val="auto"/>
                <w:lang w:val="en-US" w:eastAsia="zh-CN"/>
              </w:rPr>
              <w:t>20g，2000只兔子，</w:t>
            </w:r>
            <w:r>
              <w:rPr>
                <w:rFonts w:hint="eastAsia"/>
                <w:color w:val="auto"/>
                <w:lang w:eastAsia="zh-CN"/>
              </w:rPr>
              <w:t>每只重</w:t>
            </w:r>
            <w:r>
              <w:rPr>
                <w:rFonts w:hint="eastAsia"/>
                <w:color w:val="auto"/>
                <w:lang w:val="en-US" w:eastAsia="zh-CN"/>
              </w:rPr>
              <w:t>100g，产废量按80%计，产生量为0.35t/a，参照《国家危险废物名录（2021年版）》，属于“HW01医疗废物”类别，危险废物代码为841-003-01，塑料袋包装暂存于危废暂存间冰箱内，交由有资质的单位处理处置。</w:t>
            </w:r>
          </w:p>
          <w:p>
            <w:pPr>
              <w:pStyle w:val="8"/>
              <w:bidi w:val="0"/>
              <w:rPr>
                <w:rFonts w:hint="eastAsia"/>
                <w:color w:val="auto"/>
                <w:lang w:val="en-US" w:eastAsia="zh-CN"/>
              </w:rPr>
            </w:pPr>
            <w:r>
              <w:rPr>
                <w:rFonts w:hint="eastAsia"/>
                <w:color w:val="auto"/>
                <w:lang w:val="en-US" w:eastAsia="zh-CN"/>
              </w:rPr>
              <w:t>⑥滤渣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lang w:val="en-US" w:eastAsia="zh-CN"/>
              </w:rPr>
            </w:pPr>
            <w:r>
              <w:rPr>
                <w:rFonts w:hint="eastAsia"/>
                <w:color w:val="auto"/>
                <w:lang w:val="en-US" w:eastAsia="zh-CN"/>
              </w:rPr>
              <w:t>本项目过滤、消毒设备产生滤渣，根据《医疗机构水污染物排放标准》（GB18466-2005）“4.3.1 栅渣、化粪池和污水处理站污泥属于危险废物，应按危险废物进行处理和处置。”本项目污水处理设备滤渣类别参照综合医院污水处理设备栅渣类别，根据《国家危险废物名录》（2021）、《医疗废物分类名录 2021 版》，污水处理设备滤渣属于“HW01 医疗废物”类别，危险废物代码为841-001-01，产生量约为0.005t/a，委托有资质的单位进行处置。</w:t>
            </w:r>
          </w:p>
          <w:p>
            <w:pPr>
              <w:pStyle w:val="83"/>
              <w:bidi w:val="0"/>
              <w:rPr>
                <w:rFonts w:hint="eastAsia"/>
                <w:color w:val="auto"/>
                <w:lang w:val="en-US" w:eastAsia="zh-CN"/>
              </w:rPr>
            </w:pPr>
            <w:r>
              <w:rPr>
                <w:rFonts w:hint="eastAsia"/>
                <w:color w:val="auto"/>
                <w:lang w:val="en-US" w:eastAsia="zh-CN"/>
              </w:rPr>
              <w:t>表4-25  本项目固体废物处置措施一览表</w:t>
            </w:r>
          </w:p>
          <w:tbl>
            <w:tblPr>
              <w:tblStyle w:val="30"/>
              <w:tblW w:w="8377"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6"/>
              <w:gridCol w:w="1222"/>
              <w:gridCol w:w="897"/>
              <w:gridCol w:w="1196"/>
              <w:gridCol w:w="1055"/>
              <w:gridCol w:w="1041"/>
              <w:gridCol w:w="23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26" w:type="dxa"/>
                  <w:tcBorders>
                    <w:tl2br w:val="nil"/>
                    <w:tr2bl w:val="nil"/>
                  </w:tcBorders>
                  <w:noWrap w:val="0"/>
                  <w:vAlign w:val="center"/>
                </w:tcPr>
                <w:p>
                  <w:pPr>
                    <w:pStyle w:val="84"/>
                    <w:spacing w:line="240" w:lineRule="auto"/>
                    <w:jc w:val="center"/>
                    <w:rPr>
                      <w:rFonts w:hint="default"/>
                      <w:b/>
                      <w:bCs/>
                      <w:color w:val="auto"/>
                      <w:lang w:val="en-US" w:eastAsia="zh-CN"/>
                    </w:rPr>
                  </w:pPr>
                  <w:r>
                    <w:rPr>
                      <w:rFonts w:hint="default"/>
                      <w:b/>
                      <w:bCs/>
                      <w:color w:val="auto"/>
                      <w:lang w:val="en-US" w:eastAsia="zh-CN"/>
                    </w:rPr>
                    <w:t>序号</w:t>
                  </w:r>
                </w:p>
              </w:tc>
              <w:tc>
                <w:tcPr>
                  <w:tcW w:w="1222" w:type="dxa"/>
                  <w:tcBorders>
                    <w:tl2br w:val="nil"/>
                    <w:tr2bl w:val="nil"/>
                  </w:tcBorders>
                  <w:noWrap w:val="0"/>
                  <w:vAlign w:val="center"/>
                </w:tcPr>
                <w:p>
                  <w:pPr>
                    <w:pStyle w:val="84"/>
                    <w:spacing w:line="240" w:lineRule="auto"/>
                    <w:rPr>
                      <w:rFonts w:hint="default"/>
                      <w:b/>
                      <w:bCs/>
                      <w:color w:val="auto"/>
                      <w:lang w:val="en-US" w:eastAsia="zh-CN"/>
                    </w:rPr>
                  </w:pPr>
                  <w:r>
                    <w:rPr>
                      <w:rFonts w:hint="default"/>
                      <w:b/>
                      <w:bCs/>
                      <w:color w:val="auto"/>
                      <w:lang w:val="en-US" w:eastAsia="zh-CN"/>
                    </w:rPr>
                    <w:t>名称</w:t>
                  </w:r>
                </w:p>
              </w:tc>
              <w:tc>
                <w:tcPr>
                  <w:tcW w:w="897" w:type="dxa"/>
                  <w:tcBorders>
                    <w:tl2br w:val="nil"/>
                    <w:tr2bl w:val="nil"/>
                  </w:tcBorders>
                  <w:noWrap w:val="0"/>
                  <w:vAlign w:val="center"/>
                </w:tcPr>
                <w:p>
                  <w:pPr>
                    <w:pStyle w:val="84"/>
                    <w:spacing w:line="240" w:lineRule="auto"/>
                    <w:rPr>
                      <w:rFonts w:hint="default"/>
                      <w:b/>
                      <w:bCs/>
                      <w:color w:val="auto"/>
                      <w:lang w:val="en-US" w:eastAsia="zh-CN"/>
                    </w:rPr>
                  </w:pPr>
                  <w:r>
                    <w:rPr>
                      <w:rFonts w:hint="eastAsia"/>
                      <w:b/>
                      <w:bCs/>
                      <w:color w:val="auto"/>
                      <w:lang w:val="en-US" w:eastAsia="zh-CN"/>
                    </w:rPr>
                    <w:t>来源</w:t>
                  </w:r>
                </w:p>
              </w:tc>
              <w:tc>
                <w:tcPr>
                  <w:tcW w:w="1196" w:type="dxa"/>
                  <w:tcBorders>
                    <w:tl2br w:val="nil"/>
                    <w:tr2bl w:val="nil"/>
                  </w:tcBorders>
                  <w:noWrap w:val="0"/>
                  <w:vAlign w:val="center"/>
                </w:tcPr>
                <w:p>
                  <w:pPr>
                    <w:pStyle w:val="84"/>
                    <w:spacing w:line="240" w:lineRule="auto"/>
                    <w:rPr>
                      <w:rFonts w:hint="eastAsia"/>
                      <w:b/>
                      <w:bCs/>
                      <w:color w:val="auto"/>
                      <w:lang w:val="en-US" w:eastAsia="zh-CN"/>
                    </w:rPr>
                  </w:pPr>
                  <w:r>
                    <w:rPr>
                      <w:rFonts w:hint="eastAsia"/>
                      <w:b/>
                      <w:bCs/>
                      <w:color w:val="auto"/>
                      <w:lang w:val="en-US" w:eastAsia="zh-CN"/>
                    </w:rPr>
                    <w:t>类别</w:t>
                  </w:r>
                  <w:r>
                    <w:rPr>
                      <w:rFonts w:hint="default"/>
                      <w:b/>
                      <w:bCs/>
                      <w:color w:val="auto"/>
                      <w:lang w:val="en-US" w:eastAsia="zh-CN"/>
                    </w:rPr>
                    <w:t>代码</w:t>
                  </w:r>
                </w:p>
              </w:tc>
              <w:tc>
                <w:tcPr>
                  <w:tcW w:w="1055" w:type="dxa"/>
                  <w:tcBorders>
                    <w:tl2br w:val="nil"/>
                    <w:tr2bl w:val="nil"/>
                  </w:tcBorders>
                  <w:noWrap w:val="0"/>
                  <w:vAlign w:val="center"/>
                </w:tcPr>
                <w:p>
                  <w:pPr>
                    <w:pStyle w:val="84"/>
                    <w:spacing w:line="240" w:lineRule="auto"/>
                    <w:rPr>
                      <w:rFonts w:hint="default"/>
                      <w:b/>
                      <w:bCs/>
                      <w:color w:val="auto"/>
                      <w:lang w:val="en-US" w:eastAsia="zh-CN"/>
                    </w:rPr>
                  </w:pPr>
                  <w:r>
                    <w:rPr>
                      <w:rFonts w:hint="default"/>
                      <w:b/>
                      <w:bCs/>
                      <w:color w:val="auto"/>
                      <w:lang w:val="en-US" w:eastAsia="zh-CN"/>
                    </w:rPr>
                    <w:t>类别</w:t>
                  </w:r>
                </w:p>
              </w:tc>
              <w:tc>
                <w:tcPr>
                  <w:tcW w:w="1041" w:type="dxa"/>
                  <w:tcBorders>
                    <w:tl2br w:val="nil"/>
                    <w:tr2bl w:val="nil"/>
                  </w:tcBorders>
                  <w:noWrap w:val="0"/>
                  <w:vAlign w:val="center"/>
                </w:tcPr>
                <w:p>
                  <w:pPr>
                    <w:pStyle w:val="84"/>
                    <w:spacing w:line="240" w:lineRule="auto"/>
                    <w:rPr>
                      <w:rFonts w:hint="default"/>
                      <w:b/>
                      <w:bCs/>
                      <w:color w:val="auto"/>
                      <w:lang w:val="en-US" w:eastAsia="zh-CN"/>
                    </w:rPr>
                  </w:pPr>
                  <w:r>
                    <w:rPr>
                      <w:rFonts w:hint="default"/>
                      <w:b/>
                      <w:bCs/>
                      <w:color w:val="auto"/>
                      <w:lang w:val="en-US" w:eastAsia="zh-CN"/>
                    </w:rPr>
                    <w:t>产生量</w:t>
                  </w:r>
                </w:p>
                <w:p>
                  <w:pPr>
                    <w:pStyle w:val="84"/>
                    <w:spacing w:line="240" w:lineRule="auto"/>
                    <w:rPr>
                      <w:rFonts w:hint="default"/>
                      <w:b/>
                      <w:bCs/>
                      <w:color w:val="auto"/>
                      <w:lang w:val="en-US" w:eastAsia="zh-CN"/>
                    </w:rPr>
                  </w:pPr>
                  <w:r>
                    <w:rPr>
                      <w:rFonts w:hint="default"/>
                      <w:b/>
                      <w:bCs/>
                      <w:color w:val="auto"/>
                      <w:lang w:val="en-US" w:eastAsia="zh-CN"/>
                    </w:rPr>
                    <w:t>(t/a)</w:t>
                  </w:r>
                </w:p>
              </w:tc>
              <w:tc>
                <w:tcPr>
                  <w:tcW w:w="2340" w:type="dxa"/>
                  <w:tcBorders>
                    <w:tl2br w:val="nil"/>
                    <w:tr2bl w:val="nil"/>
                  </w:tcBorders>
                  <w:noWrap w:val="0"/>
                  <w:vAlign w:val="center"/>
                </w:tcPr>
                <w:p>
                  <w:pPr>
                    <w:pStyle w:val="84"/>
                    <w:spacing w:line="240" w:lineRule="auto"/>
                    <w:rPr>
                      <w:rFonts w:hint="default"/>
                      <w:b/>
                      <w:bCs/>
                      <w:color w:val="auto"/>
                      <w:lang w:val="en-US" w:eastAsia="zh-CN"/>
                    </w:rPr>
                  </w:pPr>
                  <w:r>
                    <w:rPr>
                      <w:rFonts w:hint="default"/>
                      <w:b/>
                      <w:bCs/>
                      <w:color w:val="auto"/>
                      <w:lang w:val="en-US" w:eastAsia="zh-CN"/>
                    </w:rPr>
                    <w:t>综合利用或处置设施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1</w:t>
                  </w:r>
                </w:p>
              </w:tc>
              <w:tc>
                <w:tcPr>
                  <w:tcW w:w="1222" w:type="dxa"/>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生活垃圾</w:t>
                  </w:r>
                </w:p>
              </w:tc>
              <w:tc>
                <w:tcPr>
                  <w:tcW w:w="897"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日常人员</w:t>
                  </w:r>
                </w:p>
              </w:tc>
              <w:tc>
                <w:tcPr>
                  <w:tcW w:w="1196"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w:t>
                  </w:r>
                </w:p>
              </w:tc>
              <w:tc>
                <w:tcPr>
                  <w:tcW w:w="1055" w:type="dxa"/>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生活垃圾</w:t>
                  </w: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2.375</w:t>
                  </w:r>
                </w:p>
              </w:tc>
              <w:tc>
                <w:tcPr>
                  <w:tcW w:w="2340"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交由城市管理部门</w:t>
                  </w:r>
                  <w:r>
                    <w:rPr>
                      <w:rFonts w:hint="default"/>
                      <w:color w:val="auto"/>
                      <w:lang w:val="en-US" w:eastAsia="zh-CN"/>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2</w:t>
                  </w:r>
                </w:p>
              </w:tc>
              <w:tc>
                <w:tcPr>
                  <w:tcW w:w="1222" w:type="dxa"/>
                  <w:tcBorders>
                    <w:tl2br w:val="nil"/>
                    <w:tr2bl w:val="nil"/>
                  </w:tcBorders>
                  <w:noWrap w:val="0"/>
                  <w:vAlign w:val="center"/>
                </w:tcPr>
                <w:p>
                  <w:pPr>
                    <w:pStyle w:val="91"/>
                    <w:bidi w:val="0"/>
                    <w:rPr>
                      <w:rFonts w:hint="default"/>
                      <w:color w:val="auto"/>
                      <w:lang w:val="en-US" w:eastAsia="zh-CN"/>
                    </w:rPr>
                  </w:pPr>
                  <w:r>
                    <w:rPr>
                      <w:rFonts w:hint="eastAsia"/>
                      <w:color w:val="auto"/>
                      <w:lang w:val="en-US" w:eastAsia="zh-CN"/>
                    </w:rPr>
                    <w:t>废包装物</w:t>
                  </w:r>
                </w:p>
              </w:tc>
              <w:tc>
                <w:tcPr>
                  <w:tcW w:w="897"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拆包</w:t>
                  </w:r>
                </w:p>
              </w:tc>
              <w:tc>
                <w:tcPr>
                  <w:tcW w:w="1196" w:type="dxa"/>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734-000-07</w:t>
                  </w:r>
                </w:p>
              </w:tc>
              <w:tc>
                <w:tcPr>
                  <w:tcW w:w="1055" w:type="dxa"/>
                  <w:vMerge w:val="restart"/>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一般工业固体废物</w:t>
                  </w: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0.01</w:t>
                  </w:r>
                </w:p>
              </w:tc>
              <w:tc>
                <w:tcPr>
                  <w:tcW w:w="2340" w:type="dxa"/>
                  <w:tcBorders>
                    <w:tl2br w:val="nil"/>
                    <w:tr2bl w:val="nil"/>
                  </w:tcBorders>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color w:val="auto"/>
                      <w:lang w:val="en-US" w:eastAsia="zh-CN"/>
                    </w:rPr>
                  </w:pPr>
                  <w:r>
                    <w:rPr>
                      <w:rFonts w:hint="eastAsia"/>
                      <w:color w:val="auto"/>
                      <w:sz w:val="21"/>
                      <w:szCs w:val="21"/>
                      <w:lang w:val="en-US" w:eastAsia="zh-CN"/>
                    </w:rPr>
                    <w:t>合理收集，定期交由物资回收公司回收。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3</w:t>
                  </w:r>
                </w:p>
              </w:tc>
              <w:tc>
                <w:tcPr>
                  <w:tcW w:w="1222" w:type="dxa"/>
                  <w:tcBorders>
                    <w:tl2br w:val="nil"/>
                    <w:tr2bl w:val="nil"/>
                  </w:tcBorders>
                  <w:noWrap w:val="0"/>
                  <w:vAlign w:val="center"/>
                </w:tcPr>
                <w:p>
                  <w:pPr>
                    <w:pStyle w:val="91"/>
                    <w:bidi w:val="0"/>
                    <w:rPr>
                      <w:rFonts w:hint="eastAsia"/>
                      <w:color w:val="auto"/>
                      <w:lang w:val="en-US" w:eastAsia="zh-CN"/>
                    </w:rPr>
                  </w:pPr>
                  <w:r>
                    <w:rPr>
                      <w:rFonts w:hint="eastAsia"/>
                      <w:color w:val="auto"/>
                      <w:lang w:val="en-US" w:eastAsia="zh-CN"/>
                    </w:rPr>
                    <w:t>废培养基</w:t>
                  </w:r>
                </w:p>
              </w:tc>
              <w:tc>
                <w:tcPr>
                  <w:tcW w:w="897"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细胞培养</w:t>
                  </w:r>
                </w:p>
              </w:tc>
              <w:tc>
                <w:tcPr>
                  <w:tcW w:w="1196"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0.1</w:t>
                  </w:r>
                </w:p>
              </w:tc>
              <w:tc>
                <w:tcPr>
                  <w:tcW w:w="2340" w:type="dxa"/>
                  <w:vMerge w:val="restart"/>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交由城市管理部门</w:t>
                  </w:r>
                  <w:r>
                    <w:rPr>
                      <w:rFonts w:hint="default"/>
                      <w:color w:val="auto"/>
                      <w:lang w:val="en-US" w:eastAsia="zh-CN"/>
                    </w:rPr>
                    <w:t>定期清运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ind w:firstLine="0" w:firstLineChars="0"/>
                    <w:rPr>
                      <w:rFonts w:hint="eastAsia"/>
                      <w:color w:val="auto"/>
                      <w:lang w:val="en-US" w:eastAsia="zh-CN"/>
                    </w:rPr>
                  </w:pPr>
                  <w:r>
                    <w:rPr>
                      <w:rFonts w:hint="eastAsia"/>
                      <w:color w:val="auto"/>
                      <w:lang w:val="en-US" w:eastAsia="zh-CN"/>
                    </w:rPr>
                    <w:t>4</w:t>
                  </w:r>
                </w:p>
              </w:tc>
              <w:tc>
                <w:tcPr>
                  <w:tcW w:w="1222" w:type="dxa"/>
                  <w:tcBorders>
                    <w:tl2br w:val="nil"/>
                    <w:tr2bl w:val="nil"/>
                  </w:tcBorders>
                  <w:noWrap w:val="0"/>
                  <w:vAlign w:val="center"/>
                </w:tcPr>
                <w:p>
                  <w:pPr>
                    <w:pStyle w:val="91"/>
                    <w:bidi w:val="0"/>
                    <w:rPr>
                      <w:rFonts w:hint="eastAsia"/>
                      <w:color w:val="auto"/>
                      <w:lang w:val="en-US" w:eastAsia="zh-CN"/>
                    </w:rPr>
                  </w:pPr>
                  <w:r>
                    <w:rPr>
                      <w:rFonts w:hint="eastAsia" w:cs="Times New Roman"/>
                      <w:color w:val="auto"/>
                      <w:lang w:val="en-US" w:eastAsia="zh-CN"/>
                    </w:rPr>
                    <w:t>净水设备废弃物</w:t>
                  </w:r>
                </w:p>
              </w:tc>
              <w:tc>
                <w:tcPr>
                  <w:tcW w:w="897" w:type="dxa"/>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净水机</w:t>
                  </w:r>
                </w:p>
              </w:tc>
              <w:tc>
                <w:tcPr>
                  <w:tcW w:w="1196" w:type="dxa"/>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0.01</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5</w:t>
                  </w:r>
                </w:p>
              </w:tc>
              <w:tc>
                <w:tcPr>
                  <w:tcW w:w="1222" w:type="dxa"/>
                  <w:tcBorders>
                    <w:tl2br w:val="nil"/>
                    <w:tr2bl w:val="nil"/>
                  </w:tcBorders>
                  <w:noWrap w:val="0"/>
                  <w:vAlign w:val="center"/>
                </w:tcPr>
                <w:p>
                  <w:pPr>
                    <w:pStyle w:val="91"/>
                    <w:bidi w:val="0"/>
                    <w:rPr>
                      <w:rFonts w:hint="eastAsia"/>
                      <w:color w:val="auto"/>
                      <w:lang w:val="en-US" w:eastAsia="zh-CN"/>
                    </w:rPr>
                  </w:pPr>
                  <w:r>
                    <w:rPr>
                      <w:rFonts w:hint="eastAsia"/>
                      <w:color w:val="auto"/>
                      <w:lang w:val="en-US" w:eastAsia="zh-CN"/>
                    </w:rPr>
                    <w:t>动物粪便</w:t>
                  </w:r>
                </w:p>
              </w:tc>
              <w:tc>
                <w:tcPr>
                  <w:tcW w:w="897" w:type="dxa"/>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动物饲养</w:t>
                  </w:r>
                </w:p>
              </w:tc>
              <w:tc>
                <w:tcPr>
                  <w:tcW w:w="1196" w:type="dxa"/>
                  <w:tcBorders>
                    <w:tl2br w:val="nil"/>
                    <w:tr2bl w:val="nil"/>
                  </w:tcBorders>
                  <w:noWrap w:val="0"/>
                  <w:vAlign w:val="center"/>
                </w:tcPr>
                <w:p>
                  <w:pPr>
                    <w:pStyle w:val="84"/>
                    <w:spacing w:line="240" w:lineRule="auto"/>
                    <w:rPr>
                      <w:rFonts w:hint="eastAsia"/>
                      <w:color w:val="auto"/>
                      <w:lang w:val="en-US" w:eastAsia="zh-CN"/>
                    </w:rPr>
                  </w:pPr>
                  <w:r>
                    <w:rPr>
                      <w:rFonts w:hint="eastAsia"/>
                      <w:color w:val="auto"/>
                      <w:lang w:val="en-US" w:eastAsia="zh-CN"/>
                    </w:rPr>
                    <w:t>734-000</w:t>
                  </w:r>
                  <w:r>
                    <w:rPr>
                      <w:rFonts w:hint="eastAsia" w:ascii="Times New Roman" w:hAnsi="Times New Roman" w:eastAsia="宋体" w:cs="Times New Roman"/>
                      <w:color w:val="auto"/>
                      <w:lang w:val="en-US" w:eastAsia="zh-CN"/>
                    </w:rPr>
                    <w:t>-</w:t>
                  </w:r>
                  <w:r>
                    <w:rPr>
                      <w:rFonts w:hint="eastAsia" w:cs="Times New Roman"/>
                      <w:color w:val="auto"/>
                      <w:lang w:val="en-US" w:eastAsia="zh-CN"/>
                    </w:rPr>
                    <w:t>99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1.7</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6</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sz w:val="21"/>
                      <w:szCs w:val="21"/>
                      <w:lang w:val="en-US" w:eastAsia="zh-CN"/>
                    </w:rPr>
                    <w:t>废活性炭</w:t>
                  </w:r>
                </w:p>
              </w:tc>
              <w:tc>
                <w:tcPr>
                  <w:tcW w:w="897"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活性炭吸附装置</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eastAsia"/>
                      <w:color w:val="auto"/>
                      <w:lang w:val="en-US" w:eastAsia="zh-CN"/>
                    </w:rPr>
                  </w:pPr>
                  <w:r>
                    <w:rPr>
                      <w:rFonts w:hint="eastAsia"/>
                      <w:color w:val="auto"/>
                      <w:lang w:val="en-US" w:eastAsia="zh-CN"/>
                    </w:rPr>
                    <w:t>900-039-49</w:t>
                  </w:r>
                </w:p>
              </w:tc>
              <w:tc>
                <w:tcPr>
                  <w:tcW w:w="1055" w:type="dxa"/>
                  <w:vMerge w:val="restart"/>
                  <w:tcBorders>
                    <w:tl2br w:val="nil"/>
                    <w:tr2bl w:val="nil"/>
                  </w:tcBorders>
                  <w:noWrap w:val="0"/>
                  <w:vAlign w:val="center"/>
                </w:tcPr>
                <w:p>
                  <w:pPr>
                    <w:pStyle w:val="84"/>
                    <w:spacing w:line="240" w:lineRule="auto"/>
                    <w:rPr>
                      <w:rFonts w:hint="default"/>
                      <w:color w:val="auto"/>
                      <w:lang w:val="en-US" w:eastAsia="zh-CN"/>
                    </w:rPr>
                  </w:pPr>
                  <w:r>
                    <w:rPr>
                      <w:rFonts w:hint="default"/>
                      <w:color w:val="auto"/>
                      <w:lang w:val="en-US" w:eastAsia="zh-CN"/>
                    </w:rPr>
                    <w:t>危险废物</w:t>
                  </w: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3.4381</w:t>
                  </w:r>
                </w:p>
              </w:tc>
              <w:tc>
                <w:tcPr>
                  <w:tcW w:w="2340" w:type="dxa"/>
                  <w:vMerge w:val="restart"/>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暂存于危废暂存间，交由有资质单位处理处置。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7</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实验废液</w:t>
                  </w:r>
                </w:p>
              </w:tc>
              <w:tc>
                <w:tcPr>
                  <w:tcW w:w="897" w:type="dxa"/>
                  <w:tcBorders>
                    <w:tl2br w:val="nil"/>
                    <w:tr2bl w:val="nil"/>
                  </w:tcBorders>
                  <w:noWrap w:val="0"/>
                  <w:vAlign w:val="center"/>
                </w:tcPr>
                <w:p>
                  <w:pPr>
                    <w:pStyle w:val="84"/>
                    <w:spacing w:line="240" w:lineRule="auto"/>
                    <w:ind w:firstLine="0" w:firstLineChars="0"/>
                    <w:rPr>
                      <w:rFonts w:hint="eastAsia"/>
                      <w:color w:val="auto"/>
                      <w:lang w:val="en-US" w:eastAsia="zh-CN"/>
                    </w:rPr>
                  </w:pPr>
                  <w:r>
                    <w:rPr>
                      <w:rFonts w:hint="eastAsia"/>
                      <w:color w:val="auto"/>
                      <w:lang w:val="en-US" w:eastAsia="zh-CN"/>
                    </w:rPr>
                    <w:t>实验、清洗</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eastAsia"/>
                      <w:color w:val="auto"/>
                      <w:lang w:val="en-US" w:eastAsia="zh-CN"/>
                    </w:rPr>
                  </w:pPr>
                  <w:r>
                    <w:rPr>
                      <w:rFonts w:hint="eastAsia"/>
                      <w:color w:val="auto"/>
                    </w:rPr>
                    <w:t>900-0</w:t>
                  </w:r>
                  <w:r>
                    <w:rPr>
                      <w:rFonts w:hint="eastAsia"/>
                      <w:color w:val="auto"/>
                      <w:lang w:val="en-US" w:eastAsia="zh-CN"/>
                    </w:rPr>
                    <w:t>47</w:t>
                  </w:r>
                  <w:r>
                    <w:rPr>
                      <w:rFonts w:hint="eastAsia"/>
                      <w:color w:val="auto"/>
                    </w:rPr>
                    <w:t>-</w:t>
                  </w:r>
                  <w:r>
                    <w:rPr>
                      <w:rFonts w:hint="eastAsia"/>
                      <w:color w:val="auto"/>
                      <w:lang w:val="en-US" w:eastAsia="zh-CN"/>
                    </w:rPr>
                    <w:t>49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1.02</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8</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实验废物</w:t>
                  </w:r>
                </w:p>
              </w:tc>
              <w:tc>
                <w:tcPr>
                  <w:tcW w:w="897" w:type="dxa"/>
                  <w:tcBorders>
                    <w:tl2br w:val="nil"/>
                    <w:tr2bl w:val="nil"/>
                  </w:tcBorders>
                  <w:noWrap w:val="0"/>
                  <w:vAlign w:val="center"/>
                </w:tcPr>
                <w:p>
                  <w:pPr>
                    <w:pStyle w:val="84"/>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实验耗材</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olor w:val="auto"/>
                      <w:lang w:val="en-US" w:eastAsia="zh-CN"/>
                    </w:rPr>
                    <w:t>900-041-49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0.01</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6" w:type="dxa"/>
                  <w:tcBorders>
                    <w:tl2br w:val="nil"/>
                    <w:tr2bl w:val="nil"/>
                  </w:tcBorders>
                  <w:noWrap w:val="0"/>
                  <w:vAlign w:val="center"/>
                </w:tcPr>
                <w:p>
                  <w:pPr>
                    <w:pStyle w:val="84"/>
                    <w:spacing w:line="240" w:lineRule="auto"/>
                    <w:ind w:firstLine="0" w:firstLineChars="0"/>
                    <w:rPr>
                      <w:rFonts w:hint="default"/>
                      <w:color w:val="auto"/>
                      <w:lang w:val="en-US" w:eastAsia="zh-CN"/>
                    </w:rPr>
                  </w:pPr>
                  <w:r>
                    <w:rPr>
                      <w:rFonts w:hint="eastAsia"/>
                      <w:color w:val="auto"/>
                      <w:lang w:val="en-US" w:eastAsia="zh-CN"/>
                    </w:rPr>
                    <w:t>9</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废UV灯管</w:t>
                  </w:r>
                </w:p>
              </w:tc>
              <w:tc>
                <w:tcPr>
                  <w:tcW w:w="897"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紫外消毒灯</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HW29</w:t>
                  </w:r>
                </w:p>
                <w:p>
                  <w:pPr>
                    <w:pStyle w:val="84"/>
                    <w:spacing w:line="240" w:lineRule="auto"/>
                    <w:ind w:firstLine="0" w:firstLineChars="0"/>
                    <w:jc w:val="center"/>
                    <w:rPr>
                      <w:rFonts w:hint="eastAsia"/>
                      <w:color w:val="auto"/>
                      <w:lang w:val="en-US" w:eastAsia="zh-CN"/>
                    </w:rPr>
                  </w:pPr>
                  <w:r>
                    <w:rPr>
                      <w:rFonts w:hint="eastAsia"/>
                      <w:color w:val="auto"/>
                      <w:lang w:val="en-US" w:eastAsia="zh-CN"/>
                    </w:rPr>
                    <w:t>900-023-29</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0.008</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6" w:type="dxa"/>
                  <w:tcBorders>
                    <w:tl2br w:val="nil"/>
                    <w:tr2bl w:val="nil"/>
                  </w:tcBorders>
                  <w:noWrap w:val="0"/>
                  <w:vAlign w:val="center"/>
                </w:tcPr>
                <w:p>
                  <w:pPr>
                    <w:pStyle w:val="84"/>
                    <w:spacing w:line="240" w:lineRule="auto"/>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10</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动物尸体</w:t>
                  </w:r>
                </w:p>
              </w:tc>
              <w:tc>
                <w:tcPr>
                  <w:tcW w:w="897" w:type="dxa"/>
                  <w:tcBorders>
                    <w:tl2br w:val="nil"/>
                    <w:tr2bl w:val="nil"/>
                  </w:tcBorders>
                  <w:noWrap w:val="0"/>
                  <w:vAlign w:val="center"/>
                </w:tcPr>
                <w:p>
                  <w:pPr>
                    <w:pStyle w:val="84"/>
                    <w:spacing w:line="240" w:lineRule="auto"/>
                    <w:ind w:firstLine="0" w:firstLineChars="0"/>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动物解剖</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HW01</w:t>
                  </w:r>
                </w:p>
                <w:p>
                  <w:pPr>
                    <w:pStyle w:val="84"/>
                    <w:spacing w:line="240" w:lineRule="auto"/>
                    <w:ind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841-003-01</w:t>
                  </w:r>
                </w:p>
              </w:tc>
              <w:tc>
                <w:tcPr>
                  <w:tcW w:w="1055" w:type="dxa"/>
                  <w:vMerge w:val="continue"/>
                  <w:tcBorders>
                    <w:tl2br w:val="nil"/>
                    <w:tr2bl w:val="nil"/>
                  </w:tcBorders>
                  <w:noWrap w:val="0"/>
                  <w:vAlign w:val="center"/>
                </w:tcPr>
                <w:p>
                  <w:pPr>
                    <w:pStyle w:val="84"/>
                    <w:spacing w:line="240" w:lineRule="auto"/>
                    <w:ind w:firstLine="0" w:firstLineChars="0"/>
                    <w:rPr>
                      <w:rFonts w:hint="default" w:ascii="Times New Roman" w:hAnsi="Times New Roman" w:eastAsia="宋体" w:cs="Times New Roman"/>
                      <w:color w:val="auto"/>
                      <w:kern w:val="2"/>
                      <w:sz w:val="21"/>
                      <w:szCs w:val="24"/>
                      <w:lang w:val="en-US" w:eastAsia="zh-CN" w:bidi="ar-SA"/>
                    </w:rPr>
                  </w:pPr>
                </w:p>
              </w:tc>
              <w:tc>
                <w:tcPr>
                  <w:tcW w:w="1041" w:type="dxa"/>
                  <w:tcBorders>
                    <w:tl2br w:val="nil"/>
                    <w:tr2bl w:val="nil"/>
                  </w:tcBorders>
                  <w:noWrap w:val="0"/>
                  <w:vAlign w:val="center"/>
                </w:tcPr>
                <w:p>
                  <w:pPr>
                    <w:pStyle w:val="84"/>
                    <w:bidi w:val="0"/>
                    <w:ind w:firstLine="0" w:firstLineChars="0"/>
                    <w:rPr>
                      <w:rFonts w:hint="eastAsia" w:ascii="Times New Roman" w:hAnsi="Times New Roman" w:eastAsia="宋体" w:cs="Times New Roman"/>
                      <w:color w:val="auto"/>
                      <w:kern w:val="2"/>
                      <w:sz w:val="21"/>
                      <w:szCs w:val="24"/>
                      <w:lang w:val="en-US" w:eastAsia="zh-CN" w:bidi="ar-SA"/>
                    </w:rPr>
                  </w:pPr>
                  <w:r>
                    <w:rPr>
                      <w:rFonts w:hint="eastAsia"/>
                      <w:color w:val="auto"/>
                      <w:lang w:val="en-US" w:eastAsia="zh-CN"/>
                    </w:rPr>
                    <w:t>0.35</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6" w:type="dxa"/>
                  <w:tcBorders>
                    <w:tl2br w:val="nil"/>
                    <w:tr2bl w:val="nil"/>
                  </w:tcBorders>
                  <w:noWrap w:val="0"/>
                  <w:vAlign w:val="center"/>
                </w:tcPr>
                <w:p>
                  <w:pPr>
                    <w:pStyle w:val="84"/>
                    <w:spacing w:line="240" w:lineRule="auto"/>
                    <w:rPr>
                      <w:rFonts w:hint="default"/>
                      <w:color w:val="auto"/>
                      <w:lang w:val="en-US" w:eastAsia="zh-CN"/>
                    </w:rPr>
                  </w:pPr>
                  <w:r>
                    <w:rPr>
                      <w:rFonts w:hint="eastAsia"/>
                      <w:color w:val="auto"/>
                      <w:lang w:val="en-US" w:eastAsia="zh-CN"/>
                    </w:rPr>
                    <w:t>11</w:t>
                  </w:r>
                </w:p>
              </w:tc>
              <w:tc>
                <w:tcPr>
                  <w:tcW w:w="122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滤渣</w:t>
                  </w:r>
                </w:p>
              </w:tc>
              <w:tc>
                <w:tcPr>
                  <w:tcW w:w="897"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olor w:val="auto"/>
                      <w:sz w:val="21"/>
                      <w:szCs w:val="21"/>
                      <w:lang w:val="en-US" w:eastAsia="zh-CN"/>
                    </w:rPr>
                    <w:t>污水处理</w:t>
                  </w:r>
                </w:p>
              </w:tc>
              <w:tc>
                <w:tcPr>
                  <w:tcW w:w="1196"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HW01</w:t>
                  </w:r>
                </w:p>
                <w:p>
                  <w:pPr>
                    <w:pStyle w:val="84"/>
                    <w:spacing w:line="240" w:lineRule="auto"/>
                    <w:ind w:firstLine="0" w:firstLineChars="0"/>
                    <w:jc w:val="center"/>
                    <w:rPr>
                      <w:rFonts w:hint="eastAsia"/>
                      <w:color w:val="auto"/>
                      <w:lang w:val="en-US" w:eastAsia="zh-CN"/>
                    </w:rPr>
                  </w:pPr>
                  <w:r>
                    <w:rPr>
                      <w:rFonts w:hint="eastAsia"/>
                      <w:color w:val="auto"/>
                      <w:lang w:val="en-US" w:eastAsia="zh-CN"/>
                    </w:rPr>
                    <w:t>841-001-01</w:t>
                  </w:r>
                </w:p>
              </w:tc>
              <w:tc>
                <w:tcPr>
                  <w:tcW w:w="1055" w:type="dxa"/>
                  <w:vMerge w:val="continue"/>
                  <w:tcBorders>
                    <w:tl2br w:val="nil"/>
                    <w:tr2bl w:val="nil"/>
                  </w:tcBorders>
                  <w:noWrap w:val="0"/>
                  <w:vAlign w:val="center"/>
                </w:tcPr>
                <w:p>
                  <w:pPr>
                    <w:pStyle w:val="84"/>
                    <w:spacing w:line="240" w:lineRule="auto"/>
                    <w:rPr>
                      <w:rFonts w:hint="default"/>
                      <w:color w:val="auto"/>
                      <w:lang w:val="en-US" w:eastAsia="zh-CN"/>
                    </w:rPr>
                  </w:pPr>
                </w:p>
              </w:tc>
              <w:tc>
                <w:tcPr>
                  <w:tcW w:w="1041" w:type="dxa"/>
                  <w:tcBorders>
                    <w:tl2br w:val="nil"/>
                    <w:tr2bl w:val="nil"/>
                  </w:tcBorders>
                  <w:noWrap w:val="0"/>
                  <w:vAlign w:val="center"/>
                </w:tcPr>
                <w:p>
                  <w:pPr>
                    <w:pStyle w:val="84"/>
                    <w:bidi w:val="0"/>
                    <w:rPr>
                      <w:rFonts w:hint="default"/>
                      <w:color w:val="auto"/>
                      <w:lang w:val="en-US" w:eastAsia="zh-CN"/>
                    </w:rPr>
                  </w:pPr>
                  <w:r>
                    <w:rPr>
                      <w:rFonts w:hint="eastAsia"/>
                      <w:color w:val="auto"/>
                      <w:lang w:val="en-US" w:eastAsia="zh-CN"/>
                    </w:rPr>
                    <w:t>0.005</w:t>
                  </w:r>
                </w:p>
              </w:tc>
              <w:tc>
                <w:tcPr>
                  <w:tcW w:w="2340" w:type="dxa"/>
                  <w:vMerge w:val="continue"/>
                  <w:tcBorders>
                    <w:tl2br w:val="nil"/>
                    <w:tr2bl w:val="nil"/>
                  </w:tcBorders>
                  <w:noWrap w:val="0"/>
                  <w:vAlign w:val="center"/>
                </w:tcPr>
                <w:p>
                  <w:pPr>
                    <w:pStyle w:val="84"/>
                    <w:spacing w:line="240" w:lineRule="auto"/>
                    <w:rPr>
                      <w:rFonts w:hint="eastAsia"/>
                      <w:color w:val="auto"/>
                      <w:lang w:val="en-US" w:eastAsia="zh-CN"/>
                    </w:rPr>
                  </w:pPr>
                </w:p>
              </w:tc>
            </w:tr>
          </w:tbl>
          <w:p>
            <w:pPr>
              <w:pStyle w:val="83"/>
              <w:bidi w:val="0"/>
              <w:rPr>
                <w:rFonts w:hint="eastAsia"/>
                <w:color w:val="auto"/>
                <w:lang w:val="en-US" w:eastAsia="zh-CN"/>
              </w:rPr>
            </w:pPr>
            <w:r>
              <w:rPr>
                <w:rFonts w:hint="eastAsia"/>
                <w:color w:val="auto"/>
                <w:lang w:val="en-US" w:eastAsia="zh-CN"/>
              </w:rPr>
              <w:t>表4-26  危险废物基本情况一览表</w:t>
            </w:r>
          </w:p>
          <w:tbl>
            <w:tblPr>
              <w:tblStyle w:val="30"/>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777"/>
              <w:gridCol w:w="1209"/>
              <w:gridCol w:w="871"/>
              <w:gridCol w:w="1053"/>
              <w:gridCol w:w="670"/>
              <w:gridCol w:w="939"/>
              <w:gridCol w:w="870"/>
              <w:gridCol w:w="14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序号</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名称</w:t>
                  </w:r>
                </w:p>
              </w:tc>
              <w:tc>
                <w:tcPr>
                  <w:tcW w:w="12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类别及代码</w:t>
                  </w:r>
                </w:p>
              </w:tc>
              <w:tc>
                <w:tcPr>
                  <w:tcW w:w="8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b/>
                      <w:bCs/>
                      <w:color w:val="auto"/>
                      <w:sz w:val="21"/>
                      <w:szCs w:val="21"/>
                      <w:lang w:val="en-US" w:eastAsia="zh-CN"/>
                    </w:rPr>
                  </w:pPr>
                  <w:r>
                    <w:rPr>
                      <w:rFonts w:hint="eastAsia"/>
                      <w:b/>
                      <w:bCs/>
                      <w:color w:val="auto"/>
                      <w:sz w:val="21"/>
                      <w:szCs w:val="21"/>
                      <w:lang w:val="en-US" w:eastAsia="zh-CN"/>
                    </w:rPr>
                    <w:t>产生量（t/a）</w:t>
                  </w:r>
                </w:p>
              </w:tc>
              <w:tc>
                <w:tcPr>
                  <w:tcW w:w="105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产生工序</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形态</w:t>
                  </w:r>
                </w:p>
              </w:tc>
              <w:tc>
                <w:tcPr>
                  <w:tcW w:w="9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有害成分</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危险特性</w:t>
                  </w:r>
                </w:p>
              </w:tc>
              <w:tc>
                <w:tcPr>
                  <w:tcW w:w="14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b/>
                      <w:bCs/>
                      <w:color w:val="auto"/>
                      <w:sz w:val="21"/>
                      <w:szCs w:val="21"/>
                      <w:lang w:val="en-US" w:eastAsia="zh-CN"/>
                    </w:rPr>
                  </w:pPr>
                  <w:r>
                    <w:rPr>
                      <w:rFonts w:hint="eastAsia"/>
                      <w:b/>
                      <w:bCs/>
                      <w:color w:val="auto"/>
                      <w:sz w:val="21"/>
                      <w:szCs w:val="21"/>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1</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废活性炭</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eastAsia"/>
                      <w:color w:val="auto"/>
                      <w:sz w:val="21"/>
                      <w:szCs w:val="21"/>
                      <w:lang w:val="en-US" w:eastAsia="zh-CN"/>
                    </w:rPr>
                  </w:pPr>
                  <w:r>
                    <w:rPr>
                      <w:rFonts w:hint="eastAsia"/>
                      <w:color w:val="auto"/>
                      <w:lang w:val="en-US" w:eastAsia="zh-CN"/>
                    </w:rPr>
                    <w:t>900-039-49</w:t>
                  </w:r>
                </w:p>
              </w:tc>
              <w:tc>
                <w:tcPr>
                  <w:tcW w:w="871" w:type="dxa"/>
                  <w:tcBorders>
                    <w:tl2br w:val="nil"/>
                    <w:tr2bl w:val="nil"/>
                  </w:tcBorders>
                  <w:noWrap w:val="0"/>
                  <w:vAlign w:val="center"/>
                </w:tcPr>
                <w:p>
                  <w:pPr>
                    <w:pStyle w:val="84"/>
                    <w:bidi w:val="0"/>
                    <w:ind w:firstLine="0" w:firstLineChars="0"/>
                    <w:rPr>
                      <w:rFonts w:hint="default"/>
                      <w:color w:val="auto"/>
                      <w:sz w:val="21"/>
                      <w:szCs w:val="21"/>
                      <w:lang w:val="en-US" w:eastAsia="zh-CN"/>
                    </w:rPr>
                  </w:pPr>
                  <w:r>
                    <w:rPr>
                      <w:rFonts w:hint="eastAsia"/>
                      <w:color w:val="auto"/>
                      <w:sz w:val="21"/>
                      <w:szCs w:val="21"/>
                      <w:lang w:val="en-US" w:eastAsia="zh-CN"/>
                    </w:rPr>
                    <w:t>3.4381</w:t>
                  </w:r>
                </w:p>
              </w:tc>
              <w:tc>
                <w:tcPr>
                  <w:tcW w:w="1053"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lang w:val="en-US" w:eastAsia="zh-CN"/>
                    </w:rPr>
                    <w:t>活性炭吸附装置</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固体</w:t>
                  </w:r>
                </w:p>
              </w:tc>
              <w:tc>
                <w:tcPr>
                  <w:tcW w:w="93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含挥发性有机废物</w:t>
                  </w:r>
                </w:p>
              </w:tc>
              <w:tc>
                <w:tcPr>
                  <w:tcW w:w="8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T/In</w:t>
                  </w:r>
                </w:p>
              </w:tc>
              <w:tc>
                <w:tcPr>
                  <w:tcW w:w="140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r>
                    <w:rPr>
                      <w:rFonts w:hint="default"/>
                      <w:color w:val="auto"/>
                      <w:sz w:val="21"/>
                      <w:szCs w:val="21"/>
                      <w:lang w:val="en-US" w:eastAsia="zh-CN"/>
                    </w:rPr>
                    <w:t>暂存于危废暂存间</w:t>
                  </w:r>
                  <w:r>
                    <w:rPr>
                      <w:rFonts w:hint="eastAsia"/>
                      <w:color w:val="auto"/>
                      <w:sz w:val="21"/>
                      <w:szCs w:val="21"/>
                      <w:lang w:val="en-US" w:eastAsia="zh-CN"/>
                    </w:rPr>
                    <w:t>，</w:t>
                  </w:r>
                  <w:r>
                    <w:rPr>
                      <w:rFonts w:hint="default"/>
                      <w:color w:val="auto"/>
                      <w:sz w:val="21"/>
                      <w:szCs w:val="21"/>
                      <w:lang w:val="en-US" w:eastAsia="zh-CN"/>
                    </w:rPr>
                    <w:t>交由有资质单位处理处置。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2</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实验废液</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eastAsia"/>
                      <w:color w:val="auto"/>
                      <w:sz w:val="21"/>
                      <w:szCs w:val="21"/>
                      <w:lang w:val="en-US" w:eastAsia="zh-CN"/>
                    </w:rPr>
                  </w:pPr>
                  <w:r>
                    <w:rPr>
                      <w:rFonts w:hint="eastAsia"/>
                      <w:color w:val="auto"/>
                    </w:rPr>
                    <w:t>900-0</w:t>
                  </w:r>
                  <w:r>
                    <w:rPr>
                      <w:rFonts w:hint="eastAsia"/>
                      <w:color w:val="auto"/>
                      <w:lang w:val="en-US" w:eastAsia="zh-CN"/>
                    </w:rPr>
                    <w:t>47</w:t>
                  </w:r>
                  <w:r>
                    <w:rPr>
                      <w:rFonts w:hint="eastAsia"/>
                      <w:color w:val="auto"/>
                    </w:rPr>
                    <w:t>-</w:t>
                  </w:r>
                  <w:r>
                    <w:rPr>
                      <w:rFonts w:hint="eastAsia"/>
                      <w:color w:val="auto"/>
                      <w:lang w:val="en-US" w:eastAsia="zh-CN"/>
                    </w:rPr>
                    <w:t>49</w:t>
                  </w:r>
                </w:p>
              </w:tc>
              <w:tc>
                <w:tcPr>
                  <w:tcW w:w="871" w:type="dxa"/>
                  <w:tcBorders>
                    <w:tl2br w:val="nil"/>
                    <w:tr2bl w:val="nil"/>
                  </w:tcBorders>
                  <w:noWrap w:val="0"/>
                  <w:vAlign w:val="center"/>
                </w:tcPr>
                <w:p>
                  <w:pPr>
                    <w:pStyle w:val="84"/>
                    <w:bidi w:val="0"/>
                    <w:ind w:firstLine="0" w:firstLineChars="0"/>
                    <w:rPr>
                      <w:rFonts w:hint="default"/>
                      <w:b w:val="0"/>
                      <w:bCs w:val="0"/>
                      <w:color w:val="auto"/>
                      <w:sz w:val="21"/>
                      <w:szCs w:val="21"/>
                      <w:lang w:val="en-US" w:eastAsia="zh-CN"/>
                    </w:rPr>
                  </w:pPr>
                  <w:r>
                    <w:rPr>
                      <w:rFonts w:hint="eastAsia"/>
                      <w:b w:val="0"/>
                      <w:bCs w:val="0"/>
                      <w:color w:val="auto"/>
                      <w:sz w:val="21"/>
                      <w:szCs w:val="21"/>
                      <w:lang w:val="en-US" w:eastAsia="zh-CN"/>
                    </w:rPr>
                    <w:t>1.02</w:t>
                  </w:r>
                </w:p>
              </w:tc>
              <w:tc>
                <w:tcPr>
                  <w:tcW w:w="1053"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olor w:val="auto"/>
                      <w:lang w:val="en-US" w:eastAsia="zh-CN"/>
                    </w:rPr>
                    <w:t>实验、清洗</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液体</w:t>
                  </w:r>
                </w:p>
              </w:tc>
              <w:tc>
                <w:tcPr>
                  <w:tcW w:w="939" w:type="dxa"/>
                  <w:tcBorders>
                    <w:tl2br w:val="nil"/>
                    <w:tr2bl w:val="nil"/>
                  </w:tcBorders>
                  <w:noWrap w:val="0"/>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化学品</w:t>
                  </w:r>
                </w:p>
              </w:tc>
              <w:tc>
                <w:tcPr>
                  <w:tcW w:w="870" w:type="dxa"/>
                  <w:tcBorders>
                    <w:tl2br w:val="nil"/>
                    <w:tr2bl w:val="nil"/>
                  </w:tcBorders>
                  <w:noWrap w:val="0"/>
                  <w:vAlign w:val="center"/>
                </w:tcPr>
                <w:p>
                  <w:pPr>
                    <w:spacing w:line="240" w:lineRule="auto"/>
                    <w:ind w:firstLine="0" w:firstLineChars="0"/>
                    <w:jc w:val="center"/>
                    <w:rPr>
                      <w:rFonts w:hint="eastAsia"/>
                      <w:color w:val="auto"/>
                      <w:sz w:val="21"/>
                      <w:szCs w:val="21"/>
                      <w:lang w:val="en-US" w:eastAsia="zh-CN"/>
                    </w:rPr>
                  </w:pPr>
                  <w:r>
                    <w:rPr>
                      <w:color w:val="auto"/>
                      <w:sz w:val="21"/>
                      <w:szCs w:val="21"/>
                    </w:rPr>
                    <w:t>T/In</w:t>
                  </w:r>
                </w:p>
              </w:tc>
              <w:tc>
                <w:tcPr>
                  <w:tcW w:w="14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3</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实验废物</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HW49</w:t>
                  </w:r>
                </w:p>
                <w:p>
                  <w:pPr>
                    <w:pStyle w:val="84"/>
                    <w:spacing w:line="240" w:lineRule="auto"/>
                    <w:ind w:firstLine="0" w:firstLineChars="0"/>
                    <w:jc w:val="center"/>
                    <w:rPr>
                      <w:rFonts w:hint="eastAsia"/>
                      <w:color w:val="auto"/>
                      <w:sz w:val="21"/>
                      <w:szCs w:val="21"/>
                      <w:lang w:val="en-US" w:eastAsia="zh-CN"/>
                    </w:rPr>
                  </w:pPr>
                  <w:r>
                    <w:rPr>
                      <w:rFonts w:hint="eastAsia"/>
                      <w:color w:val="auto"/>
                      <w:lang w:val="en-US" w:eastAsia="zh-CN"/>
                    </w:rPr>
                    <w:t>900-041-49</w:t>
                  </w:r>
                </w:p>
              </w:tc>
              <w:tc>
                <w:tcPr>
                  <w:tcW w:w="871" w:type="dxa"/>
                  <w:tcBorders>
                    <w:tl2br w:val="nil"/>
                    <w:tr2bl w:val="nil"/>
                  </w:tcBorders>
                  <w:noWrap w:val="0"/>
                  <w:vAlign w:val="center"/>
                </w:tcPr>
                <w:p>
                  <w:pPr>
                    <w:pStyle w:val="84"/>
                    <w:bidi w:val="0"/>
                    <w:ind w:firstLine="0" w:firstLineChars="0"/>
                    <w:rPr>
                      <w:rFonts w:hint="eastAsia"/>
                      <w:b w:val="0"/>
                      <w:bCs w:val="0"/>
                      <w:color w:val="auto"/>
                      <w:sz w:val="21"/>
                      <w:szCs w:val="21"/>
                      <w:lang w:val="en-US" w:eastAsia="zh-CN"/>
                    </w:rPr>
                  </w:pPr>
                  <w:r>
                    <w:rPr>
                      <w:rFonts w:hint="eastAsia"/>
                      <w:color w:val="auto"/>
                      <w:lang w:val="en-US" w:eastAsia="zh-CN"/>
                    </w:rPr>
                    <w:t>0.01</w:t>
                  </w:r>
                </w:p>
              </w:tc>
              <w:tc>
                <w:tcPr>
                  <w:tcW w:w="1053"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s="Times New Roman"/>
                      <w:color w:val="auto"/>
                      <w:kern w:val="2"/>
                      <w:sz w:val="21"/>
                      <w:szCs w:val="21"/>
                      <w:lang w:val="en-US" w:eastAsia="zh-CN" w:bidi="ar-SA"/>
                    </w:rPr>
                    <w:t>实验耗材</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固体</w:t>
                  </w:r>
                </w:p>
              </w:tc>
              <w:tc>
                <w:tcPr>
                  <w:tcW w:w="939" w:type="dxa"/>
                  <w:tcBorders>
                    <w:tl2br w:val="nil"/>
                    <w:tr2bl w:val="nil"/>
                  </w:tcBorders>
                  <w:noWrap w:val="0"/>
                  <w:vAlign w:val="center"/>
                </w:tcPr>
                <w:p>
                  <w:pPr>
                    <w:spacing w:line="240" w:lineRule="auto"/>
                    <w:ind w:firstLine="0" w:firstLineChars="0"/>
                    <w:jc w:val="center"/>
                    <w:rPr>
                      <w:color w:val="auto"/>
                      <w:sz w:val="21"/>
                      <w:szCs w:val="21"/>
                    </w:rPr>
                  </w:pPr>
                  <w:r>
                    <w:rPr>
                      <w:rFonts w:hint="eastAsia"/>
                      <w:color w:val="auto"/>
                      <w:sz w:val="21"/>
                      <w:szCs w:val="21"/>
                      <w:lang w:val="en-US" w:eastAsia="zh-CN"/>
                    </w:rPr>
                    <w:t>化学品</w:t>
                  </w:r>
                </w:p>
              </w:tc>
              <w:tc>
                <w:tcPr>
                  <w:tcW w:w="870" w:type="dxa"/>
                  <w:tcBorders>
                    <w:tl2br w:val="nil"/>
                    <w:tr2bl w:val="nil"/>
                  </w:tcBorders>
                  <w:noWrap w:val="0"/>
                  <w:vAlign w:val="center"/>
                </w:tcPr>
                <w:p>
                  <w:pPr>
                    <w:spacing w:line="240" w:lineRule="auto"/>
                    <w:ind w:firstLine="0" w:firstLineChars="0"/>
                    <w:jc w:val="center"/>
                    <w:rPr>
                      <w:rFonts w:hint="default" w:eastAsia="宋体"/>
                      <w:color w:val="auto"/>
                      <w:sz w:val="21"/>
                      <w:szCs w:val="21"/>
                      <w:lang w:val="en-US" w:eastAsia="zh-CN"/>
                    </w:rPr>
                  </w:pPr>
                  <w:r>
                    <w:rPr>
                      <w:color w:val="auto"/>
                      <w:sz w:val="21"/>
                      <w:szCs w:val="21"/>
                    </w:rPr>
                    <w:t>T/I</w:t>
                  </w:r>
                  <w:r>
                    <w:rPr>
                      <w:rFonts w:hint="eastAsia"/>
                      <w:color w:val="auto"/>
                      <w:sz w:val="21"/>
                      <w:szCs w:val="21"/>
                      <w:lang w:val="en-US" w:eastAsia="zh-CN"/>
                    </w:rPr>
                    <w:t>/C/R</w:t>
                  </w:r>
                </w:p>
              </w:tc>
              <w:tc>
                <w:tcPr>
                  <w:tcW w:w="14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4</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废UV灯管</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HW29</w:t>
                  </w:r>
                </w:p>
                <w:p>
                  <w:pPr>
                    <w:pStyle w:val="84"/>
                    <w:spacing w:line="240" w:lineRule="auto"/>
                    <w:ind w:firstLine="0" w:firstLineChars="0"/>
                    <w:jc w:val="center"/>
                    <w:rPr>
                      <w:rFonts w:hint="eastAsia"/>
                      <w:color w:val="auto"/>
                      <w:sz w:val="21"/>
                      <w:szCs w:val="21"/>
                      <w:lang w:val="en-US" w:eastAsia="zh-CN"/>
                    </w:rPr>
                  </w:pPr>
                  <w:r>
                    <w:rPr>
                      <w:rFonts w:hint="eastAsia"/>
                      <w:color w:val="auto"/>
                      <w:lang w:val="en-US" w:eastAsia="zh-CN"/>
                    </w:rPr>
                    <w:t>900-023-29</w:t>
                  </w:r>
                </w:p>
              </w:tc>
              <w:tc>
                <w:tcPr>
                  <w:tcW w:w="871" w:type="dxa"/>
                  <w:tcBorders>
                    <w:tl2br w:val="nil"/>
                    <w:tr2bl w:val="nil"/>
                  </w:tcBorders>
                  <w:noWrap w:val="0"/>
                  <w:vAlign w:val="center"/>
                </w:tcPr>
                <w:p>
                  <w:pPr>
                    <w:pStyle w:val="84"/>
                    <w:bidi w:val="0"/>
                    <w:ind w:firstLine="0" w:firstLineChars="0"/>
                    <w:rPr>
                      <w:rFonts w:hint="default"/>
                      <w:b w:val="0"/>
                      <w:bCs w:val="0"/>
                      <w:color w:val="auto"/>
                      <w:sz w:val="21"/>
                      <w:szCs w:val="21"/>
                      <w:lang w:val="en-US" w:eastAsia="zh-CN"/>
                    </w:rPr>
                  </w:pPr>
                  <w:r>
                    <w:rPr>
                      <w:rFonts w:hint="eastAsia"/>
                      <w:color w:val="auto"/>
                      <w:lang w:val="en-US" w:eastAsia="zh-CN"/>
                    </w:rPr>
                    <w:t>0.008</w:t>
                  </w:r>
                </w:p>
              </w:tc>
              <w:tc>
                <w:tcPr>
                  <w:tcW w:w="1053"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olor w:val="auto"/>
                      <w:sz w:val="21"/>
                      <w:szCs w:val="21"/>
                      <w:lang w:val="en-US" w:eastAsia="zh-CN"/>
                    </w:rPr>
                    <w:t>紫外消毒灯</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固体</w:t>
                  </w:r>
                </w:p>
              </w:tc>
              <w:tc>
                <w:tcPr>
                  <w:tcW w:w="939" w:type="dxa"/>
                  <w:tcBorders>
                    <w:tl2br w:val="nil"/>
                    <w:tr2bl w:val="nil"/>
                  </w:tcBorders>
                  <w:noWrap w:val="0"/>
                  <w:vAlign w:val="center"/>
                </w:tcPr>
                <w:p>
                  <w:pPr>
                    <w:spacing w:line="240" w:lineRule="auto"/>
                    <w:ind w:firstLine="0" w:firstLineChars="0"/>
                    <w:jc w:val="center"/>
                    <w:rPr>
                      <w:rFonts w:hint="eastAsia" w:eastAsia="宋体"/>
                      <w:color w:val="auto"/>
                      <w:sz w:val="21"/>
                      <w:szCs w:val="21"/>
                      <w:lang w:eastAsia="zh-CN"/>
                    </w:rPr>
                  </w:pPr>
                  <w:r>
                    <w:rPr>
                      <w:rFonts w:hint="eastAsia"/>
                      <w:color w:val="auto"/>
                      <w:sz w:val="21"/>
                      <w:szCs w:val="21"/>
                      <w:lang w:eastAsia="zh-CN"/>
                    </w:rPr>
                    <w:t>含汞</w:t>
                  </w:r>
                </w:p>
              </w:tc>
              <w:tc>
                <w:tcPr>
                  <w:tcW w:w="870" w:type="dxa"/>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T/In</w:t>
                  </w:r>
                </w:p>
              </w:tc>
              <w:tc>
                <w:tcPr>
                  <w:tcW w:w="14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动物尸体</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HW01</w:t>
                  </w:r>
                </w:p>
                <w:p>
                  <w:pPr>
                    <w:pStyle w:val="84"/>
                    <w:spacing w:line="240" w:lineRule="auto"/>
                    <w:ind w:firstLine="0" w:firstLineChars="0"/>
                    <w:jc w:val="center"/>
                    <w:rPr>
                      <w:rFonts w:hint="eastAsia"/>
                      <w:color w:val="auto"/>
                      <w:sz w:val="21"/>
                      <w:szCs w:val="21"/>
                      <w:lang w:val="en-US" w:eastAsia="zh-CN"/>
                    </w:rPr>
                  </w:pPr>
                  <w:r>
                    <w:rPr>
                      <w:rFonts w:hint="eastAsia"/>
                      <w:color w:val="auto"/>
                      <w:lang w:val="en-US" w:eastAsia="zh-CN"/>
                    </w:rPr>
                    <w:t>841-003-01</w:t>
                  </w:r>
                </w:p>
              </w:tc>
              <w:tc>
                <w:tcPr>
                  <w:tcW w:w="871" w:type="dxa"/>
                  <w:tcBorders>
                    <w:tl2br w:val="nil"/>
                    <w:tr2bl w:val="nil"/>
                  </w:tcBorders>
                  <w:noWrap w:val="0"/>
                  <w:vAlign w:val="center"/>
                </w:tcPr>
                <w:p>
                  <w:pPr>
                    <w:pStyle w:val="84"/>
                    <w:bidi w:val="0"/>
                    <w:ind w:firstLine="0" w:firstLineChars="0"/>
                    <w:rPr>
                      <w:rFonts w:hint="eastAsia"/>
                      <w:b w:val="0"/>
                      <w:bCs w:val="0"/>
                      <w:color w:val="auto"/>
                      <w:sz w:val="21"/>
                      <w:szCs w:val="21"/>
                      <w:lang w:val="en-US" w:eastAsia="zh-CN"/>
                    </w:rPr>
                  </w:pPr>
                  <w:r>
                    <w:rPr>
                      <w:rFonts w:hint="eastAsia"/>
                      <w:color w:val="auto"/>
                      <w:lang w:val="en-US" w:eastAsia="zh-CN"/>
                    </w:rPr>
                    <w:t>0.35</w:t>
                  </w:r>
                </w:p>
              </w:tc>
              <w:tc>
                <w:tcPr>
                  <w:tcW w:w="1053"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olor w:val="auto"/>
                      <w:sz w:val="21"/>
                      <w:szCs w:val="21"/>
                      <w:lang w:val="en-US" w:eastAsia="zh-CN"/>
                    </w:rPr>
                    <w:t>动物解剖</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固体</w:t>
                  </w:r>
                </w:p>
              </w:tc>
              <w:tc>
                <w:tcPr>
                  <w:tcW w:w="939" w:type="dxa"/>
                  <w:tcBorders>
                    <w:tl2br w:val="nil"/>
                    <w:tr2bl w:val="nil"/>
                  </w:tcBorders>
                  <w:noWrap w:val="0"/>
                  <w:vAlign w:val="center"/>
                </w:tcPr>
                <w:p>
                  <w:pPr>
                    <w:spacing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病原体</w:t>
                  </w:r>
                </w:p>
              </w:tc>
              <w:tc>
                <w:tcPr>
                  <w:tcW w:w="870" w:type="dxa"/>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In</w:t>
                  </w:r>
                </w:p>
              </w:tc>
              <w:tc>
                <w:tcPr>
                  <w:tcW w:w="14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tcBorders>
                    <w:tl2br w:val="nil"/>
                    <w:tr2bl w:val="nil"/>
                  </w:tcBorders>
                  <w:noWrap w:val="0"/>
                  <w:vAlign w:val="center"/>
                </w:tcPr>
                <w:p>
                  <w:pPr>
                    <w:pStyle w:val="84"/>
                    <w:spacing w:line="240" w:lineRule="auto"/>
                    <w:ind w:firstLine="0" w:firstLineChars="0"/>
                    <w:rPr>
                      <w:rFonts w:hint="default"/>
                      <w:color w:val="auto"/>
                      <w:sz w:val="21"/>
                      <w:szCs w:val="21"/>
                      <w:lang w:val="en-US" w:eastAsia="zh-CN"/>
                    </w:rPr>
                  </w:pPr>
                  <w:r>
                    <w:rPr>
                      <w:rFonts w:hint="eastAsia"/>
                      <w:color w:val="auto"/>
                      <w:sz w:val="21"/>
                      <w:szCs w:val="21"/>
                      <w:lang w:val="en-US" w:eastAsia="zh-CN"/>
                    </w:rPr>
                    <w:t>6</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滤渣</w:t>
                  </w:r>
                </w:p>
              </w:tc>
              <w:tc>
                <w:tcPr>
                  <w:tcW w:w="1209" w:type="dxa"/>
                  <w:tcBorders>
                    <w:tl2br w:val="nil"/>
                    <w:tr2bl w:val="nil"/>
                  </w:tcBorders>
                  <w:noWrap w:val="0"/>
                  <w:vAlign w:val="center"/>
                </w:tcPr>
                <w:p>
                  <w:pPr>
                    <w:pStyle w:val="84"/>
                    <w:spacing w:line="240" w:lineRule="auto"/>
                    <w:ind w:firstLine="0" w:firstLineChars="0"/>
                    <w:jc w:val="center"/>
                    <w:rPr>
                      <w:rFonts w:hint="eastAsia"/>
                      <w:color w:val="auto"/>
                      <w:lang w:val="en-US" w:eastAsia="zh-CN"/>
                    </w:rPr>
                  </w:pPr>
                  <w:r>
                    <w:rPr>
                      <w:rFonts w:hint="eastAsia"/>
                      <w:color w:val="auto"/>
                      <w:lang w:val="en-US" w:eastAsia="zh-CN"/>
                    </w:rPr>
                    <w:t>HW01</w:t>
                  </w:r>
                </w:p>
                <w:p>
                  <w:pPr>
                    <w:pStyle w:val="84"/>
                    <w:spacing w:line="240" w:lineRule="auto"/>
                    <w:ind w:firstLine="0" w:firstLineChars="0"/>
                    <w:rPr>
                      <w:rFonts w:hint="eastAsia"/>
                      <w:color w:val="auto"/>
                      <w:lang w:val="en-US" w:eastAsia="zh-CN"/>
                    </w:rPr>
                  </w:pPr>
                  <w:r>
                    <w:rPr>
                      <w:rFonts w:hint="eastAsia"/>
                      <w:color w:val="auto"/>
                      <w:lang w:val="en-US" w:eastAsia="zh-CN"/>
                    </w:rPr>
                    <w:t>841-001-01</w:t>
                  </w:r>
                </w:p>
              </w:tc>
              <w:tc>
                <w:tcPr>
                  <w:tcW w:w="871" w:type="dxa"/>
                  <w:tcBorders>
                    <w:tl2br w:val="nil"/>
                    <w:tr2bl w:val="nil"/>
                  </w:tcBorders>
                  <w:noWrap w:val="0"/>
                  <w:vAlign w:val="center"/>
                </w:tcPr>
                <w:p>
                  <w:pPr>
                    <w:pStyle w:val="84"/>
                    <w:spacing w:line="240" w:lineRule="auto"/>
                    <w:ind w:firstLine="0" w:firstLineChars="0"/>
                    <w:jc w:val="center"/>
                    <w:rPr>
                      <w:rFonts w:hint="default"/>
                      <w:color w:val="auto"/>
                      <w:lang w:val="en-US" w:eastAsia="zh-CN"/>
                    </w:rPr>
                  </w:pPr>
                  <w:r>
                    <w:rPr>
                      <w:rFonts w:hint="eastAsia"/>
                      <w:color w:val="auto"/>
                      <w:lang w:val="en-US" w:eastAsia="zh-CN"/>
                    </w:rPr>
                    <w:t>0.005</w:t>
                  </w:r>
                </w:p>
              </w:tc>
              <w:tc>
                <w:tcPr>
                  <w:tcW w:w="1053" w:type="dxa"/>
                  <w:tcBorders>
                    <w:tl2br w:val="nil"/>
                    <w:tr2bl w:val="nil"/>
                  </w:tcBorders>
                  <w:noWrap w:val="0"/>
                  <w:vAlign w:val="center"/>
                </w:tcPr>
                <w:p>
                  <w:pPr>
                    <w:pStyle w:val="84"/>
                    <w:spacing w:line="240" w:lineRule="auto"/>
                    <w:ind w:firstLine="0" w:firstLineChars="0"/>
                    <w:rPr>
                      <w:rFonts w:hint="eastAsia"/>
                      <w:color w:val="auto"/>
                      <w:sz w:val="21"/>
                      <w:szCs w:val="21"/>
                      <w:lang w:val="en-US" w:eastAsia="zh-CN"/>
                    </w:rPr>
                  </w:pPr>
                  <w:r>
                    <w:rPr>
                      <w:rFonts w:hint="eastAsia"/>
                      <w:color w:val="auto"/>
                      <w:sz w:val="21"/>
                      <w:szCs w:val="21"/>
                      <w:lang w:val="en-US" w:eastAsia="zh-CN"/>
                    </w:rPr>
                    <w:t>污水处理</w:t>
                  </w:r>
                </w:p>
              </w:tc>
              <w:tc>
                <w:tcPr>
                  <w:tcW w:w="6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固体</w:t>
                  </w:r>
                </w:p>
              </w:tc>
              <w:tc>
                <w:tcPr>
                  <w:tcW w:w="939" w:type="dxa"/>
                  <w:tcBorders>
                    <w:tl2br w:val="nil"/>
                    <w:tr2bl w:val="nil"/>
                  </w:tcBorders>
                  <w:noWrap w:val="0"/>
                  <w:vAlign w:val="center"/>
                </w:tcPr>
                <w:p>
                  <w:pPr>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病原体</w:t>
                  </w:r>
                </w:p>
              </w:tc>
              <w:tc>
                <w:tcPr>
                  <w:tcW w:w="870" w:type="dxa"/>
                  <w:tcBorders>
                    <w:tl2br w:val="nil"/>
                    <w:tr2bl w:val="nil"/>
                  </w:tcBorders>
                  <w:noWrap w:val="0"/>
                  <w:vAlign w:val="center"/>
                </w:tcPr>
                <w:p>
                  <w:pPr>
                    <w:spacing w:line="240" w:lineRule="auto"/>
                    <w:ind w:firstLine="0" w:firstLineChars="0"/>
                    <w:jc w:val="center"/>
                    <w:rPr>
                      <w:color w:val="auto"/>
                      <w:sz w:val="21"/>
                      <w:szCs w:val="21"/>
                    </w:rPr>
                  </w:pPr>
                  <w:r>
                    <w:rPr>
                      <w:color w:val="auto"/>
                      <w:sz w:val="21"/>
                      <w:szCs w:val="21"/>
                    </w:rPr>
                    <w:t>In</w:t>
                  </w:r>
                </w:p>
              </w:tc>
              <w:tc>
                <w:tcPr>
                  <w:tcW w:w="140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sz w:val="21"/>
                      <w:szCs w:val="21"/>
                      <w:lang w:val="en-US" w:eastAsia="zh-CN"/>
                    </w:rPr>
                  </w:pPr>
                </w:p>
              </w:tc>
            </w:tr>
          </w:tbl>
          <w:p>
            <w:pPr>
              <w:keepNext w:val="0"/>
              <w:keepLines w:val="0"/>
              <w:pageBreakBefore w:val="0"/>
              <w:widowControl w:val="0"/>
              <w:tabs>
                <w:tab w:val="left" w:pos="1189"/>
              </w:tabs>
              <w:kinsoku/>
              <w:wordWrap/>
              <w:overflowPunct/>
              <w:topLinePunct w:val="0"/>
              <w:autoSpaceDE w:val="0"/>
              <w:autoSpaceDN w:val="0"/>
              <w:bidi w:val="0"/>
              <w:adjustRightInd w:val="0"/>
              <w:snapToGrid/>
              <w:spacing w:line="360" w:lineRule="auto"/>
              <w:ind w:firstLine="482" w:firstLineChars="200"/>
              <w:jc w:val="left"/>
              <w:textAlignment w:val="auto"/>
              <w:rPr>
                <w:b/>
                <w:bCs/>
                <w:color w:val="auto"/>
              </w:rPr>
            </w:pPr>
            <w:r>
              <w:rPr>
                <w:rFonts w:hint="eastAsia"/>
                <w:b/>
                <w:bCs/>
                <w:color w:val="auto"/>
                <w:lang w:val="en-US" w:eastAsia="zh-CN"/>
              </w:rPr>
              <w:t>4.5.2一般</w:t>
            </w:r>
            <w:r>
              <w:rPr>
                <w:b/>
                <w:bCs/>
                <w:color w:val="auto"/>
              </w:rPr>
              <w:t>固体废物收集、贮存、运输及管理措施</w:t>
            </w:r>
          </w:p>
          <w:p>
            <w:pPr>
              <w:pStyle w:val="8"/>
              <w:bidi w:val="0"/>
              <w:rPr>
                <w:rFonts w:hint="default"/>
                <w:color w:val="auto"/>
                <w:lang w:val="en-US" w:eastAsia="zh-CN"/>
              </w:rPr>
            </w:pPr>
            <w:r>
              <w:rPr>
                <w:rFonts w:hint="eastAsia"/>
                <w:color w:val="auto"/>
                <w:lang w:val="en-US" w:eastAsia="zh-CN"/>
              </w:rPr>
              <w:t>（1）一般固体废物</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color w:val="auto"/>
              </w:rPr>
            </w:pPr>
            <w:r>
              <w:rPr>
                <w:rFonts w:hint="eastAsia"/>
                <w:color w:val="auto"/>
                <w:lang w:val="en-US" w:eastAsia="zh-CN"/>
              </w:rPr>
              <w:t>①</w:t>
            </w:r>
            <w:r>
              <w:rPr>
                <w:rFonts w:hint="eastAsia"/>
                <w:color w:val="auto"/>
              </w:rPr>
              <w:t>本项目一般工业固废的暂存按照《一般工业固体废物贮存和填埋污染控制标准》（GB18599-20</w:t>
            </w:r>
            <w:r>
              <w:rPr>
                <w:rFonts w:hint="eastAsia"/>
                <w:color w:val="auto"/>
                <w:lang w:val="en-US" w:eastAsia="zh-CN"/>
              </w:rPr>
              <w:t>20</w:t>
            </w:r>
            <w:r>
              <w:rPr>
                <w:rFonts w:hint="eastAsia"/>
                <w:color w:val="auto"/>
              </w:rPr>
              <w:t>）的相关规定进行管理与设计。各类废物可分类收集、定点堆放在厂区内的一般固废暂存间内，同时定期外运处理。</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color w:val="auto"/>
              </w:rPr>
            </w:pPr>
            <w:r>
              <w:rPr>
                <w:rFonts w:hint="eastAsia"/>
                <w:color w:val="auto"/>
                <w:lang w:val="en-US" w:eastAsia="zh-CN"/>
              </w:rPr>
              <w:t>②</w:t>
            </w:r>
            <w:r>
              <w:rPr>
                <w:rFonts w:hint="eastAsia"/>
                <w:color w:val="auto"/>
              </w:rPr>
              <w:t>本项目一般固废贮存场所需满足防雨、防晒、防扬散等要求，贮存场所地面应为水泥硬化地面。</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rFonts w:hint="eastAsia"/>
                <w:color w:val="auto"/>
                <w:lang w:val="en-US" w:eastAsia="zh-CN"/>
              </w:rPr>
              <w:t>③</w:t>
            </w:r>
            <w:r>
              <w:rPr>
                <w:rFonts w:hint="eastAsia"/>
                <w:color w:val="auto"/>
              </w:rPr>
              <w:t>一般工业固体废物贮存、处置场，禁止危险废物和生活垃圾混入。</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default"/>
                <w:color w:val="auto"/>
                <w:lang w:val="en-US" w:eastAsia="zh-CN"/>
              </w:rPr>
            </w:pPr>
            <w:r>
              <w:rPr>
                <w:rFonts w:hint="eastAsia"/>
                <w:color w:val="auto"/>
                <w:lang w:val="en-US" w:eastAsia="zh-CN"/>
              </w:rPr>
              <w:t>（2）生活垃圾</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color w:val="auto"/>
              </w:rPr>
              <w:t>本项目产生的生活垃圾按照《天津市生活废弃物管理规定》中的有关规定，进行收集、管理、运输及处置：</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rFonts w:hint="eastAsia"/>
                <w:color w:val="auto"/>
                <w:lang w:val="en-US" w:eastAsia="zh-CN"/>
              </w:rPr>
              <w:t>①</w:t>
            </w:r>
            <w:r>
              <w:rPr>
                <w:color w:val="auto"/>
              </w:rPr>
              <w:t>当使用经行政主管部门认证登记，并符合行政主管部门规定的规格、厚度、颜色等要求的可降解专用垃圾袋盛装、收集生活垃圾，并由</w:t>
            </w:r>
            <w:r>
              <w:rPr>
                <w:rFonts w:hint="eastAsia"/>
                <w:color w:val="auto"/>
                <w:lang w:val="en-US" w:eastAsia="zh-CN"/>
              </w:rPr>
              <w:t>城市管理部门</w:t>
            </w:r>
            <w:r>
              <w:rPr>
                <w:color w:val="auto"/>
              </w:rPr>
              <w:t>及时清运；</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rFonts w:hint="eastAsia"/>
                <w:color w:val="auto"/>
                <w:lang w:val="en-US" w:eastAsia="zh-CN"/>
              </w:rPr>
              <w:t>②任何单位和个人不得将工业废弃物、医疗废弃物、危险废弃物混入生活废弃物中或投放到生活废弃物容器、转运站、处理厂（场）内。</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rFonts w:hint="eastAsia"/>
                <w:color w:val="auto"/>
                <w:lang w:val="en-US" w:eastAsia="zh-CN"/>
              </w:rPr>
              <w:t>③</w:t>
            </w:r>
            <w:r>
              <w:rPr>
                <w:color w:val="auto"/>
              </w:rPr>
              <w:t>不能使用破损袋盛装生活垃圾。对有可能造成垃圾袋破损的物品单独存放；</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rFonts w:hint="eastAsia" w:eastAsia="宋体"/>
                <w:color w:val="auto"/>
                <w:lang w:val="en-US" w:eastAsia="zh-CN"/>
              </w:rPr>
            </w:pPr>
            <w:r>
              <w:rPr>
                <w:rFonts w:hint="eastAsia"/>
                <w:color w:val="auto"/>
                <w:lang w:val="en-US" w:eastAsia="zh-CN"/>
              </w:rPr>
              <w:t>④</w:t>
            </w:r>
            <w:r>
              <w:rPr>
                <w:color w:val="auto"/>
              </w:rPr>
              <w:t>产生生活废弃物的单位和个人当按照规定的时间、地点和方</w:t>
            </w:r>
            <w:r>
              <w:rPr>
                <w:rFonts w:hint="eastAsia"/>
                <w:color w:val="auto"/>
                <w:lang w:val="en-US" w:eastAsia="zh-CN"/>
              </w:rPr>
              <w:t>式投放生活废弃物，不得随意倾倒、抛撒和堆放生活废弃物；</w:t>
            </w:r>
          </w:p>
          <w:p>
            <w:pPr>
              <w:adjustRightInd w:val="0"/>
              <w:spacing w:line="360" w:lineRule="auto"/>
              <w:ind w:firstLine="482" w:firstLineChars="200"/>
              <w:rPr>
                <w:b/>
                <w:bCs/>
                <w:color w:val="auto"/>
              </w:rPr>
            </w:pPr>
            <w:r>
              <w:rPr>
                <w:rFonts w:hint="eastAsia"/>
                <w:b/>
                <w:bCs/>
                <w:color w:val="auto"/>
                <w:lang w:val="en-US" w:eastAsia="zh-CN"/>
              </w:rPr>
              <w:t>4.5.3</w:t>
            </w:r>
            <w:r>
              <w:rPr>
                <w:b/>
                <w:bCs/>
                <w:color w:val="auto"/>
              </w:rPr>
              <w:t>危险废物环境影响分析</w:t>
            </w:r>
          </w:p>
          <w:p>
            <w:pPr>
              <w:adjustRightInd w:val="0"/>
              <w:spacing w:line="360" w:lineRule="auto"/>
              <w:ind w:firstLine="480" w:firstLineChars="200"/>
              <w:rPr>
                <w:rFonts w:hint="eastAsia"/>
                <w:color w:val="auto"/>
              </w:rPr>
            </w:pPr>
            <w:r>
              <w:rPr>
                <w:color w:val="auto"/>
              </w:rPr>
              <w:t>危险废物暂存</w:t>
            </w:r>
            <w:r>
              <w:rPr>
                <w:rFonts w:hint="eastAsia"/>
                <w:color w:val="auto"/>
                <w:lang w:val="en-US" w:eastAsia="zh-CN"/>
              </w:rPr>
              <w:t>间</w:t>
            </w:r>
            <w:r>
              <w:rPr>
                <w:color w:val="auto"/>
              </w:rPr>
              <w:t>设置于</w:t>
            </w:r>
            <w:r>
              <w:rPr>
                <w:rFonts w:hint="eastAsia"/>
                <w:color w:val="auto"/>
                <w:lang w:eastAsia="zh-CN"/>
              </w:rPr>
              <w:t>本项目南侧，建筑面积</w:t>
            </w:r>
            <w:r>
              <w:rPr>
                <w:rFonts w:hint="eastAsia"/>
                <w:color w:val="auto"/>
                <w:lang w:val="en-US" w:eastAsia="zh-CN"/>
              </w:rPr>
              <w:t>20m</w:t>
            </w:r>
            <w:r>
              <w:rPr>
                <w:rFonts w:hint="eastAsia"/>
                <w:color w:val="auto"/>
                <w:vertAlign w:val="superscript"/>
                <w:lang w:val="en-US" w:eastAsia="zh-CN"/>
              </w:rPr>
              <w:t>2</w:t>
            </w:r>
            <w:r>
              <w:rPr>
                <w:rFonts w:hint="eastAsia"/>
                <w:color w:val="auto"/>
                <w:lang w:val="en-US" w:eastAsia="zh-CN"/>
              </w:rPr>
              <w:t>，</w:t>
            </w:r>
            <w:r>
              <w:rPr>
                <w:rFonts w:hint="eastAsia"/>
                <w:color w:val="auto"/>
              </w:rPr>
              <w:t>为了进一步加强</w:t>
            </w:r>
            <w:r>
              <w:rPr>
                <w:rFonts w:hint="eastAsia"/>
                <w:color w:val="auto"/>
                <w:lang w:val="en-US" w:eastAsia="zh-CN"/>
              </w:rPr>
              <w:t>危险</w:t>
            </w:r>
            <w:r>
              <w:rPr>
                <w:rFonts w:hint="eastAsia"/>
                <w:color w:val="auto"/>
              </w:rPr>
              <w:t>废物管理和处置，防止因</w:t>
            </w:r>
            <w:r>
              <w:rPr>
                <w:rFonts w:hint="eastAsia"/>
                <w:color w:val="auto"/>
                <w:lang w:val="en-US" w:eastAsia="zh-CN"/>
              </w:rPr>
              <w:t>危险废物</w:t>
            </w:r>
            <w:r>
              <w:rPr>
                <w:rFonts w:hint="eastAsia"/>
                <w:color w:val="auto"/>
              </w:rPr>
              <w:t>导致环境污染事故，建设单位应</w:t>
            </w:r>
            <w:r>
              <w:rPr>
                <w:rFonts w:hint="eastAsia"/>
                <w:color w:val="auto"/>
                <w:lang w:eastAsia="zh-CN"/>
              </w:rPr>
              <w:t>按照</w:t>
            </w:r>
            <w:r>
              <w:rPr>
                <w:rFonts w:hint="eastAsia"/>
                <w:color w:val="auto"/>
              </w:rPr>
              <w:t>《危险废物贮存污染控制标准》（GB18597-2001）</w:t>
            </w:r>
            <w:r>
              <w:rPr>
                <w:rFonts w:hint="eastAsia"/>
                <w:color w:val="auto"/>
                <w:lang w:eastAsia="zh-CN"/>
              </w:rPr>
              <w:t>、</w:t>
            </w:r>
            <w:r>
              <w:rPr>
                <w:rFonts w:hint="eastAsia"/>
                <w:color w:val="auto"/>
              </w:rPr>
              <w:t>《危险废物收集</w:t>
            </w:r>
            <w:r>
              <w:rPr>
                <w:rFonts w:hint="eastAsia"/>
                <w:color w:val="auto"/>
                <w:lang w:val="en-US" w:eastAsia="zh-CN"/>
              </w:rPr>
              <w:t xml:space="preserve"> </w:t>
            </w:r>
            <w:r>
              <w:rPr>
                <w:rFonts w:hint="eastAsia"/>
                <w:color w:val="auto"/>
              </w:rPr>
              <w:t>贮存</w:t>
            </w:r>
            <w:r>
              <w:rPr>
                <w:rFonts w:hint="eastAsia"/>
                <w:color w:val="auto"/>
                <w:lang w:val="en-US" w:eastAsia="zh-CN"/>
              </w:rPr>
              <w:t xml:space="preserve"> </w:t>
            </w:r>
            <w:r>
              <w:rPr>
                <w:rFonts w:hint="eastAsia"/>
                <w:color w:val="auto"/>
              </w:rPr>
              <w:t>运输技术规范》（HJ 2025-2012）及相关法律法规</w:t>
            </w:r>
            <w:r>
              <w:rPr>
                <w:rFonts w:hint="eastAsia"/>
                <w:color w:val="auto"/>
                <w:lang w:eastAsia="zh-CN"/>
              </w:rPr>
              <w:t>进行</w:t>
            </w:r>
            <w:r>
              <w:rPr>
                <w:rFonts w:hint="eastAsia"/>
                <w:color w:val="auto"/>
              </w:rPr>
              <w:t>收集、存放和运输</w:t>
            </w:r>
            <w:r>
              <w:rPr>
                <w:rFonts w:hint="eastAsia"/>
                <w:color w:val="auto"/>
                <w:lang w:eastAsia="zh-CN"/>
              </w:rPr>
              <w:t>，应采取</w:t>
            </w:r>
            <w:r>
              <w:rPr>
                <w:rFonts w:hint="eastAsia"/>
                <w:color w:val="auto"/>
              </w:rPr>
              <w:t>措施如下：</w:t>
            </w:r>
          </w:p>
          <w:p>
            <w:pPr>
              <w:pStyle w:val="8"/>
              <w:bidi w:val="0"/>
              <w:rPr>
                <w:rFonts w:hint="eastAsia" w:eastAsia="宋体"/>
                <w:color w:val="auto"/>
                <w:lang w:eastAsia="zh-CN"/>
              </w:rPr>
            </w:pPr>
            <w:r>
              <w:rPr>
                <w:rFonts w:hint="eastAsia"/>
                <w:color w:val="auto"/>
                <w:lang w:val="en-US" w:eastAsia="zh-CN"/>
              </w:rPr>
              <w:t>①</w:t>
            </w:r>
            <w:r>
              <w:rPr>
                <w:color w:val="auto"/>
              </w:rPr>
              <w:t>设置单独的危险废物暂存地点，该地点地面及裙角应做耐腐蚀硬化、防渗漏处理，且表面无裂隙，所使用的材料要与危险废物兼容；</w:t>
            </w:r>
            <w:r>
              <w:rPr>
                <w:rFonts w:hint="eastAsia"/>
                <w:color w:val="auto"/>
                <w:lang w:val="en-US" w:eastAsia="zh-CN"/>
              </w:rPr>
              <w:t>危废暂存间</w:t>
            </w:r>
            <w:r>
              <w:rPr>
                <w:rFonts w:hint="eastAsia"/>
                <w:color w:val="auto"/>
              </w:rPr>
              <w:t>防渗层为至少</w:t>
            </w:r>
            <w:r>
              <w:rPr>
                <w:rFonts w:hint="default"/>
                <w:color w:val="auto"/>
              </w:rPr>
              <w:t>1m</w:t>
            </w:r>
            <w:r>
              <w:rPr>
                <w:rFonts w:hint="eastAsia"/>
                <w:color w:val="auto"/>
              </w:rPr>
              <w:t>厚粘土层（</w:t>
            </w:r>
            <w:r>
              <w:rPr>
                <w:rFonts w:hint="eastAsia"/>
                <w:color w:val="auto"/>
                <w:lang w:val="en-US" w:eastAsia="zh-CN"/>
              </w:rPr>
              <w:t>k</w:t>
            </w:r>
            <w:r>
              <w:rPr>
                <w:rFonts w:hint="eastAsia"/>
                <w:color w:val="auto"/>
              </w:rPr>
              <w:t>≤</w:t>
            </w:r>
            <w:r>
              <w:rPr>
                <w:rFonts w:hint="default"/>
                <w:color w:val="auto"/>
              </w:rPr>
              <w:t>10</w:t>
            </w:r>
            <w:r>
              <w:rPr>
                <w:rFonts w:hint="eastAsia"/>
                <w:color w:val="auto"/>
                <w:vertAlign w:val="superscript"/>
                <w:lang w:val="en-US" w:eastAsia="zh-CN"/>
              </w:rPr>
              <w:t>-7</w:t>
            </w:r>
            <w:r>
              <w:rPr>
                <w:rFonts w:hint="default"/>
                <w:color w:val="auto"/>
              </w:rPr>
              <w:t xml:space="preserve"> cm/s</w:t>
            </w:r>
            <w:r>
              <w:rPr>
                <w:rFonts w:hint="eastAsia"/>
                <w:color w:val="auto"/>
              </w:rPr>
              <w:t>），或</w:t>
            </w:r>
            <w:r>
              <w:rPr>
                <w:rFonts w:hint="default"/>
                <w:color w:val="auto"/>
              </w:rPr>
              <w:t>2mm</w:t>
            </w:r>
            <w:r>
              <w:rPr>
                <w:rFonts w:hint="eastAsia"/>
                <w:color w:val="auto"/>
              </w:rPr>
              <w:t>厚高密度聚乙烯，或至少</w:t>
            </w:r>
            <w:r>
              <w:rPr>
                <w:rFonts w:hint="default"/>
                <w:color w:val="auto"/>
              </w:rPr>
              <w:t xml:space="preserve">2mm </w:t>
            </w:r>
            <w:r>
              <w:rPr>
                <w:rFonts w:hint="eastAsia"/>
                <w:color w:val="auto"/>
              </w:rPr>
              <w:t>厚的其它人工材料，</w:t>
            </w:r>
            <w:r>
              <w:rPr>
                <w:rFonts w:hint="eastAsia"/>
                <w:color w:val="auto"/>
                <w:lang w:val="en-US" w:eastAsia="zh-CN"/>
              </w:rPr>
              <w:t>k</w:t>
            </w:r>
            <w:r>
              <w:rPr>
                <w:rFonts w:hint="eastAsia"/>
                <w:color w:val="auto"/>
              </w:rPr>
              <w:t>≤</w:t>
            </w:r>
            <w:r>
              <w:rPr>
                <w:rFonts w:hint="default"/>
                <w:color w:val="auto"/>
              </w:rPr>
              <w:t>10</w:t>
            </w:r>
            <w:r>
              <w:rPr>
                <w:rFonts w:hint="eastAsia"/>
                <w:color w:val="auto"/>
                <w:vertAlign w:val="superscript"/>
                <w:lang w:val="en-US" w:eastAsia="zh-CN"/>
              </w:rPr>
              <w:t>-10</w:t>
            </w:r>
            <w:r>
              <w:rPr>
                <w:rFonts w:hint="default"/>
                <w:color w:val="auto"/>
              </w:rPr>
              <w:t>cm/s</w:t>
            </w:r>
            <w:r>
              <w:rPr>
                <w:rFonts w:hint="eastAsia"/>
                <w:color w:val="auto"/>
                <w:lang w:val="en-US" w:eastAsia="zh-CN"/>
              </w:rPr>
              <w:t>。</w:t>
            </w:r>
          </w:p>
          <w:p>
            <w:pPr>
              <w:pStyle w:val="8"/>
              <w:bidi w:val="0"/>
              <w:rPr>
                <w:rFonts w:hint="eastAsia"/>
                <w:color w:val="auto"/>
              </w:rPr>
            </w:pPr>
            <w:r>
              <w:rPr>
                <w:rFonts w:hint="eastAsia"/>
                <w:color w:val="auto"/>
                <w:lang w:val="en-US" w:eastAsia="zh-CN"/>
              </w:rPr>
              <w:t>②危险</w:t>
            </w:r>
            <w:r>
              <w:rPr>
                <w:rFonts w:hint="eastAsia"/>
                <w:color w:val="auto"/>
              </w:rPr>
              <w:t>废物在发生场所进行分类收集，并按照类别分置于防渗漏、防锐器穿透的专用包装物或者密闭的容器内。</w:t>
            </w:r>
            <w:r>
              <w:rPr>
                <w:rFonts w:hint="eastAsia"/>
                <w:color w:val="auto"/>
                <w:lang w:eastAsia="zh-CN"/>
              </w:rPr>
              <w:t>废液在实验室集中收集后，采用带盖塑料桶收集，暂存于危废暂存间指定区域，固体废物使用密闭铁桶或收集袋收集，项目产生的危险废物性质稳定，不与储存容器发生反应。满足</w:t>
            </w:r>
            <w:r>
              <w:rPr>
                <w:rFonts w:hint="eastAsia"/>
                <w:color w:val="auto"/>
              </w:rPr>
              <w:t>《危险废物贮存污染控制标准》（GB18597-2001）</w:t>
            </w:r>
            <w:r>
              <w:rPr>
                <w:rFonts w:hint="eastAsia"/>
                <w:color w:val="auto"/>
                <w:lang w:eastAsia="zh-CN"/>
              </w:rPr>
              <w:t>对储存容器强度和相容性的相关规定。</w:t>
            </w:r>
            <w:r>
              <w:rPr>
                <w:rFonts w:hint="eastAsia"/>
                <w:color w:val="auto"/>
              </w:rPr>
              <w:t>各种废物收集容器上必须按《危险废物贮存污染控制标准》（GB18597-2001）要求贴上合格的标签、做好标识，</w:t>
            </w:r>
            <w:r>
              <w:rPr>
                <w:rFonts w:hint="eastAsia"/>
                <w:color w:val="auto"/>
                <w:lang w:val="en-US" w:eastAsia="zh-CN"/>
              </w:rPr>
              <w:t>委托</w:t>
            </w:r>
            <w:r>
              <w:rPr>
                <w:rFonts w:hint="eastAsia"/>
                <w:color w:val="auto"/>
              </w:rPr>
              <w:t>有资质危废公司处理处置。</w:t>
            </w:r>
          </w:p>
          <w:p>
            <w:pPr>
              <w:pStyle w:val="99"/>
              <w:rPr>
                <w:rFonts w:hint="eastAsia"/>
                <w:color w:val="auto"/>
              </w:rPr>
            </w:pPr>
            <w:r>
              <w:rPr>
                <w:rFonts w:hint="eastAsia"/>
                <w:color w:val="auto"/>
                <w:lang w:val="en-US" w:eastAsia="zh-CN"/>
              </w:rPr>
              <w:t>③</w:t>
            </w:r>
            <w:r>
              <w:rPr>
                <w:rFonts w:hint="eastAsia"/>
                <w:color w:val="auto"/>
              </w:rPr>
              <w:t>建立档案制度，对暂存的废物种类、数量、特性、包装容器类别、存放库位、存入日期、运出日期等详细记录在案并长期保存。建立定期巡查、维护制度。</w:t>
            </w:r>
          </w:p>
          <w:p>
            <w:pPr>
              <w:pStyle w:val="99"/>
              <w:rPr>
                <w:rFonts w:hint="eastAsia"/>
                <w:color w:val="auto"/>
                <w:lang w:eastAsia="zh-CN"/>
              </w:rPr>
            </w:pPr>
            <w:r>
              <w:rPr>
                <w:rFonts w:hint="eastAsia"/>
                <w:color w:val="auto"/>
                <w:lang w:eastAsia="zh-CN"/>
              </w:rPr>
              <w:t>④项目产生的实验废液为液态，采用带盖塑料桶收集后放置在危废暂存间指定区域暂存，运送方式为人工推车；实验废物用密封袋包装，集后放置在危废暂存间指定区域暂存；环保设施委托专人定期更换活性炭，用带盖铁桶盛放，人工推车方式运送至危废暂存间指定区域暂存。</w:t>
            </w:r>
          </w:p>
          <w:p>
            <w:pPr>
              <w:pStyle w:val="99"/>
              <w:rPr>
                <w:rFonts w:hint="eastAsia"/>
                <w:color w:val="auto"/>
                <w:lang w:eastAsia="zh-CN"/>
              </w:rPr>
            </w:pPr>
            <w:r>
              <w:rPr>
                <w:rFonts w:hint="eastAsia"/>
                <w:color w:val="auto"/>
                <w:lang w:eastAsia="zh-CN"/>
              </w:rPr>
              <w:t>⑤动物尸体、滤渣属于医疗废物，各环节应严格执行《危险废物收集、贮存、运输技术规范》（HJ2025-2012）、《医疗废物管理条例》和《医疗卫生机构医疗废物管理办法》中的相关要求。</w:t>
            </w:r>
          </w:p>
          <w:p>
            <w:pPr>
              <w:adjustRightInd w:val="0"/>
              <w:spacing w:line="360" w:lineRule="auto"/>
              <w:ind w:firstLine="480" w:firstLineChars="200"/>
              <w:rPr>
                <w:rFonts w:hint="eastAsia"/>
                <w:color w:val="auto"/>
                <w:lang w:val="en-US" w:eastAsia="zh-CN"/>
              </w:rPr>
            </w:pPr>
            <w:r>
              <w:rPr>
                <w:rFonts w:hint="eastAsia"/>
                <w:color w:val="auto"/>
                <w:lang w:eastAsia="zh-CN"/>
              </w:rPr>
              <w:t>本项目危险废物每次产生量较少，送距离较近，运输过程中产生散落、泄漏的可能性很小；如果发生散落或泄漏，由于危险废物运输量较小且地面已硬化处理，项目位于</w:t>
            </w:r>
            <w:r>
              <w:rPr>
                <w:rFonts w:hint="eastAsia"/>
                <w:color w:val="auto"/>
                <w:lang w:val="en-US" w:eastAsia="zh-CN"/>
              </w:rPr>
              <w:t>5</w:t>
            </w:r>
            <w:r>
              <w:rPr>
                <w:rFonts w:hint="eastAsia"/>
                <w:color w:val="auto"/>
                <w:lang w:eastAsia="zh-CN"/>
              </w:rPr>
              <w:t>楼不直接接触地面，可以确保及时进行收集，故危险废物从产生工艺环节运输到危险废物暂存区的过程不会对环境产生明显影响。</w:t>
            </w:r>
          </w:p>
          <w:p>
            <w:pPr>
              <w:pStyle w:val="83"/>
              <w:bidi w:val="0"/>
              <w:rPr>
                <w:color w:val="auto"/>
              </w:rPr>
            </w:pPr>
            <w:r>
              <w:rPr>
                <w:color w:val="auto"/>
              </w:rPr>
              <w:t>表4-</w:t>
            </w:r>
            <w:r>
              <w:rPr>
                <w:rFonts w:hint="eastAsia"/>
                <w:color w:val="auto"/>
                <w:lang w:val="en-US" w:eastAsia="zh-CN"/>
              </w:rPr>
              <w:t>27</w:t>
            </w:r>
            <w:r>
              <w:rPr>
                <w:color w:val="auto"/>
              </w:rPr>
              <w:t xml:space="preserve">  危险废物暂存间基本情况一览表</w:t>
            </w:r>
          </w:p>
          <w:tbl>
            <w:tblPr>
              <w:tblStyle w:val="29"/>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57" w:type="dxa"/>
                <w:bottom w:w="0" w:type="dxa"/>
                <w:right w:w="57" w:type="dxa"/>
              </w:tblCellMar>
            </w:tblPr>
            <w:tblGrid>
              <w:gridCol w:w="447"/>
              <w:gridCol w:w="833"/>
              <w:gridCol w:w="1134"/>
              <w:gridCol w:w="871"/>
              <w:gridCol w:w="1256"/>
              <w:gridCol w:w="566"/>
              <w:gridCol w:w="610"/>
              <w:gridCol w:w="1402"/>
              <w:gridCol w:w="751"/>
              <w:gridCol w:w="6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44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序号</w:t>
                  </w:r>
                </w:p>
              </w:tc>
              <w:tc>
                <w:tcPr>
                  <w:tcW w:w="83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贮存场所名称</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危险废物名称</w:t>
                  </w:r>
                </w:p>
              </w:tc>
              <w:tc>
                <w:tcPr>
                  <w:tcW w:w="8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危险废物类别</w:t>
                  </w:r>
                </w:p>
              </w:tc>
              <w:tc>
                <w:tcPr>
                  <w:tcW w:w="12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危险废物</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代码</w:t>
                  </w:r>
                </w:p>
              </w:tc>
              <w:tc>
                <w:tcPr>
                  <w:tcW w:w="56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位置</w:t>
                  </w:r>
                </w:p>
              </w:tc>
              <w:tc>
                <w:tcPr>
                  <w:tcW w:w="61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占地面积</w:t>
                  </w:r>
                </w:p>
              </w:tc>
              <w:tc>
                <w:tcPr>
                  <w:tcW w:w="14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贮存方式</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b/>
                      <w:bCs/>
                      <w:color w:val="auto"/>
                      <w:sz w:val="21"/>
                      <w:szCs w:val="21"/>
                      <w:lang w:eastAsia="zh-CN"/>
                    </w:rPr>
                  </w:pPr>
                  <w:r>
                    <w:rPr>
                      <w:rFonts w:hint="eastAsia"/>
                      <w:b/>
                      <w:bCs/>
                      <w:color w:val="auto"/>
                      <w:sz w:val="21"/>
                      <w:szCs w:val="21"/>
                      <w:lang w:eastAsia="zh-CN"/>
                    </w:rPr>
                    <w:t>产废周期</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贮存周期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color w:val="auto"/>
                      <w:sz w:val="21"/>
                      <w:szCs w:val="21"/>
                    </w:rPr>
                  </w:pPr>
                  <w:r>
                    <w:rPr>
                      <w:color w:val="auto"/>
                      <w:sz w:val="21"/>
                      <w:szCs w:val="21"/>
                    </w:rPr>
                    <w:t>1</w:t>
                  </w:r>
                </w:p>
              </w:tc>
              <w:tc>
                <w:tcPr>
                  <w:tcW w:w="833" w:type="dxa"/>
                  <w:vMerge w:val="restart"/>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r>
                    <w:rPr>
                      <w:color w:val="auto"/>
                      <w:sz w:val="21"/>
                      <w:szCs w:val="21"/>
                    </w:rPr>
                    <w:t>危险废物暂存间</w:t>
                  </w: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废活性炭</w:t>
                  </w:r>
                </w:p>
              </w:tc>
              <w:tc>
                <w:tcPr>
                  <w:tcW w:w="871" w:type="dxa"/>
                  <w:tcBorders>
                    <w:tl2br w:val="nil"/>
                    <w:tr2bl w:val="nil"/>
                  </w:tcBorders>
                  <w:noWrap w:val="0"/>
                  <w:vAlign w:val="center"/>
                </w:tcPr>
                <w:p>
                  <w:pPr>
                    <w:pStyle w:val="84"/>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HW49</w:t>
                  </w:r>
                </w:p>
              </w:tc>
              <w:tc>
                <w:tcPr>
                  <w:tcW w:w="1256" w:type="dxa"/>
                  <w:tcBorders>
                    <w:tl2br w:val="nil"/>
                    <w:tr2bl w:val="nil"/>
                  </w:tcBorders>
                  <w:noWrap w:val="0"/>
                  <w:vAlign w:val="center"/>
                </w:tcPr>
                <w:p>
                  <w:pPr>
                    <w:keepNext w:val="0"/>
                    <w:keepLines w:val="0"/>
                    <w:pageBreakBefore w:val="0"/>
                    <w:widowControl/>
                    <w:kinsoku/>
                    <w:wordWrap/>
                    <w:overflowPunct/>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900-039-49</w:t>
                  </w:r>
                </w:p>
              </w:tc>
              <w:tc>
                <w:tcPr>
                  <w:tcW w:w="566" w:type="dxa"/>
                  <w:vMerge w:val="restart"/>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5楼南侧</w:t>
                  </w:r>
                </w:p>
              </w:tc>
              <w:tc>
                <w:tcPr>
                  <w:tcW w:w="610" w:type="dxa"/>
                  <w:vMerge w:val="restart"/>
                  <w:tcBorders>
                    <w:tl2br w:val="nil"/>
                    <w:tr2bl w:val="nil"/>
                  </w:tcBorders>
                  <w:noWrap w:val="0"/>
                  <w:vAlign w:val="center"/>
                </w:tcPr>
                <w:p>
                  <w:pPr>
                    <w:topLinePunct/>
                    <w:adjustRightInd w:val="0"/>
                    <w:snapToGrid w:val="0"/>
                    <w:contextualSpacing/>
                    <w:jc w:val="center"/>
                    <w:rPr>
                      <w:rFonts w:hint="default"/>
                      <w:color w:val="auto"/>
                      <w:sz w:val="21"/>
                      <w:szCs w:val="21"/>
                      <w:lang w:val="en-US" w:eastAsia="zh-CN"/>
                    </w:rPr>
                  </w:pPr>
                  <w:r>
                    <w:rPr>
                      <w:rFonts w:hint="eastAsia"/>
                      <w:color w:val="auto"/>
                      <w:sz w:val="21"/>
                      <w:szCs w:val="21"/>
                      <w:lang w:val="en-US" w:eastAsia="zh-CN"/>
                    </w:rPr>
                    <w:t>20</w:t>
                  </w:r>
                  <w:r>
                    <w:rPr>
                      <w:b w:val="0"/>
                      <w:bCs w:val="0"/>
                      <w:color w:val="auto"/>
                      <w:sz w:val="21"/>
                      <w:szCs w:val="21"/>
                    </w:rPr>
                    <w:t>m</w:t>
                  </w:r>
                  <w:r>
                    <w:rPr>
                      <w:rFonts w:hint="eastAsia"/>
                      <w:b w:val="0"/>
                      <w:bCs w:val="0"/>
                      <w:color w:val="auto"/>
                      <w:sz w:val="21"/>
                      <w:szCs w:val="21"/>
                      <w:vertAlign w:val="superscript"/>
                      <w:lang w:val="en-US" w:eastAsia="zh-CN"/>
                    </w:rPr>
                    <w:t>2</w:t>
                  </w: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纸箱+托盘</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三个月</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三个月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2</w:t>
                  </w:r>
                </w:p>
              </w:tc>
              <w:tc>
                <w:tcPr>
                  <w:tcW w:w="833"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实验废液</w:t>
                  </w:r>
                </w:p>
              </w:tc>
              <w:tc>
                <w:tcPr>
                  <w:tcW w:w="871" w:type="dxa"/>
                  <w:tcBorders>
                    <w:tl2br w:val="nil"/>
                    <w:tr2bl w:val="nil"/>
                  </w:tcBorders>
                  <w:noWrap w:val="0"/>
                  <w:vAlign w:val="center"/>
                </w:tcPr>
                <w:p>
                  <w:pPr>
                    <w:pStyle w:val="84"/>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HW49</w:t>
                  </w:r>
                </w:p>
              </w:tc>
              <w:tc>
                <w:tcPr>
                  <w:tcW w:w="1256" w:type="dxa"/>
                  <w:tcBorders>
                    <w:tl2br w:val="nil"/>
                    <w:tr2bl w:val="nil"/>
                  </w:tcBorders>
                  <w:noWrap w:val="0"/>
                  <w:vAlign w:val="center"/>
                </w:tcPr>
                <w:p>
                  <w:pPr>
                    <w:keepNext w:val="0"/>
                    <w:keepLines w:val="0"/>
                    <w:pageBreakBefore w:val="0"/>
                    <w:widowControl/>
                    <w:kinsoku/>
                    <w:wordWrap/>
                    <w:overflowPunct/>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rPr>
                    <w:t>900-0</w:t>
                  </w:r>
                  <w:r>
                    <w:rPr>
                      <w:rFonts w:hint="eastAsia"/>
                      <w:color w:val="auto"/>
                      <w:sz w:val="21"/>
                      <w:szCs w:val="21"/>
                      <w:lang w:val="en-US" w:eastAsia="zh-CN"/>
                    </w:rPr>
                    <w:t>47</w:t>
                  </w:r>
                  <w:r>
                    <w:rPr>
                      <w:rFonts w:hint="eastAsia"/>
                      <w:color w:val="auto"/>
                      <w:sz w:val="21"/>
                      <w:szCs w:val="21"/>
                    </w:rPr>
                    <w:t>-</w:t>
                  </w:r>
                  <w:r>
                    <w:rPr>
                      <w:rFonts w:hint="eastAsia"/>
                      <w:color w:val="auto"/>
                      <w:sz w:val="21"/>
                      <w:szCs w:val="21"/>
                      <w:lang w:val="en-US" w:eastAsia="zh-CN"/>
                    </w:rPr>
                    <w:t>49</w:t>
                  </w:r>
                </w:p>
              </w:tc>
              <w:tc>
                <w:tcPr>
                  <w:tcW w:w="566"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p>
              </w:tc>
              <w:tc>
                <w:tcPr>
                  <w:tcW w:w="610" w:type="dxa"/>
                  <w:vMerge w:val="continue"/>
                  <w:tcBorders>
                    <w:tl2br w:val="nil"/>
                    <w:tr2bl w:val="nil"/>
                  </w:tcBorders>
                  <w:noWrap w:val="0"/>
                  <w:vAlign w:val="center"/>
                </w:tcPr>
                <w:p>
                  <w:pPr>
                    <w:topLinePunct/>
                    <w:adjustRightInd w:val="0"/>
                    <w:snapToGrid w:val="0"/>
                    <w:contextualSpacing/>
                    <w:jc w:val="center"/>
                    <w:rPr>
                      <w:rFonts w:hint="eastAsia"/>
                      <w:color w:val="auto"/>
                      <w:sz w:val="21"/>
                      <w:szCs w:val="21"/>
                      <w:lang w:val="en-US" w:eastAsia="zh-CN"/>
                    </w:rPr>
                  </w:pP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default"/>
                      <w:color w:val="auto"/>
                      <w:sz w:val="21"/>
                      <w:szCs w:val="21"/>
                      <w:lang w:val="en-US" w:eastAsia="zh-CN"/>
                    </w:rPr>
                  </w:pPr>
                  <w:r>
                    <w:rPr>
                      <w:rFonts w:hint="eastAsia"/>
                      <w:color w:val="auto"/>
                      <w:sz w:val="21"/>
                      <w:szCs w:val="21"/>
                      <w:lang w:val="en-US" w:eastAsia="zh-CN"/>
                    </w:rPr>
                    <w:t>塑料桶+托盘</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每天</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rFonts w:hint="eastAsia" w:eastAsia="宋体"/>
                      <w:color w:val="auto"/>
                      <w:sz w:val="21"/>
                      <w:szCs w:val="21"/>
                      <w:lang w:val="en-US" w:eastAsia="zh-CN"/>
                    </w:rPr>
                  </w:pPr>
                  <w:r>
                    <w:rPr>
                      <w:rFonts w:hint="eastAsia"/>
                      <w:color w:val="auto"/>
                      <w:sz w:val="21"/>
                      <w:szCs w:val="21"/>
                      <w:lang w:val="en-US" w:eastAsia="zh-CN"/>
                    </w:rPr>
                    <w:t>3</w:t>
                  </w:r>
                </w:p>
              </w:tc>
              <w:tc>
                <w:tcPr>
                  <w:tcW w:w="833"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实验废物</w:t>
                  </w:r>
                </w:p>
              </w:tc>
              <w:tc>
                <w:tcPr>
                  <w:tcW w:w="871" w:type="dxa"/>
                  <w:tcBorders>
                    <w:tl2br w:val="nil"/>
                    <w:tr2bl w:val="nil"/>
                  </w:tcBorders>
                  <w:noWrap w:val="0"/>
                  <w:vAlign w:val="center"/>
                </w:tcPr>
                <w:p>
                  <w:pPr>
                    <w:pStyle w:val="84"/>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HW49</w:t>
                  </w:r>
                </w:p>
              </w:tc>
              <w:tc>
                <w:tcPr>
                  <w:tcW w:w="1256" w:type="dxa"/>
                  <w:tcBorders>
                    <w:tl2br w:val="nil"/>
                    <w:tr2bl w:val="nil"/>
                  </w:tcBorders>
                  <w:noWrap w:val="0"/>
                  <w:vAlign w:val="center"/>
                </w:tcPr>
                <w:p>
                  <w:pPr>
                    <w:keepNext w:val="0"/>
                    <w:keepLines w:val="0"/>
                    <w:pageBreakBefore w:val="0"/>
                    <w:widowControl/>
                    <w:kinsoku/>
                    <w:wordWrap/>
                    <w:overflowPunct/>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900-041-49</w:t>
                  </w:r>
                </w:p>
              </w:tc>
              <w:tc>
                <w:tcPr>
                  <w:tcW w:w="566"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p>
              </w:tc>
              <w:tc>
                <w:tcPr>
                  <w:tcW w:w="610" w:type="dxa"/>
                  <w:vMerge w:val="continue"/>
                  <w:tcBorders>
                    <w:tl2br w:val="nil"/>
                    <w:tr2bl w:val="nil"/>
                  </w:tcBorders>
                  <w:noWrap w:val="0"/>
                  <w:vAlign w:val="center"/>
                </w:tcPr>
                <w:p>
                  <w:pPr>
                    <w:topLinePunct/>
                    <w:adjustRightInd w:val="0"/>
                    <w:snapToGrid w:val="0"/>
                    <w:contextualSpacing/>
                    <w:jc w:val="center"/>
                    <w:rPr>
                      <w:rFonts w:hint="eastAsia"/>
                      <w:color w:val="auto"/>
                      <w:sz w:val="21"/>
                      <w:szCs w:val="21"/>
                      <w:lang w:val="en-US" w:eastAsia="zh-CN"/>
                    </w:rPr>
                  </w:pP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r>
                    <w:rPr>
                      <w:rFonts w:hint="eastAsia"/>
                      <w:color w:val="auto"/>
                      <w:sz w:val="21"/>
                      <w:szCs w:val="21"/>
                      <w:lang w:val="en-US" w:eastAsia="zh-CN"/>
                    </w:rPr>
                    <w:t>塑料袋</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每天</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1月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rFonts w:hint="default"/>
                      <w:color w:val="auto"/>
                      <w:sz w:val="21"/>
                      <w:szCs w:val="21"/>
                      <w:lang w:val="en-US" w:eastAsia="zh-CN"/>
                    </w:rPr>
                  </w:pPr>
                  <w:r>
                    <w:rPr>
                      <w:rFonts w:hint="eastAsia"/>
                      <w:color w:val="auto"/>
                      <w:sz w:val="21"/>
                      <w:szCs w:val="21"/>
                      <w:lang w:val="en-US" w:eastAsia="zh-CN"/>
                    </w:rPr>
                    <w:t>4</w:t>
                  </w:r>
                </w:p>
              </w:tc>
              <w:tc>
                <w:tcPr>
                  <w:tcW w:w="833"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废UV灯管</w:t>
                  </w:r>
                </w:p>
              </w:tc>
              <w:tc>
                <w:tcPr>
                  <w:tcW w:w="871" w:type="dxa"/>
                  <w:tcBorders>
                    <w:tl2br w:val="nil"/>
                    <w:tr2bl w:val="nil"/>
                  </w:tcBorders>
                  <w:noWrap w:val="0"/>
                  <w:vAlign w:val="center"/>
                </w:tcPr>
                <w:p>
                  <w:pPr>
                    <w:pStyle w:val="84"/>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HW29</w:t>
                  </w:r>
                </w:p>
              </w:tc>
              <w:tc>
                <w:tcPr>
                  <w:tcW w:w="1256" w:type="dxa"/>
                  <w:tcBorders>
                    <w:tl2br w:val="nil"/>
                    <w:tr2bl w:val="nil"/>
                  </w:tcBorders>
                  <w:noWrap w:val="0"/>
                  <w:vAlign w:val="center"/>
                </w:tcPr>
                <w:p>
                  <w:pPr>
                    <w:keepNext w:val="0"/>
                    <w:keepLines w:val="0"/>
                    <w:pageBreakBefore w:val="0"/>
                    <w:widowControl/>
                    <w:kinsoku/>
                    <w:wordWrap/>
                    <w:overflowPunct/>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900-023-29</w:t>
                  </w:r>
                </w:p>
              </w:tc>
              <w:tc>
                <w:tcPr>
                  <w:tcW w:w="566"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p>
              </w:tc>
              <w:tc>
                <w:tcPr>
                  <w:tcW w:w="610" w:type="dxa"/>
                  <w:vMerge w:val="continue"/>
                  <w:tcBorders>
                    <w:tl2br w:val="nil"/>
                    <w:tr2bl w:val="nil"/>
                  </w:tcBorders>
                  <w:noWrap w:val="0"/>
                  <w:vAlign w:val="center"/>
                </w:tcPr>
                <w:p>
                  <w:pPr>
                    <w:topLinePunct/>
                    <w:adjustRightInd w:val="0"/>
                    <w:snapToGrid w:val="0"/>
                    <w:contextualSpacing/>
                    <w:jc w:val="center"/>
                    <w:rPr>
                      <w:rFonts w:hint="eastAsia"/>
                      <w:color w:val="auto"/>
                      <w:sz w:val="21"/>
                      <w:szCs w:val="21"/>
                      <w:lang w:val="en-US" w:eastAsia="zh-CN"/>
                    </w:rPr>
                  </w:pP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r>
                    <w:rPr>
                      <w:rFonts w:hint="eastAsia"/>
                      <w:color w:val="auto"/>
                      <w:sz w:val="21"/>
                      <w:szCs w:val="21"/>
                      <w:lang w:val="en-US" w:eastAsia="zh-CN"/>
                    </w:rPr>
                    <w:t>纸箱+托盘</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半年</w:t>
                  </w:r>
                </w:p>
              </w:tc>
              <w:tc>
                <w:tcPr>
                  <w:tcW w:w="6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rFonts w:hint="default"/>
                      <w:color w:val="auto"/>
                      <w:sz w:val="21"/>
                      <w:szCs w:val="21"/>
                      <w:lang w:val="en-US" w:eastAsia="zh-CN"/>
                    </w:rPr>
                  </w:pPr>
                  <w:r>
                    <w:rPr>
                      <w:rFonts w:hint="eastAsia"/>
                      <w:color w:val="auto"/>
                      <w:sz w:val="21"/>
                      <w:szCs w:val="21"/>
                      <w:lang w:val="en-US" w:eastAsia="zh-CN"/>
                    </w:rPr>
                    <w:t>5</w:t>
                  </w:r>
                </w:p>
              </w:tc>
              <w:tc>
                <w:tcPr>
                  <w:tcW w:w="833"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动物尸体</w:t>
                  </w:r>
                </w:p>
              </w:tc>
              <w:tc>
                <w:tcPr>
                  <w:tcW w:w="871" w:type="dxa"/>
                  <w:tcBorders>
                    <w:tl2br w:val="nil"/>
                    <w:tr2bl w:val="nil"/>
                  </w:tcBorders>
                  <w:noWrap w:val="0"/>
                  <w:vAlign w:val="center"/>
                </w:tcPr>
                <w:p>
                  <w:pPr>
                    <w:pStyle w:val="84"/>
                    <w:spacing w:line="240" w:lineRule="auto"/>
                    <w:ind w:firstLine="0" w:firstLineChars="0"/>
                    <w:jc w:val="center"/>
                    <w:rPr>
                      <w:rFonts w:hint="eastAsia"/>
                      <w:color w:val="auto"/>
                      <w:sz w:val="21"/>
                      <w:szCs w:val="21"/>
                      <w:lang w:val="en-US" w:eastAsia="zh-CN"/>
                    </w:rPr>
                  </w:pPr>
                  <w:r>
                    <w:rPr>
                      <w:rFonts w:hint="eastAsia"/>
                      <w:color w:val="auto"/>
                      <w:sz w:val="21"/>
                      <w:szCs w:val="21"/>
                      <w:lang w:val="en-US" w:eastAsia="zh-CN"/>
                    </w:rPr>
                    <w:t>HW01</w:t>
                  </w:r>
                </w:p>
              </w:tc>
              <w:tc>
                <w:tcPr>
                  <w:tcW w:w="1256" w:type="dxa"/>
                  <w:tcBorders>
                    <w:tl2br w:val="nil"/>
                    <w:tr2bl w:val="nil"/>
                  </w:tcBorders>
                  <w:noWrap w:val="0"/>
                  <w:vAlign w:val="center"/>
                </w:tcPr>
                <w:p>
                  <w:pPr>
                    <w:keepNext w:val="0"/>
                    <w:keepLines w:val="0"/>
                    <w:pageBreakBefore w:val="0"/>
                    <w:widowControl/>
                    <w:kinsoku/>
                    <w:wordWrap/>
                    <w:overflowPunct/>
                    <w:autoSpaceDE/>
                    <w:autoSpaceDN/>
                    <w:bidi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841-003-01</w:t>
                  </w:r>
                </w:p>
              </w:tc>
              <w:tc>
                <w:tcPr>
                  <w:tcW w:w="566"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p>
              </w:tc>
              <w:tc>
                <w:tcPr>
                  <w:tcW w:w="610" w:type="dxa"/>
                  <w:vMerge w:val="continue"/>
                  <w:tcBorders>
                    <w:tl2br w:val="nil"/>
                    <w:tr2bl w:val="nil"/>
                  </w:tcBorders>
                  <w:noWrap w:val="0"/>
                  <w:vAlign w:val="center"/>
                </w:tcPr>
                <w:p>
                  <w:pPr>
                    <w:topLinePunct/>
                    <w:adjustRightInd w:val="0"/>
                    <w:snapToGrid w:val="0"/>
                    <w:contextualSpacing/>
                    <w:jc w:val="center"/>
                    <w:rPr>
                      <w:rFonts w:hint="eastAsia"/>
                      <w:color w:val="auto"/>
                      <w:sz w:val="21"/>
                      <w:szCs w:val="21"/>
                      <w:lang w:val="en-US" w:eastAsia="zh-CN"/>
                    </w:rPr>
                  </w:pP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r>
                    <w:rPr>
                      <w:rFonts w:hint="eastAsia"/>
                      <w:color w:val="auto"/>
                      <w:sz w:val="21"/>
                      <w:szCs w:val="21"/>
                      <w:lang w:val="en-US" w:eastAsia="zh-CN"/>
                    </w:rPr>
                    <w:t>塑料袋</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每天</w:t>
                  </w:r>
                </w:p>
              </w:tc>
              <w:tc>
                <w:tcPr>
                  <w:tcW w:w="6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2天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59" w:hRule="atLeast"/>
                <w:jc w:val="center"/>
              </w:trPr>
              <w:tc>
                <w:tcPr>
                  <w:tcW w:w="447" w:type="dxa"/>
                  <w:tcBorders>
                    <w:tl2br w:val="nil"/>
                    <w:tr2bl w:val="nil"/>
                  </w:tcBorders>
                  <w:noWrap w:val="0"/>
                  <w:vAlign w:val="center"/>
                </w:tcPr>
                <w:p>
                  <w:pPr>
                    <w:topLinePunct/>
                    <w:adjustRightInd w:val="0"/>
                    <w:snapToGrid w:val="0"/>
                    <w:jc w:val="center"/>
                    <w:rPr>
                      <w:rFonts w:hint="default"/>
                      <w:color w:val="auto"/>
                      <w:sz w:val="21"/>
                      <w:szCs w:val="21"/>
                      <w:lang w:val="en-US" w:eastAsia="zh-CN"/>
                    </w:rPr>
                  </w:pPr>
                  <w:r>
                    <w:rPr>
                      <w:rFonts w:hint="eastAsia"/>
                      <w:color w:val="auto"/>
                      <w:sz w:val="21"/>
                      <w:szCs w:val="21"/>
                      <w:lang w:val="en-US" w:eastAsia="zh-CN"/>
                    </w:rPr>
                    <w:t>6</w:t>
                  </w:r>
                </w:p>
              </w:tc>
              <w:tc>
                <w:tcPr>
                  <w:tcW w:w="833"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jc w:val="center"/>
                    <w:textAlignment w:val="auto"/>
                    <w:rPr>
                      <w:color w:val="auto"/>
                      <w:sz w:val="21"/>
                      <w:szCs w:val="21"/>
                    </w:rPr>
                  </w:pPr>
                </w:p>
              </w:tc>
              <w:tc>
                <w:tcPr>
                  <w:tcW w:w="11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滤渣</w:t>
                  </w:r>
                </w:p>
              </w:tc>
              <w:tc>
                <w:tcPr>
                  <w:tcW w:w="87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HW01</w:t>
                  </w:r>
                </w:p>
              </w:tc>
              <w:tc>
                <w:tcPr>
                  <w:tcW w:w="125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841-001-01</w:t>
                  </w:r>
                </w:p>
              </w:tc>
              <w:tc>
                <w:tcPr>
                  <w:tcW w:w="566" w:type="dxa"/>
                  <w:vMerge w:val="continue"/>
                  <w:tcBorders>
                    <w:tl2br w:val="nil"/>
                    <w:tr2bl w:val="nil"/>
                  </w:tcBorders>
                  <w:noWrap w:val="0"/>
                  <w:vAlign w:val="center"/>
                </w:tcPr>
                <w:p>
                  <w:pPr>
                    <w:keepNext w:val="0"/>
                    <w:keepLines w:val="0"/>
                    <w:pageBreakBefore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p>
              </w:tc>
              <w:tc>
                <w:tcPr>
                  <w:tcW w:w="610" w:type="dxa"/>
                  <w:vMerge w:val="continue"/>
                  <w:tcBorders>
                    <w:tl2br w:val="nil"/>
                    <w:tr2bl w:val="nil"/>
                  </w:tcBorders>
                  <w:noWrap w:val="0"/>
                  <w:vAlign w:val="center"/>
                </w:tcPr>
                <w:p>
                  <w:pPr>
                    <w:topLinePunct/>
                    <w:adjustRightInd w:val="0"/>
                    <w:snapToGrid w:val="0"/>
                    <w:contextualSpacing/>
                    <w:jc w:val="center"/>
                    <w:rPr>
                      <w:rFonts w:hint="eastAsia"/>
                      <w:color w:val="auto"/>
                      <w:sz w:val="21"/>
                      <w:szCs w:val="21"/>
                      <w:lang w:val="en-US" w:eastAsia="zh-CN"/>
                    </w:rPr>
                  </w:pPr>
                </w:p>
              </w:tc>
              <w:tc>
                <w:tcPr>
                  <w:tcW w:w="1402" w:type="dxa"/>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240" w:lineRule="auto"/>
                    <w:contextualSpacing/>
                    <w:jc w:val="center"/>
                    <w:textAlignment w:val="auto"/>
                    <w:rPr>
                      <w:rFonts w:hint="eastAsia"/>
                      <w:color w:val="auto"/>
                      <w:sz w:val="21"/>
                      <w:szCs w:val="21"/>
                      <w:lang w:val="en-US" w:eastAsia="zh-CN"/>
                    </w:rPr>
                  </w:pPr>
                  <w:r>
                    <w:rPr>
                      <w:rFonts w:hint="eastAsia"/>
                      <w:color w:val="auto"/>
                      <w:sz w:val="21"/>
                      <w:szCs w:val="21"/>
                      <w:lang w:val="en-US" w:eastAsia="zh-CN"/>
                    </w:rPr>
                    <w:t>塑料桶+托盘</w:t>
                  </w:r>
                </w:p>
              </w:tc>
              <w:tc>
                <w:tcPr>
                  <w:tcW w:w="75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每月</w:t>
                  </w:r>
                </w:p>
              </w:tc>
              <w:tc>
                <w:tcPr>
                  <w:tcW w:w="63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2天</w:t>
                  </w:r>
                </w:p>
              </w:tc>
            </w:tr>
          </w:tbl>
          <w:p>
            <w:pPr>
              <w:pStyle w:val="83"/>
              <w:bidi w:val="0"/>
              <w:rPr>
                <w:color w:val="auto"/>
              </w:rPr>
            </w:pPr>
            <w:r>
              <w:rPr>
                <w:color w:val="auto"/>
              </w:rPr>
              <w:t>表4-</w:t>
            </w:r>
            <w:r>
              <w:rPr>
                <w:rFonts w:hint="eastAsia"/>
                <w:color w:val="auto"/>
                <w:lang w:val="en-US" w:eastAsia="zh-CN"/>
              </w:rPr>
              <w:t>28</w:t>
            </w:r>
            <w:r>
              <w:rPr>
                <w:color w:val="auto"/>
              </w:rPr>
              <w:t xml:space="preserve">  危险废物环境影响分析</w:t>
            </w:r>
          </w:p>
          <w:tbl>
            <w:tblPr>
              <w:tblStyle w:val="29"/>
              <w:tblW w:w="85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6"/>
              <w:gridCol w:w="6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环境影响类别</w:t>
                  </w:r>
                </w:p>
              </w:tc>
              <w:tc>
                <w:tcPr>
                  <w:tcW w:w="7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b/>
                      <w:bCs/>
                      <w:color w:val="auto"/>
                      <w:sz w:val="21"/>
                      <w:szCs w:val="21"/>
                    </w:rPr>
                    <w:t>影响分析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贮存场所环境影响</w:t>
                  </w:r>
                </w:p>
              </w:tc>
              <w:tc>
                <w:tcPr>
                  <w:tcW w:w="7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color w:val="auto"/>
                      <w:sz w:val="21"/>
                      <w:szCs w:val="21"/>
                    </w:rPr>
                    <w:t>危险废物暂存场所（危废间）设置于</w:t>
                  </w:r>
                  <w:r>
                    <w:rPr>
                      <w:rFonts w:hint="eastAsia"/>
                      <w:color w:val="auto"/>
                      <w:sz w:val="21"/>
                      <w:szCs w:val="21"/>
                      <w:lang w:val="en-US" w:eastAsia="zh-CN"/>
                    </w:rPr>
                    <w:t>5楼南侧</w:t>
                  </w:r>
                  <w:r>
                    <w:rPr>
                      <w:color w:val="auto"/>
                      <w:sz w:val="21"/>
                      <w:szCs w:val="21"/>
                    </w:rPr>
                    <w:t>，危废间需采取防渗措施和渗漏收集措施，满足“四防”（防风、防雨、防晒、防渗漏）要求，并设置警示标示。危险废物贮存场所不会造成不利环境影响</w:t>
                  </w:r>
                  <w:r>
                    <w:rPr>
                      <w:rFonts w:hint="eastAsia"/>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运输过程的环境影响</w:t>
                  </w:r>
                </w:p>
              </w:tc>
              <w:tc>
                <w:tcPr>
                  <w:tcW w:w="7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color w:val="auto"/>
                      <w:sz w:val="21"/>
                      <w:szCs w:val="21"/>
                    </w:rPr>
                    <w:t>危险废物暂存场所（危废间）设置于</w:t>
                  </w:r>
                  <w:r>
                    <w:rPr>
                      <w:rFonts w:hint="eastAsia"/>
                      <w:color w:val="auto"/>
                      <w:sz w:val="21"/>
                      <w:szCs w:val="21"/>
                      <w:lang w:val="en-US" w:eastAsia="zh-CN"/>
                    </w:rPr>
                    <w:t>5楼南侧</w:t>
                  </w:r>
                  <w:r>
                    <w:rPr>
                      <w:color w:val="auto"/>
                      <w:sz w:val="21"/>
                      <w:szCs w:val="21"/>
                    </w:rPr>
                    <w:t>，贮存场所地面均需采取硬化和防腐防渗措施，降低对周边环境及地下水环境产生不利影响</w:t>
                  </w:r>
                  <w:r>
                    <w:rPr>
                      <w:rFonts w:hint="eastAsia"/>
                      <w:color w:val="auto"/>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1" w:hRule="atLeast"/>
                <w:jc w:val="center"/>
              </w:trPr>
              <w:tc>
                <w:tcPr>
                  <w:tcW w:w="18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rPr>
                  </w:pPr>
                  <w:r>
                    <w:rPr>
                      <w:color w:val="auto"/>
                      <w:sz w:val="21"/>
                      <w:szCs w:val="21"/>
                    </w:rPr>
                    <w:t>委托利用或者处置的环境影响</w:t>
                  </w:r>
                </w:p>
              </w:tc>
              <w:tc>
                <w:tcPr>
                  <w:tcW w:w="730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 w:val="21"/>
                      <w:szCs w:val="21"/>
                      <w:lang w:eastAsia="zh-CN"/>
                    </w:rPr>
                  </w:pPr>
                  <w:r>
                    <w:rPr>
                      <w:color w:val="auto"/>
                      <w:sz w:val="21"/>
                      <w:szCs w:val="21"/>
                    </w:rPr>
                    <w:t>本项目危险废物需委托有资质的单位进行处置。本项目产生的危险废物类别均需要在有资质的单位的经营范围内，不会产生显著的环境影响</w:t>
                  </w:r>
                  <w:r>
                    <w:rPr>
                      <w:rFonts w:hint="eastAsia"/>
                      <w:color w:val="auto"/>
                      <w:sz w:val="21"/>
                      <w:szCs w:val="21"/>
                      <w:lang w:eastAsia="zh-CN"/>
                    </w:rPr>
                    <w:t>。</w:t>
                  </w:r>
                </w:p>
              </w:tc>
            </w:tr>
          </w:tbl>
          <w:p>
            <w:pPr>
              <w:pStyle w:val="8"/>
              <w:bidi w:val="0"/>
              <w:rPr>
                <w:color w:val="auto"/>
              </w:rPr>
            </w:pPr>
            <w:r>
              <w:rPr>
                <w:color w:val="auto"/>
              </w:rPr>
              <w:t>采取以上措施后，危险废物处理符合《危险废物贮存污染控制标准》（GB18597-2001）、《危险废物收集</w:t>
            </w:r>
            <w:r>
              <w:rPr>
                <w:rFonts w:hint="eastAsia"/>
                <w:color w:val="auto"/>
                <w:lang w:val="en-US" w:eastAsia="zh-CN"/>
              </w:rPr>
              <w:t xml:space="preserve"> </w:t>
            </w:r>
            <w:r>
              <w:rPr>
                <w:color w:val="auto"/>
              </w:rPr>
              <w:t>贮存</w:t>
            </w:r>
            <w:r>
              <w:rPr>
                <w:rFonts w:hint="eastAsia"/>
                <w:color w:val="auto"/>
                <w:lang w:val="en-US" w:eastAsia="zh-CN"/>
              </w:rPr>
              <w:t xml:space="preserve"> </w:t>
            </w:r>
            <w:r>
              <w:rPr>
                <w:color w:val="auto"/>
              </w:rPr>
              <w:t>运输技术规范》（HJ2025-2012）中有关要求，对环境影响很小。</w:t>
            </w:r>
          </w:p>
          <w:p>
            <w:pPr>
              <w:keepNext w:val="0"/>
              <w:keepLines w:val="0"/>
              <w:pageBreakBefore w:val="0"/>
              <w:widowControl w:val="0"/>
              <w:kinsoku/>
              <w:wordWrap/>
              <w:overflowPunct/>
              <w:topLinePunct w:val="0"/>
              <w:bidi w:val="0"/>
              <w:adjustRightInd w:val="0"/>
              <w:snapToGrid/>
              <w:spacing w:line="360" w:lineRule="auto"/>
              <w:ind w:firstLine="480" w:firstLineChars="200"/>
              <w:textAlignment w:val="auto"/>
              <w:rPr>
                <w:color w:val="auto"/>
              </w:rPr>
            </w:pPr>
            <w:r>
              <w:rPr>
                <w:color w:val="auto"/>
              </w:rPr>
              <w:t>综上，本项目运营期固体废物通过以上措施处理后，</w:t>
            </w:r>
            <w:r>
              <w:rPr>
                <w:rFonts w:hint="eastAsia"/>
                <w:color w:val="auto"/>
                <w:lang w:eastAsia="zh-CN"/>
              </w:rPr>
              <w:t>处理可行、贮存合理</w:t>
            </w:r>
            <w:r>
              <w:rPr>
                <w:color w:val="auto"/>
              </w:rPr>
              <w:t>，不会造成二次污染，环保措施可行。</w:t>
            </w:r>
          </w:p>
          <w:p>
            <w:pPr>
              <w:pStyle w:val="4"/>
              <w:bidi w:val="0"/>
              <w:rPr>
                <w:rFonts w:hint="default"/>
                <w:color w:val="auto"/>
              </w:rPr>
            </w:pPr>
            <w:r>
              <w:rPr>
                <w:rFonts w:hint="eastAsia"/>
                <w:color w:val="auto"/>
                <w:lang w:val="en-US" w:eastAsia="zh-CN"/>
              </w:rPr>
              <w:t>4.6</w:t>
            </w:r>
            <w:r>
              <w:rPr>
                <w:rFonts w:hint="default"/>
                <w:color w:val="auto"/>
              </w:rPr>
              <w:t>环境风险影响评价</w:t>
            </w:r>
          </w:p>
          <w:p>
            <w:pPr>
              <w:pStyle w:val="4"/>
              <w:bidi w:val="0"/>
              <w:rPr>
                <w:rFonts w:hint="default"/>
                <w:color w:val="auto"/>
              </w:rPr>
            </w:pPr>
            <w:r>
              <w:rPr>
                <w:rFonts w:hint="eastAsia"/>
                <w:color w:val="auto"/>
                <w:lang w:val="en-US" w:eastAsia="zh-CN"/>
              </w:rPr>
              <w:t>4.6.1</w:t>
            </w:r>
            <w:r>
              <w:rPr>
                <w:rFonts w:hint="default"/>
                <w:color w:val="auto"/>
              </w:rPr>
              <w:t>风险调查</w:t>
            </w:r>
          </w:p>
          <w:p>
            <w:pPr>
              <w:ind w:firstLine="480" w:firstLineChars="200"/>
              <w:rPr>
                <w:color w:val="auto"/>
              </w:rPr>
            </w:pPr>
            <w:r>
              <w:rPr>
                <w:rFonts w:hint="eastAsia"/>
                <w:color w:val="auto"/>
                <w:lang w:eastAsia="zh-CN"/>
              </w:rPr>
              <w:t>危险</w:t>
            </w:r>
            <w:r>
              <w:rPr>
                <w:rFonts w:hint="eastAsia"/>
                <w:color w:val="auto"/>
              </w:rPr>
              <w:t>物质的识别范围包括主要原材料及辅助材料、燃料、中间产品、最终产品以及生产过程排放的“三废”污染物等。</w:t>
            </w:r>
            <w:r>
              <w:rPr>
                <w:color w:val="auto"/>
              </w:rPr>
              <w:t>本项目涉及</w:t>
            </w:r>
            <w:r>
              <w:rPr>
                <w:rFonts w:hint="eastAsia"/>
                <w:color w:val="auto"/>
                <w:lang w:eastAsia="zh-CN"/>
              </w:rPr>
              <w:t>有机试剂、无机试剂，暂存于病理实验室，实验废液暂存于危废暂存间</w:t>
            </w:r>
            <w:r>
              <w:rPr>
                <w:color w:val="auto"/>
              </w:rPr>
              <w:t>。计算本项目涉及的危险物质在厂界内的最大存储量与其对应的临界量的比值Q见下表。</w:t>
            </w:r>
          </w:p>
          <w:p>
            <w:pPr>
              <w:jc w:val="center"/>
              <w:rPr>
                <w:b/>
                <w:color w:val="auto"/>
                <w:sz w:val="21"/>
                <w:szCs w:val="21"/>
              </w:rPr>
            </w:pPr>
            <w:r>
              <w:rPr>
                <w:b/>
                <w:color w:val="auto"/>
                <w:sz w:val="21"/>
                <w:szCs w:val="21"/>
              </w:rPr>
              <w:t>表</w:t>
            </w:r>
            <w:r>
              <w:rPr>
                <w:rFonts w:hint="eastAsia"/>
                <w:b/>
                <w:color w:val="auto"/>
                <w:sz w:val="21"/>
                <w:szCs w:val="21"/>
              </w:rPr>
              <w:t>4-2</w:t>
            </w:r>
            <w:r>
              <w:rPr>
                <w:rFonts w:hint="eastAsia"/>
                <w:b/>
                <w:color w:val="auto"/>
                <w:sz w:val="21"/>
                <w:szCs w:val="21"/>
                <w:lang w:val="en-US" w:eastAsia="zh-CN"/>
              </w:rPr>
              <w:t>9</w:t>
            </w:r>
            <w:r>
              <w:rPr>
                <w:b/>
                <w:color w:val="auto"/>
                <w:sz w:val="21"/>
                <w:szCs w:val="21"/>
              </w:rPr>
              <w:t xml:space="preserve">  项目</w:t>
            </w:r>
            <w:r>
              <w:rPr>
                <w:rFonts w:hint="eastAsia"/>
                <w:b/>
                <w:color w:val="auto"/>
                <w:sz w:val="21"/>
                <w:szCs w:val="21"/>
                <w:lang w:eastAsia="zh-CN"/>
              </w:rPr>
              <w:t>危险物质及</w:t>
            </w:r>
            <w:r>
              <w:rPr>
                <w:b/>
                <w:color w:val="auto"/>
                <w:sz w:val="21"/>
                <w:szCs w:val="21"/>
              </w:rPr>
              <w:t>Q值确定表</w:t>
            </w:r>
          </w:p>
          <w:tbl>
            <w:tblPr>
              <w:tblStyle w:val="29"/>
              <w:tblW w:w="841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166"/>
              <w:gridCol w:w="1167"/>
              <w:gridCol w:w="1995"/>
              <w:gridCol w:w="1316"/>
              <w:gridCol w:w="19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74" w:type="dxa"/>
                  <w:tcBorders>
                    <w:tl2br w:val="nil"/>
                    <w:tr2bl w:val="nil"/>
                  </w:tcBorders>
                  <w:shd w:val="clear" w:color="auto" w:fill="auto"/>
                  <w:vAlign w:val="center"/>
                </w:tcPr>
                <w:p>
                  <w:pPr>
                    <w:spacing w:line="240" w:lineRule="auto"/>
                    <w:jc w:val="center"/>
                    <w:rPr>
                      <w:b/>
                      <w:color w:val="auto"/>
                      <w:sz w:val="21"/>
                      <w:szCs w:val="16"/>
                    </w:rPr>
                  </w:pPr>
                  <w:r>
                    <w:rPr>
                      <w:b/>
                      <w:color w:val="auto"/>
                      <w:sz w:val="21"/>
                      <w:szCs w:val="16"/>
                    </w:rPr>
                    <w:t>序号</w:t>
                  </w:r>
                </w:p>
              </w:tc>
              <w:tc>
                <w:tcPr>
                  <w:tcW w:w="1166" w:type="dxa"/>
                  <w:tcBorders>
                    <w:tl2br w:val="nil"/>
                    <w:tr2bl w:val="nil"/>
                  </w:tcBorders>
                  <w:shd w:val="clear" w:color="auto" w:fill="auto"/>
                  <w:vAlign w:val="center"/>
                </w:tcPr>
                <w:p>
                  <w:pPr>
                    <w:spacing w:line="240" w:lineRule="auto"/>
                    <w:jc w:val="center"/>
                    <w:rPr>
                      <w:b/>
                      <w:color w:val="auto"/>
                      <w:sz w:val="21"/>
                      <w:szCs w:val="16"/>
                    </w:rPr>
                  </w:pPr>
                  <w:r>
                    <w:rPr>
                      <w:b/>
                      <w:color w:val="auto"/>
                      <w:sz w:val="21"/>
                      <w:szCs w:val="16"/>
                    </w:rPr>
                    <w:t>危险物质名称</w:t>
                  </w:r>
                </w:p>
              </w:tc>
              <w:tc>
                <w:tcPr>
                  <w:tcW w:w="1167" w:type="dxa"/>
                  <w:tcBorders>
                    <w:tl2br w:val="nil"/>
                    <w:tr2bl w:val="nil"/>
                  </w:tcBorders>
                  <w:shd w:val="clear" w:color="auto" w:fill="auto"/>
                  <w:vAlign w:val="center"/>
                </w:tcPr>
                <w:p>
                  <w:pPr>
                    <w:spacing w:line="240" w:lineRule="auto"/>
                    <w:jc w:val="center"/>
                    <w:rPr>
                      <w:rFonts w:hint="default" w:eastAsia="宋体"/>
                      <w:b/>
                      <w:color w:val="auto"/>
                      <w:sz w:val="21"/>
                      <w:szCs w:val="16"/>
                      <w:lang w:val="en-US" w:eastAsia="zh-CN"/>
                    </w:rPr>
                  </w:pPr>
                  <w:r>
                    <w:rPr>
                      <w:rFonts w:hint="eastAsia"/>
                      <w:b/>
                      <w:color w:val="auto"/>
                      <w:sz w:val="21"/>
                      <w:szCs w:val="16"/>
                      <w:lang w:val="en-US" w:eastAsia="zh-CN"/>
                    </w:rPr>
                    <w:t>CAS号</w:t>
                  </w:r>
                </w:p>
              </w:tc>
              <w:tc>
                <w:tcPr>
                  <w:tcW w:w="1995" w:type="dxa"/>
                  <w:tcBorders>
                    <w:tl2br w:val="nil"/>
                    <w:tr2bl w:val="nil"/>
                  </w:tcBorders>
                  <w:shd w:val="clear" w:color="auto" w:fill="auto"/>
                  <w:vAlign w:val="center"/>
                </w:tcPr>
                <w:p>
                  <w:pPr>
                    <w:spacing w:line="240" w:lineRule="auto"/>
                    <w:jc w:val="center"/>
                    <w:rPr>
                      <w:b/>
                      <w:color w:val="auto"/>
                      <w:sz w:val="21"/>
                      <w:szCs w:val="16"/>
                    </w:rPr>
                  </w:pPr>
                  <w:r>
                    <w:rPr>
                      <w:b/>
                      <w:color w:val="auto"/>
                      <w:sz w:val="21"/>
                      <w:szCs w:val="16"/>
                    </w:rPr>
                    <w:t>最大存在总量q</w:t>
                  </w:r>
                  <w:r>
                    <w:rPr>
                      <w:b/>
                      <w:color w:val="auto"/>
                      <w:sz w:val="21"/>
                      <w:szCs w:val="16"/>
                      <w:vertAlign w:val="subscript"/>
                    </w:rPr>
                    <w:t>n</w:t>
                  </w:r>
                  <w:r>
                    <w:rPr>
                      <w:b/>
                      <w:color w:val="auto"/>
                      <w:sz w:val="21"/>
                      <w:szCs w:val="16"/>
                    </w:rPr>
                    <w:t>/t</w:t>
                  </w:r>
                </w:p>
              </w:tc>
              <w:tc>
                <w:tcPr>
                  <w:tcW w:w="1316" w:type="dxa"/>
                  <w:tcBorders>
                    <w:tl2br w:val="nil"/>
                    <w:tr2bl w:val="nil"/>
                  </w:tcBorders>
                  <w:shd w:val="clear" w:color="auto" w:fill="auto"/>
                  <w:vAlign w:val="center"/>
                </w:tcPr>
                <w:p>
                  <w:pPr>
                    <w:spacing w:line="240" w:lineRule="auto"/>
                    <w:jc w:val="center"/>
                    <w:rPr>
                      <w:b/>
                      <w:color w:val="auto"/>
                      <w:sz w:val="21"/>
                      <w:szCs w:val="16"/>
                    </w:rPr>
                  </w:pPr>
                  <w:r>
                    <w:rPr>
                      <w:b/>
                      <w:color w:val="auto"/>
                      <w:sz w:val="21"/>
                      <w:szCs w:val="16"/>
                    </w:rPr>
                    <w:t>临界值Q</w:t>
                  </w:r>
                  <w:r>
                    <w:rPr>
                      <w:b/>
                      <w:color w:val="auto"/>
                      <w:sz w:val="21"/>
                      <w:szCs w:val="16"/>
                      <w:vertAlign w:val="subscript"/>
                    </w:rPr>
                    <w:t>n</w:t>
                  </w:r>
                  <w:r>
                    <w:rPr>
                      <w:b/>
                      <w:color w:val="auto"/>
                      <w:sz w:val="21"/>
                      <w:szCs w:val="16"/>
                    </w:rPr>
                    <w:t>/t</w:t>
                  </w:r>
                </w:p>
              </w:tc>
              <w:tc>
                <w:tcPr>
                  <w:tcW w:w="1998" w:type="dxa"/>
                  <w:tcBorders>
                    <w:tl2br w:val="nil"/>
                    <w:tr2bl w:val="nil"/>
                  </w:tcBorders>
                  <w:shd w:val="clear" w:color="auto" w:fill="auto"/>
                  <w:vAlign w:val="center"/>
                </w:tcPr>
                <w:p>
                  <w:pPr>
                    <w:spacing w:line="240" w:lineRule="auto"/>
                    <w:jc w:val="center"/>
                    <w:rPr>
                      <w:b/>
                      <w:color w:val="auto"/>
                      <w:sz w:val="21"/>
                      <w:szCs w:val="16"/>
                    </w:rPr>
                  </w:pPr>
                  <w:r>
                    <w:rPr>
                      <w:b/>
                      <w:color w:val="auto"/>
                      <w:sz w:val="21"/>
                      <w:szCs w:val="16"/>
                    </w:rPr>
                    <w:t>该种危险物质Q值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bCs/>
                      <w:color w:val="auto"/>
                      <w:sz w:val="21"/>
                      <w:szCs w:val="16"/>
                    </w:rPr>
                  </w:pPr>
                  <w:r>
                    <w:rPr>
                      <w:bCs/>
                      <w:color w:val="auto"/>
                      <w:sz w:val="21"/>
                      <w:szCs w:val="16"/>
                    </w:rPr>
                    <w:t>1</w:t>
                  </w:r>
                </w:p>
              </w:tc>
              <w:tc>
                <w:tcPr>
                  <w:tcW w:w="1166" w:type="dxa"/>
                  <w:tcBorders>
                    <w:tl2br w:val="nil"/>
                    <w:tr2bl w:val="nil"/>
                  </w:tcBorders>
                  <w:shd w:val="clear" w:color="auto" w:fill="auto"/>
                  <w:vAlign w:val="center"/>
                </w:tcPr>
                <w:p>
                  <w:pPr>
                    <w:spacing w:line="240" w:lineRule="auto"/>
                    <w:jc w:val="center"/>
                    <w:rPr>
                      <w:rFonts w:hint="eastAsia" w:eastAsia="宋体"/>
                      <w:bCs/>
                      <w:color w:val="auto"/>
                      <w:sz w:val="21"/>
                      <w:szCs w:val="16"/>
                      <w:lang w:eastAsia="zh-CN"/>
                    </w:rPr>
                  </w:pPr>
                  <w:r>
                    <w:rPr>
                      <w:rFonts w:hint="eastAsia"/>
                      <w:bCs/>
                      <w:color w:val="auto"/>
                      <w:sz w:val="21"/>
                      <w:szCs w:val="16"/>
                      <w:lang w:eastAsia="zh-CN"/>
                    </w:rPr>
                    <w:t>次氯酸钠</w:t>
                  </w:r>
                </w:p>
              </w:tc>
              <w:tc>
                <w:tcPr>
                  <w:tcW w:w="1167" w:type="dxa"/>
                  <w:tcBorders>
                    <w:tl2br w:val="nil"/>
                    <w:tr2bl w:val="nil"/>
                  </w:tcBorders>
                  <w:shd w:val="clear" w:color="auto" w:fill="auto"/>
                  <w:vAlign w:val="center"/>
                </w:tcPr>
                <w:p>
                  <w:pPr>
                    <w:spacing w:line="240" w:lineRule="auto"/>
                    <w:jc w:val="center"/>
                    <w:rPr>
                      <w:rFonts w:hint="default" w:eastAsia="宋体"/>
                      <w:bCs/>
                      <w:color w:val="auto"/>
                      <w:sz w:val="21"/>
                      <w:szCs w:val="16"/>
                      <w:lang w:val="en-US" w:eastAsia="zh-CN"/>
                    </w:rPr>
                  </w:pPr>
                  <w:r>
                    <w:rPr>
                      <w:rFonts w:hint="eastAsia"/>
                      <w:bCs/>
                      <w:color w:val="auto"/>
                      <w:sz w:val="21"/>
                      <w:szCs w:val="16"/>
                      <w:lang w:val="en-US" w:eastAsia="zh-CN"/>
                    </w:rPr>
                    <w:t>7681-52-9</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0.003</w:t>
                  </w:r>
                </w:p>
              </w:tc>
              <w:tc>
                <w:tcPr>
                  <w:tcW w:w="1316"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5</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3</w:t>
                  </w:r>
                </w:p>
              </w:tc>
              <w:tc>
                <w:tcPr>
                  <w:tcW w:w="1166"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kern w:val="2"/>
                      <w:sz w:val="21"/>
                      <w:szCs w:val="16"/>
                      <w:lang w:val="en-US" w:eastAsia="zh-CN" w:bidi="ar-SA"/>
                    </w:rPr>
                  </w:pPr>
                  <w:r>
                    <w:rPr>
                      <w:rFonts w:hint="eastAsia"/>
                      <w:bCs/>
                      <w:color w:val="auto"/>
                      <w:sz w:val="21"/>
                      <w:szCs w:val="16"/>
                      <w:lang w:val="en-US" w:eastAsia="zh-CN"/>
                    </w:rPr>
                    <w:t>33%</w:t>
                  </w:r>
                  <w:r>
                    <w:rPr>
                      <w:rFonts w:hint="eastAsia"/>
                      <w:bCs/>
                      <w:color w:val="auto"/>
                      <w:sz w:val="21"/>
                      <w:szCs w:val="16"/>
                      <w:lang w:eastAsia="zh-CN"/>
                    </w:rPr>
                    <w:t>盐酸</w:t>
                  </w:r>
                </w:p>
              </w:tc>
              <w:tc>
                <w:tcPr>
                  <w:tcW w:w="11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bCs/>
                      <w:color w:val="auto"/>
                      <w:kern w:val="2"/>
                      <w:sz w:val="21"/>
                      <w:szCs w:val="16"/>
                      <w:lang w:val="en-US" w:eastAsia="zh-CN" w:bidi="ar-SA"/>
                    </w:rPr>
                  </w:pPr>
                  <w:r>
                    <w:rPr>
                      <w:rFonts w:hint="eastAsia"/>
                      <w:bCs/>
                      <w:color w:val="auto"/>
                      <w:sz w:val="21"/>
                      <w:szCs w:val="16"/>
                      <w:lang w:val="en-US" w:eastAsia="zh-CN"/>
                    </w:rPr>
                    <w:t>7647-01-0</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0.00048</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7.5</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4</w:t>
                  </w:r>
                </w:p>
              </w:tc>
              <w:tc>
                <w:tcPr>
                  <w:tcW w:w="1166"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kern w:val="2"/>
                      <w:sz w:val="21"/>
                      <w:szCs w:val="16"/>
                      <w:lang w:val="en-US" w:eastAsia="zh-CN" w:bidi="ar-SA"/>
                    </w:rPr>
                  </w:pPr>
                  <w:r>
                    <w:rPr>
                      <w:rFonts w:hint="eastAsia"/>
                      <w:bCs/>
                      <w:color w:val="auto"/>
                      <w:sz w:val="21"/>
                      <w:szCs w:val="16"/>
                      <w:lang w:eastAsia="zh-CN"/>
                    </w:rPr>
                    <w:t>乙醇</w:t>
                  </w:r>
                </w:p>
              </w:tc>
              <w:tc>
                <w:tcPr>
                  <w:tcW w:w="11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bCs/>
                      <w:color w:val="auto"/>
                      <w:kern w:val="2"/>
                      <w:sz w:val="21"/>
                      <w:szCs w:val="16"/>
                      <w:lang w:val="en-US" w:eastAsia="zh-CN" w:bidi="ar-SA"/>
                    </w:rPr>
                  </w:pPr>
                  <w:r>
                    <w:rPr>
                      <w:rFonts w:hint="eastAsia"/>
                      <w:bCs/>
                      <w:color w:val="auto"/>
                      <w:sz w:val="21"/>
                      <w:szCs w:val="16"/>
                      <w:lang w:val="en-US" w:eastAsia="zh-CN"/>
                    </w:rPr>
                    <w:t>64-17-5</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0.2367</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500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0.0004734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5</w:t>
                  </w:r>
                </w:p>
              </w:tc>
              <w:tc>
                <w:tcPr>
                  <w:tcW w:w="1166"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kern w:val="2"/>
                      <w:sz w:val="21"/>
                      <w:szCs w:val="16"/>
                      <w:lang w:val="en-US" w:eastAsia="zh-CN" w:bidi="ar-SA"/>
                    </w:rPr>
                  </w:pPr>
                  <w:r>
                    <w:rPr>
                      <w:rFonts w:hint="eastAsia"/>
                      <w:bCs/>
                      <w:color w:val="auto"/>
                      <w:sz w:val="21"/>
                      <w:szCs w:val="16"/>
                      <w:lang w:eastAsia="zh-CN"/>
                    </w:rPr>
                    <w:t>异丙醇</w:t>
                  </w:r>
                </w:p>
              </w:tc>
              <w:tc>
                <w:tcPr>
                  <w:tcW w:w="1167" w:type="dxa"/>
                  <w:tcBorders>
                    <w:tl2br w:val="nil"/>
                    <w:tr2bl w:val="nil"/>
                  </w:tcBorders>
                  <w:shd w:val="clear" w:color="auto" w:fill="auto"/>
                  <w:vAlign w:val="center"/>
                </w:tcPr>
                <w:p>
                  <w:pPr>
                    <w:spacing w:line="240" w:lineRule="auto"/>
                    <w:ind w:firstLine="0" w:firstLineChars="0"/>
                    <w:jc w:val="center"/>
                    <w:rPr>
                      <w:rFonts w:hint="default" w:ascii="Times New Roman" w:hAnsi="Times New Roman" w:eastAsia="宋体" w:cs="Times New Roman"/>
                      <w:bCs/>
                      <w:color w:val="auto"/>
                      <w:kern w:val="2"/>
                      <w:sz w:val="21"/>
                      <w:szCs w:val="16"/>
                      <w:lang w:val="en-US" w:eastAsia="zh-CN" w:bidi="ar-SA"/>
                    </w:rPr>
                  </w:pPr>
                  <w:r>
                    <w:rPr>
                      <w:rFonts w:hint="eastAsia"/>
                      <w:bCs/>
                      <w:color w:val="auto"/>
                      <w:sz w:val="21"/>
                      <w:szCs w:val="16"/>
                      <w:lang w:val="en-US" w:eastAsia="zh-CN"/>
                    </w:rPr>
                    <w:t>67-63-0</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0.000215</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10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6</w:t>
                  </w:r>
                </w:p>
              </w:tc>
              <w:tc>
                <w:tcPr>
                  <w:tcW w:w="1166"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kern w:val="2"/>
                      <w:sz w:val="21"/>
                      <w:szCs w:val="16"/>
                      <w:lang w:val="en-US" w:eastAsia="zh-CN" w:bidi="ar-SA"/>
                    </w:rPr>
                  </w:pPr>
                  <w:r>
                    <w:rPr>
                      <w:rFonts w:hint="eastAsia"/>
                      <w:bCs/>
                      <w:color w:val="auto"/>
                      <w:sz w:val="21"/>
                      <w:szCs w:val="16"/>
                      <w:lang w:eastAsia="zh-CN"/>
                    </w:rPr>
                    <w:t>甲醇</w:t>
                  </w:r>
                </w:p>
              </w:tc>
              <w:tc>
                <w:tcPr>
                  <w:tcW w:w="1167" w:type="dxa"/>
                  <w:tcBorders>
                    <w:tl2br w:val="nil"/>
                    <w:tr2bl w:val="nil"/>
                  </w:tcBorders>
                  <w:shd w:val="clear" w:color="auto" w:fill="auto"/>
                  <w:vAlign w:val="center"/>
                </w:tcPr>
                <w:p>
                  <w:pPr>
                    <w:spacing w:line="240" w:lineRule="auto"/>
                    <w:ind w:firstLine="0" w:firstLineChars="0"/>
                    <w:jc w:val="center"/>
                    <w:rPr>
                      <w:rFonts w:hint="eastAsia" w:ascii="Times New Roman" w:hAnsi="Times New Roman" w:eastAsia="宋体" w:cs="Times New Roman"/>
                      <w:bCs/>
                      <w:color w:val="auto"/>
                      <w:kern w:val="2"/>
                      <w:sz w:val="21"/>
                      <w:szCs w:val="16"/>
                      <w:lang w:val="en-US" w:eastAsia="zh-CN" w:bidi="ar-SA"/>
                    </w:rPr>
                  </w:pPr>
                  <w:r>
                    <w:rPr>
                      <w:rFonts w:hint="eastAsia"/>
                      <w:bCs/>
                      <w:color w:val="auto"/>
                      <w:sz w:val="21"/>
                      <w:szCs w:val="16"/>
                      <w:lang w:val="en-US" w:eastAsia="zh-CN"/>
                    </w:rPr>
                    <w:t>67-56-1</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0.0589</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10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0.00589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7</w:t>
                  </w:r>
                </w:p>
              </w:tc>
              <w:tc>
                <w:tcPr>
                  <w:tcW w:w="11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bCs/>
                      <w:color w:val="auto"/>
                      <w:kern w:val="2"/>
                      <w:sz w:val="21"/>
                      <w:szCs w:val="16"/>
                      <w:lang w:val="en-US" w:eastAsia="zh-CN" w:bidi="ar-SA"/>
                    </w:rPr>
                  </w:pPr>
                  <w:r>
                    <w:rPr>
                      <w:rFonts w:hint="eastAsia" w:cs="Times New Roman" w:eastAsiaTheme="minorEastAsia"/>
                      <w:bCs/>
                      <w:color w:val="auto"/>
                      <w:sz w:val="21"/>
                      <w:szCs w:val="21"/>
                      <w:lang w:val="en-US" w:eastAsia="zh-CN"/>
                    </w:rPr>
                    <w:t>1%</w:t>
                  </w:r>
                  <w:r>
                    <w:rPr>
                      <w:rFonts w:hint="eastAsia"/>
                      <w:color w:val="auto"/>
                      <w:sz w:val="21"/>
                      <w:szCs w:val="21"/>
                      <w:lang w:val="en-US" w:eastAsia="zh-CN"/>
                    </w:rPr>
                    <w:t>氨水</w:t>
                  </w:r>
                </w:p>
              </w:tc>
              <w:tc>
                <w:tcPr>
                  <w:tcW w:w="116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bCs/>
                      <w:color w:val="auto"/>
                      <w:kern w:val="2"/>
                      <w:sz w:val="21"/>
                      <w:szCs w:val="16"/>
                      <w:lang w:val="en-US" w:eastAsia="zh-CN" w:bidi="ar-SA"/>
                    </w:rPr>
                  </w:pPr>
                  <w:r>
                    <w:rPr>
                      <w:rFonts w:hint="eastAsia"/>
                      <w:color w:val="auto"/>
                      <w:sz w:val="21"/>
                      <w:szCs w:val="21"/>
                      <w:lang w:val="en-US" w:eastAsia="zh-CN"/>
                    </w:rPr>
                    <w:t>1336-21-6</w:t>
                  </w:r>
                </w:p>
              </w:tc>
              <w:tc>
                <w:tcPr>
                  <w:tcW w:w="1995"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eastAsia"/>
                      <w:bCs/>
                      <w:color w:val="auto"/>
                      <w:sz w:val="21"/>
                      <w:szCs w:val="16"/>
                      <w:lang w:val="en-US" w:eastAsia="zh-CN"/>
                    </w:rPr>
                    <w:t>0.0000024</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10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8</w:t>
                  </w:r>
                </w:p>
              </w:tc>
              <w:tc>
                <w:tcPr>
                  <w:tcW w:w="11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二甲苯</w:t>
                  </w:r>
                </w:p>
              </w:tc>
              <w:tc>
                <w:tcPr>
                  <w:tcW w:w="116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1330-20-7</w:t>
                  </w:r>
                </w:p>
              </w:tc>
              <w:tc>
                <w:tcPr>
                  <w:tcW w:w="1995"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0.005325</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default"/>
                      <w:bCs/>
                      <w:color w:val="auto"/>
                      <w:sz w:val="21"/>
                      <w:szCs w:val="16"/>
                      <w:lang w:val="en-US" w:eastAsia="zh-CN"/>
                    </w:rPr>
                    <w:t>10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0.0005325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74" w:type="dxa"/>
                  <w:tcBorders>
                    <w:tl2br w:val="nil"/>
                    <w:tr2bl w:val="nil"/>
                  </w:tcBorders>
                  <w:shd w:val="clear" w:color="auto" w:fill="auto"/>
                  <w:vAlign w:val="center"/>
                </w:tcPr>
                <w:p>
                  <w:pPr>
                    <w:spacing w:line="240" w:lineRule="auto"/>
                    <w:jc w:val="center"/>
                    <w:rPr>
                      <w:rFonts w:hint="eastAsia" w:eastAsia="宋体"/>
                      <w:bCs/>
                      <w:color w:val="auto"/>
                      <w:sz w:val="21"/>
                      <w:szCs w:val="16"/>
                      <w:lang w:val="en-US" w:eastAsia="zh-CN"/>
                    </w:rPr>
                  </w:pPr>
                  <w:r>
                    <w:rPr>
                      <w:rFonts w:hint="eastAsia"/>
                      <w:bCs/>
                      <w:color w:val="auto"/>
                      <w:sz w:val="21"/>
                      <w:szCs w:val="16"/>
                      <w:lang w:val="en-US" w:eastAsia="zh-CN"/>
                    </w:rPr>
                    <w:t>9</w:t>
                  </w:r>
                </w:p>
              </w:tc>
              <w:tc>
                <w:tcPr>
                  <w:tcW w:w="1166"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bCs/>
                      <w:color w:val="auto"/>
                      <w:sz w:val="21"/>
                      <w:szCs w:val="16"/>
                      <w:lang w:eastAsia="zh-CN"/>
                    </w:rPr>
                  </w:pPr>
                  <w:r>
                    <w:rPr>
                      <w:rFonts w:hint="eastAsia"/>
                      <w:bCs/>
                      <w:color w:val="auto"/>
                      <w:sz w:val="21"/>
                      <w:szCs w:val="16"/>
                      <w:lang w:eastAsia="zh-CN"/>
                    </w:rPr>
                    <w:t>实验室废液</w:t>
                  </w:r>
                </w:p>
              </w:tc>
              <w:tc>
                <w:tcPr>
                  <w:tcW w:w="1167" w:type="dxa"/>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bCs/>
                      <w:color w:val="auto"/>
                      <w:sz w:val="21"/>
                      <w:szCs w:val="16"/>
                      <w:lang w:val="en-US" w:eastAsia="zh-CN"/>
                    </w:rPr>
                  </w:pPr>
                  <w:r>
                    <w:rPr>
                      <w:rFonts w:hint="eastAsia"/>
                      <w:bCs/>
                      <w:color w:val="auto"/>
                      <w:sz w:val="21"/>
                      <w:szCs w:val="16"/>
                      <w:lang w:val="en-US" w:eastAsia="zh-CN"/>
                    </w:rPr>
                    <w:t>/</w:t>
                  </w:r>
                </w:p>
              </w:tc>
              <w:tc>
                <w:tcPr>
                  <w:tcW w:w="1995"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0.235</w:t>
                  </w:r>
                </w:p>
              </w:tc>
              <w:tc>
                <w:tcPr>
                  <w:tcW w:w="1316" w:type="dxa"/>
                  <w:tcBorders>
                    <w:tl2br w:val="nil"/>
                    <w:tr2bl w:val="nil"/>
                  </w:tcBorders>
                  <w:shd w:val="clear" w:color="auto" w:fill="auto"/>
                  <w:vAlign w:val="center"/>
                </w:tcPr>
                <w:p>
                  <w:pPr>
                    <w:spacing w:line="240" w:lineRule="auto"/>
                    <w:ind w:firstLine="0" w:firstLineChars="0"/>
                    <w:jc w:val="center"/>
                    <w:rPr>
                      <w:rFonts w:hint="default"/>
                      <w:bCs/>
                      <w:color w:val="auto"/>
                      <w:sz w:val="21"/>
                      <w:szCs w:val="16"/>
                      <w:lang w:val="en-US" w:eastAsia="zh-CN"/>
                    </w:rPr>
                  </w:pPr>
                  <w:r>
                    <w:rPr>
                      <w:rFonts w:hint="eastAsia"/>
                      <w:bCs/>
                      <w:color w:val="auto"/>
                      <w:sz w:val="21"/>
                      <w:szCs w:val="16"/>
                      <w:lang w:val="en-US" w:eastAsia="zh-CN"/>
                    </w:rPr>
                    <w:t>10</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default"/>
                      <w:bCs/>
                      <w:color w:val="auto"/>
                      <w:sz w:val="21"/>
                      <w:szCs w:val="16"/>
                      <w:lang w:val="en-US" w:eastAsia="zh-CN"/>
                    </w:rPr>
                    <w:t>0.0235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418" w:type="dxa"/>
                  <w:gridSpan w:val="5"/>
                  <w:tcBorders>
                    <w:tl2br w:val="nil"/>
                    <w:tr2bl w:val="nil"/>
                  </w:tcBorders>
                  <w:shd w:val="clear" w:color="auto" w:fill="auto"/>
                  <w:vAlign w:val="center"/>
                </w:tcPr>
                <w:p>
                  <w:pPr>
                    <w:spacing w:line="240" w:lineRule="auto"/>
                    <w:jc w:val="center"/>
                    <w:rPr>
                      <w:bCs/>
                      <w:color w:val="auto"/>
                      <w:sz w:val="21"/>
                      <w:szCs w:val="16"/>
                    </w:rPr>
                  </w:pPr>
                  <w:r>
                    <w:rPr>
                      <w:bCs/>
                      <w:color w:val="auto"/>
                      <w:sz w:val="21"/>
                      <w:szCs w:val="16"/>
                    </w:rPr>
                    <w:t>项目Q值∑</w:t>
                  </w:r>
                </w:p>
              </w:tc>
              <w:tc>
                <w:tcPr>
                  <w:tcW w:w="1998" w:type="dxa"/>
                  <w:tcBorders>
                    <w:tl2br w:val="nil"/>
                    <w:tr2bl w:val="nil"/>
                  </w:tcBorders>
                  <w:shd w:val="clear" w:color="auto" w:fill="auto"/>
                  <w:vAlign w:val="center"/>
                </w:tcPr>
                <w:p>
                  <w:pPr>
                    <w:spacing w:line="240" w:lineRule="auto"/>
                    <w:ind w:firstLine="0" w:firstLineChars="0"/>
                    <w:jc w:val="center"/>
                    <w:rPr>
                      <w:rFonts w:hint="eastAsia"/>
                      <w:bCs/>
                      <w:color w:val="auto"/>
                      <w:sz w:val="21"/>
                      <w:szCs w:val="16"/>
                      <w:lang w:val="en-US" w:eastAsia="zh-CN"/>
                    </w:rPr>
                  </w:pPr>
                  <w:r>
                    <w:rPr>
                      <w:rFonts w:hint="eastAsia"/>
                      <w:bCs/>
                      <w:color w:val="auto"/>
                      <w:sz w:val="21"/>
                      <w:szCs w:val="16"/>
                      <w:lang w:val="en-US" w:eastAsia="zh-CN"/>
                    </w:rPr>
                    <w:t>0.03108164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416" w:type="dxa"/>
                  <w:gridSpan w:val="6"/>
                  <w:tcBorders>
                    <w:tl2br w:val="nil"/>
                    <w:tr2bl w:val="nil"/>
                  </w:tcBorders>
                  <w:shd w:val="clear" w:color="auto" w:fill="auto"/>
                  <w:vAlign w:val="center"/>
                </w:tcPr>
                <w:p>
                  <w:pPr>
                    <w:spacing w:line="240" w:lineRule="auto"/>
                    <w:jc w:val="left"/>
                    <w:rPr>
                      <w:rFonts w:hint="eastAsia" w:eastAsia="宋体"/>
                      <w:bCs/>
                      <w:color w:val="auto"/>
                      <w:sz w:val="21"/>
                      <w:szCs w:val="16"/>
                      <w:lang w:eastAsia="zh-CN"/>
                    </w:rPr>
                  </w:pPr>
                  <w:r>
                    <w:rPr>
                      <w:rFonts w:hint="eastAsia"/>
                      <w:bCs/>
                      <w:color w:val="auto"/>
                      <w:sz w:val="21"/>
                      <w:szCs w:val="21"/>
                    </w:rPr>
                    <w:t>注</w:t>
                  </w:r>
                  <w:r>
                    <w:rPr>
                      <w:rFonts w:hint="eastAsia"/>
                      <w:bCs/>
                      <w:color w:val="auto"/>
                      <w:sz w:val="21"/>
                      <w:szCs w:val="21"/>
                      <w:lang w:eastAsia="zh-CN"/>
                    </w:rPr>
                    <w:t>：</w:t>
                  </w:r>
                  <w:r>
                    <w:rPr>
                      <w:rFonts w:hint="eastAsia"/>
                      <w:bCs/>
                      <w:color w:val="auto"/>
                      <w:sz w:val="21"/>
                      <w:szCs w:val="21"/>
                    </w:rPr>
                    <w:t>①乙醇的临界量来源于《企业突发环境事件风险分级方法》(HJ 941-2018)中附录A突发环境事件风险物质及临界量清单”</w:t>
                  </w:r>
                  <w:r>
                    <w:rPr>
                      <w:rFonts w:hint="eastAsia"/>
                      <w:bCs/>
                      <w:color w:val="auto"/>
                      <w:sz w:val="21"/>
                      <w:szCs w:val="21"/>
                      <w:lang w:eastAsia="zh-CN"/>
                    </w:rPr>
                    <w:t>；</w:t>
                  </w:r>
                  <w:r>
                    <w:rPr>
                      <w:rFonts w:hint="eastAsia"/>
                      <w:bCs/>
                      <w:color w:val="auto"/>
                      <w:sz w:val="21"/>
                      <w:szCs w:val="21"/>
                    </w:rPr>
                    <w:t>②实验废液为混合液体废物，考虑到实验室涉及的危险物质多为有毒物质，因此其临界量参考《建设项目环境风险评价技术导则》(HJ/T169-2018)附录B中“CODCr浓度≥10000mg/L的有机废液”。</w:t>
                  </w:r>
                  <w:r>
                    <w:rPr>
                      <w:rFonts w:hint="eastAsia"/>
                      <w:bCs/>
                      <w:color w:val="auto"/>
                      <w:sz w:val="21"/>
                      <w:szCs w:val="21"/>
                      <w:lang w:eastAsia="zh-CN"/>
                    </w:rPr>
                    <w:t>③</w:t>
                  </w:r>
                  <w:r>
                    <w:rPr>
                      <w:rFonts w:hint="eastAsia"/>
                      <w:color w:val="auto"/>
                      <w:sz w:val="21"/>
                      <w:szCs w:val="21"/>
                      <w:lang w:val="en-US" w:eastAsia="zh-CN"/>
                    </w:rPr>
                    <w:t>氨水（浓度≥20%）为风险物质，盐酸（浓度≥37%）为风险物质，故计算氨水、盐酸纯物质量为最大存在量。</w:t>
                  </w:r>
                </w:p>
              </w:tc>
            </w:tr>
          </w:tbl>
          <w:p>
            <w:pPr>
              <w:ind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由上表可知，本项目</w:t>
            </w:r>
            <w:r>
              <w:rPr>
                <w:rFonts w:hint="eastAsia" w:ascii="Times New Roman" w:hAnsi="Times New Roman" w:eastAsia="宋体" w:cs="Times New Roman"/>
                <w:color w:val="auto"/>
                <w:sz w:val="24"/>
                <w:szCs w:val="24"/>
                <w:lang w:val="en-US" w:eastAsia="zh-CN"/>
              </w:rPr>
              <w:t>Q值为</w:t>
            </w:r>
            <w:r>
              <w:rPr>
                <w:rFonts w:hint="eastAsia"/>
                <w:bCs/>
                <w:color w:val="auto"/>
                <w:sz w:val="24"/>
                <w:szCs w:val="24"/>
                <w:lang w:val="en-US" w:eastAsia="zh-CN"/>
              </w:rPr>
              <w:t>0.03108164</w:t>
            </w:r>
            <w:r>
              <w:rPr>
                <w:rFonts w:hint="eastAsia" w:ascii="Times New Roman" w:hAnsi="Times New Roman" w:eastAsia="宋体" w:cs="Times New Roman"/>
                <w:color w:val="auto"/>
                <w:sz w:val="24"/>
                <w:szCs w:val="24"/>
                <w:lang w:val="en-US" w:eastAsia="zh-CN"/>
              </w:rPr>
              <w:t>＜1。</w:t>
            </w:r>
          </w:p>
          <w:p>
            <w:pPr>
              <w:pStyle w:val="4"/>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4.7.3环境风险可能影响的途径分析</w:t>
            </w:r>
          </w:p>
          <w:p>
            <w:pPr>
              <w:ind w:firstLine="480" w:firstLineChars="200"/>
              <w:rPr>
                <w:rFonts w:hint="default" w:ascii="Times New Roman" w:hAnsi="Times New Roman" w:eastAsia="宋体" w:cs="Times New Roman"/>
                <w:color w:val="auto"/>
                <w:lang w:val="en-US" w:eastAsia="zh-CN"/>
              </w:rPr>
            </w:pPr>
            <w:r>
              <w:rPr>
                <w:rFonts w:hint="eastAsia" w:cs="Times New Roman"/>
                <w:color w:val="auto"/>
                <w:lang w:eastAsia="zh-CN"/>
              </w:rPr>
              <w:t>本项目涉及的风险单元为病理实验室、危废暂存间、实验超净台。细胞房</w:t>
            </w:r>
            <w:r>
              <w:rPr>
                <w:rFonts w:hint="eastAsia" w:cs="Times New Roman"/>
                <w:color w:val="auto"/>
                <w:lang w:val="en-US" w:eastAsia="zh-CN"/>
              </w:rPr>
              <w:t>1、手术室存有少量乙醇用于消毒。</w:t>
            </w:r>
          </w:p>
          <w:p>
            <w:pPr>
              <w:ind w:firstLine="482"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b/>
                <w:bCs/>
                <w:color w:val="auto"/>
                <w:lang w:eastAsia="zh-CN"/>
              </w:rPr>
              <w:t>室内泄漏事故包括</w:t>
            </w:r>
            <w:r>
              <w:rPr>
                <w:rFonts w:hint="eastAsia" w:ascii="Times New Roman" w:hAnsi="Times New Roman" w:eastAsia="宋体" w:cs="Times New Roman"/>
                <w:color w:val="auto"/>
                <w:lang w:eastAsia="zh-CN"/>
              </w:rPr>
              <w:t>：化学试剂在</w:t>
            </w:r>
            <w:r>
              <w:rPr>
                <w:rFonts w:hint="eastAsia" w:cs="Times New Roman"/>
                <w:color w:val="auto"/>
                <w:lang w:eastAsia="zh-CN"/>
              </w:rPr>
              <w:t>病理实验室试剂柜</w:t>
            </w:r>
            <w:r>
              <w:rPr>
                <w:rFonts w:hint="eastAsia" w:ascii="Times New Roman" w:hAnsi="Times New Roman" w:eastAsia="宋体" w:cs="Times New Roman"/>
                <w:color w:val="auto"/>
                <w:lang w:eastAsia="zh-CN"/>
              </w:rPr>
              <w:t>储存期间</w:t>
            </w:r>
            <w:r>
              <w:rPr>
                <w:rFonts w:hint="eastAsia" w:cs="Times New Roman"/>
                <w:color w:val="auto"/>
                <w:lang w:eastAsia="zh-CN"/>
              </w:rPr>
              <w:t>、实验台实验操作过程中</w:t>
            </w:r>
            <w:r>
              <w:rPr>
                <w:rFonts w:hint="eastAsia" w:ascii="Times New Roman" w:hAnsi="Times New Roman" w:eastAsia="宋体" w:cs="Times New Roman"/>
                <w:color w:val="auto"/>
                <w:lang w:eastAsia="zh-CN"/>
              </w:rPr>
              <w:t>，由于包装损坏或人为操作不当导致化学试剂发生泄漏事故；</w:t>
            </w:r>
            <w:r>
              <w:rPr>
                <w:rFonts w:hint="eastAsia" w:cs="Times New Roman"/>
                <w:color w:val="auto"/>
                <w:lang w:eastAsia="zh-CN"/>
              </w:rPr>
              <w:t>细胞房</w:t>
            </w:r>
            <w:r>
              <w:rPr>
                <w:rFonts w:hint="eastAsia" w:cs="Times New Roman"/>
                <w:color w:val="auto"/>
                <w:lang w:val="en-US" w:eastAsia="zh-CN"/>
              </w:rPr>
              <w:t>1、手术室</w:t>
            </w:r>
            <w:r>
              <w:rPr>
                <w:rFonts w:hint="eastAsia" w:ascii="Times New Roman" w:hAnsi="Times New Roman" w:eastAsia="宋体" w:cs="Times New Roman"/>
                <w:color w:val="auto"/>
                <w:lang w:eastAsia="zh-CN"/>
              </w:rPr>
              <w:t>在工作期间由于人为操作不当导致酒精洒落；化学试剂在实验室内部运输期间，因包装损坏导致化学试剂发生泄漏事故；危废暂存间内实验废液在暂存期间，由于包装桶损坏或操作不当导致实验废液发生泄漏；实验废液在分析室运送到危暂存间发生泄漏。</w:t>
            </w:r>
          </w:p>
          <w:p>
            <w:pPr>
              <w:ind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本项目实验室内部地面硬化，化学试剂暂存于试剂柜中，危废暂存间的废液桶底部有托盘，因此有良好的防渗和截流措施，且本项目实验室位于</w:t>
            </w:r>
            <w:r>
              <w:rPr>
                <w:rFonts w:hint="eastAsia" w:cs="Times New Roman"/>
                <w:color w:val="auto"/>
                <w:lang w:val="en-US" w:eastAsia="zh-CN"/>
              </w:rPr>
              <w:t>5</w:t>
            </w:r>
            <w:r>
              <w:rPr>
                <w:rFonts w:hint="eastAsia" w:ascii="Times New Roman" w:hAnsi="Times New Roman" w:eastAsia="宋体" w:cs="Times New Roman"/>
                <w:color w:val="auto"/>
                <w:lang w:eastAsia="zh-CN"/>
              </w:rPr>
              <w:t>楼，不直接接触地面，故没有污染土壤、地下水及地表水的途径；本项目危险物质中，酸类或有机物挥发生成刺激性气体或有毒气体，</w:t>
            </w:r>
            <w:r>
              <w:rPr>
                <w:rFonts w:hint="eastAsia" w:cs="Times New Roman"/>
                <w:color w:val="auto"/>
                <w:lang w:eastAsia="zh-CN"/>
              </w:rPr>
              <w:t>可能</w:t>
            </w:r>
            <w:r>
              <w:rPr>
                <w:rFonts w:hint="eastAsia" w:ascii="Times New Roman" w:hAnsi="Times New Roman" w:eastAsia="宋体" w:cs="Times New Roman"/>
                <w:color w:val="auto"/>
                <w:lang w:eastAsia="zh-CN"/>
              </w:rPr>
              <w:t>进入大气环境。</w:t>
            </w:r>
          </w:p>
          <w:p>
            <w:pPr>
              <w:ind w:firstLine="480" w:firstLineChars="200"/>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室外泄漏为采购试剂和委托转移废液转运时，于室外露天场所转移过程可能发生泄漏。园区地面已经进行地面硬化，故不会对土壤及地下水环境造成影响。</w:t>
            </w:r>
          </w:p>
          <w:p>
            <w:pPr>
              <w:pStyle w:val="8"/>
              <w:rPr>
                <w:rFonts w:hint="eastAsia"/>
                <w:color w:val="auto"/>
                <w:lang w:eastAsia="zh-CN"/>
              </w:rPr>
            </w:pPr>
            <w:r>
              <w:rPr>
                <w:rFonts w:hint="eastAsia"/>
                <w:color w:val="auto"/>
                <w:lang w:eastAsia="zh-CN"/>
              </w:rPr>
              <w:t>如有机试剂发生泄漏，遇火源发生火灾，产生烟气直接进入大气环境，以及化学试剂中的氯化氢等遇热直接释放到环境中；如火势较大，需要用消防水进行降温，产生的消防废水可能混有危险物质，流出室外后进入雨水井进入雨水管网，流入陈台子河，可能污染地表水。</w:t>
            </w:r>
          </w:p>
          <w:p>
            <w:pPr>
              <w:pStyle w:val="83"/>
              <w:spacing w:before="120"/>
              <w:rPr>
                <w:color w:val="auto"/>
              </w:rPr>
            </w:pPr>
            <w:r>
              <w:rPr>
                <w:rFonts w:hint="eastAsia"/>
                <w:color w:val="auto"/>
              </w:rPr>
              <w:t>表4-</w:t>
            </w:r>
            <w:r>
              <w:rPr>
                <w:rFonts w:hint="eastAsia"/>
                <w:color w:val="auto"/>
                <w:lang w:val="en-US" w:eastAsia="zh-CN"/>
              </w:rPr>
              <w:t>30</w:t>
            </w:r>
            <w:r>
              <w:rPr>
                <w:rFonts w:hint="eastAsia"/>
                <w:color w:val="auto"/>
              </w:rPr>
              <w:t xml:space="preserve">  本项目危险物质向环境转移的途径识别一览表</w:t>
            </w:r>
          </w:p>
          <w:tbl>
            <w:tblPr>
              <w:tblStyle w:val="29"/>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19"/>
              <w:gridCol w:w="1394"/>
              <w:gridCol w:w="1522"/>
              <w:gridCol w:w="1017"/>
              <w:gridCol w:w="3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364" w:type="pct"/>
                  <w:tcBorders>
                    <w:tl2br w:val="nil"/>
                    <w:tr2bl w:val="nil"/>
                  </w:tcBorders>
                  <w:vAlign w:val="center"/>
                </w:tcPr>
                <w:p>
                  <w:pPr>
                    <w:pStyle w:val="78"/>
                    <w:rPr>
                      <w:b/>
                      <w:bCs/>
                      <w:color w:val="auto"/>
                    </w:rPr>
                  </w:pPr>
                  <w:r>
                    <w:rPr>
                      <w:rFonts w:hint="eastAsia"/>
                      <w:b/>
                      <w:bCs/>
                      <w:color w:val="auto"/>
                    </w:rPr>
                    <w:t>序号</w:t>
                  </w:r>
                </w:p>
              </w:tc>
              <w:tc>
                <w:tcPr>
                  <w:tcW w:w="820" w:type="pct"/>
                  <w:tcBorders>
                    <w:tl2br w:val="nil"/>
                    <w:tr2bl w:val="nil"/>
                  </w:tcBorders>
                  <w:vAlign w:val="center"/>
                </w:tcPr>
                <w:p>
                  <w:pPr>
                    <w:pStyle w:val="78"/>
                    <w:rPr>
                      <w:b/>
                      <w:bCs/>
                      <w:color w:val="auto"/>
                    </w:rPr>
                  </w:pPr>
                  <w:r>
                    <w:rPr>
                      <w:rFonts w:hint="eastAsia"/>
                      <w:b/>
                      <w:bCs/>
                      <w:color w:val="auto"/>
                    </w:rPr>
                    <w:t>风险单元</w:t>
                  </w:r>
                </w:p>
              </w:tc>
              <w:tc>
                <w:tcPr>
                  <w:tcW w:w="895" w:type="pct"/>
                  <w:tcBorders>
                    <w:tl2br w:val="nil"/>
                    <w:tr2bl w:val="nil"/>
                  </w:tcBorders>
                  <w:vAlign w:val="center"/>
                </w:tcPr>
                <w:p>
                  <w:pPr>
                    <w:pStyle w:val="78"/>
                    <w:rPr>
                      <w:b/>
                      <w:bCs/>
                      <w:color w:val="auto"/>
                    </w:rPr>
                  </w:pPr>
                  <w:r>
                    <w:rPr>
                      <w:rFonts w:hint="eastAsia"/>
                      <w:b/>
                      <w:bCs/>
                      <w:color w:val="auto"/>
                    </w:rPr>
                    <w:t>环境风险类型</w:t>
                  </w:r>
                </w:p>
              </w:tc>
              <w:tc>
                <w:tcPr>
                  <w:tcW w:w="598" w:type="pct"/>
                  <w:tcBorders>
                    <w:tl2br w:val="nil"/>
                    <w:tr2bl w:val="nil"/>
                  </w:tcBorders>
                  <w:vAlign w:val="center"/>
                </w:tcPr>
                <w:p>
                  <w:pPr>
                    <w:pStyle w:val="78"/>
                    <w:rPr>
                      <w:b/>
                      <w:bCs/>
                      <w:color w:val="auto"/>
                    </w:rPr>
                  </w:pPr>
                  <w:r>
                    <w:rPr>
                      <w:rFonts w:hint="eastAsia"/>
                      <w:b/>
                      <w:bCs/>
                      <w:color w:val="auto"/>
                    </w:rPr>
                    <w:t>影响环境</w:t>
                  </w:r>
                  <w:r>
                    <w:rPr>
                      <w:rFonts w:hint="eastAsia"/>
                      <w:b/>
                      <w:bCs/>
                      <w:color w:val="auto"/>
                      <w:lang w:eastAsia="zh-CN"/>
                    </w:rPr>
                    <w:t>受体</w:t>
                  </w:r>
                </w:p>
              </w:tc>
              <w:tc>
                <w:tcPr>
                  <w:tcW w:w="2322" w:type="pct"/>
                  <w:tcBorders>
                    <w:tl2br w:val="nil"/>
                    <w:tr2bl w:val="nil"/>
                  </w:tcBorders>
                  <w:vAlign w:val="center"/>
                </w:tcPr>
                <w:p>
                  <w:pPr>
                    <w:pStyle w:val="78"/>
                    <w:rPr>
                      <w:b/>
                      <w:bCs/>
                      <w:color w:val="auto"/>
                    </w:rPr>
                  </w:pPr>
                  <w:r>
                    <w:rPr>
                      <w:rFonts w:hint="eastAsia"/>
                      <w:b/>
                      <w:bCs/>
                      <w:color w:val="auto"/>
                    </w:rPr>
                    <w:t>可能影响的</w:t>
                  </w:r>
                  <w:r>
                    <w:rPr>
                      <w:rFonts w:hint="eastAsia"/>
                      <w:b/>
                      <w:bCs/>
                      <w:color w:val="auto"/>
                      <w:lang w:eastAsia="zh-CN"/>
                    </w:rPr>
                    <w:t>途径及后果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4" w:type="pct"/>
                  <w:tcBorders>
                    <w:tl2br w:val="nil"/>
                    <w:tr2bl w:val="nil"/>
                  </w:tcBorders>
                  <w:vAlign w:val="center"/>
                </w:tcPr>
                <w:p>
                  <w:pPr>
                    <w:pStyle w:val="78"/>
                    <w:rPr>
                      <w:color w:val="auto"/>
                    </w:rPr>
                  </w:pPr>
                  <w:r>
                    <w:rPr>
                      <w:rFonts w:hint="eastAsia"/>
                      <w:color w:val="auto"/>
                    </w:rPr>
                    <w:t>1</w:t>
                  </w:r>
                </w:p>
              </w:tc>
              <w:tc>
                <w:tcPr>
                  <w:tcW w:w="820" w:type="pct"/>
                  <w:tcBorders>
                    <w:tl2br w:val="nil"/>
                    <w:tr2bl w:val="nil"/>
                  </w:tcBorders>
                  <w:vAlign w:val="center"/>
                </w:tcPr>
                <w:p>
                  <w:pPr>
                    <w:pStyle w:val="78"/>
                    <w:rPr>
                      <w:color w:val="auto"/>
                    </w:rPr>
                  </w:pPr>
                  <w:r>
                    <w:rPr>
                      <w:rFonts w:hint="eastAsia"/>
                      <w:color w:val="auto"/>
                    </w:rPr>
                    <w:t>病理实验室、危废暂存间</w:t>
                  </w:r>
                </w:p>
              </w:tc>
              <w:tc>
                <w:tcPr>
                  <w:tcW w:w="895" w:type="pct"/>
                  <w:tcBorders>
                    <w:tl2br w:val="nil"/>
                    <w:tr2bl w:val="nil"/>
                  </w:tcBorders>
                  <w:vAlign w:val="center"/>
                </w:tcPr>
                <w:p>
                  <w:pPr>
                    <w:pStyle w:val="78"/>
                    <w:rPr>
                      <w:rFonts w:hint="default"/>
                      <w:color w:val="auto"/>
                      <w:lang w:val="en-US" w:eastAsia="zh-CN"/>
                    </w:rPr>
                  </w:pPr>
                  <w:r>
                    <w:rPr>
                      <w:rFonts w:hint="eastAsia"/>
                      <w:color w:val="auto"/>
                      <w:lang w:val="en-US" w:eastAsia="zh-CN"/>
                    </w:rPr>
                    <w:t>泄漏事故</w:t>
                  </w:r>
                </w:p>
              </w:tc>
              <w:tc>
                <w:tcPr>
                  <w:tcW w:w="598" w:type="pct"/>
                  <w:tcBorders>
                    <w:tl2br w:val="nil"/>
                    <w:tr2bl w:val="nil"/>
                  </w:tcBorders>
                  <w:vAlign w:val="center"/>
                </w:tcPr>
                <w:p>
                  <w:pPr>
                    <w:pStyle w:val="78"/>
                    <w:rPr>
                      <w:rFonts w:hint="default"/>
                      <w:color w:val="auto"/>
                      <w:lang w:val="en-US" w:eastAsia="zh-CN"/>
                    </w:rPr>
                  </w:pPr>
                  <w:r>
                    <w:rPr>
                      <w:rFonts w:hint="eastAsia"/>
                      <w:color w:val="auto"/>
                      <w:lang w:val="en-US" w:eastAsia="zh-CN"/>
                    </w:rPr>
                    <w:t>大气</w:t>
                  </w:r>
                </w:p>
              </w:tc>
              <w:tc>
                <w:tcPr>
                  <w:tcW w:w="2322" w:type="pct"/>
                  <w:tcBorders>
                    <w:tl2br w:val="nil"/>
                    <w:tr2bl w:val="nil"/>
                  </w:tcBorders>
                  <w:vAlign w:val="center"/>
                </w:tcPr>
                <w:p>
                  <w:pPr>
                    <w:pStyle w:val="78"/>
                    <w:jc w:val="left"/>
                    <w:rPr>
                      <w:color w:val="auto"/>
                    </w:rPr>
                  </w:pPr>
                  <w:r>
                    <w:rPr>
                      <w:rFonts w:hint="eastAsia"/>
                      <w:color w:val="auto"/>
                    </w:rPr>
                    <w:t>化学试剂储存</w:t>
                  </w:r>
                  <w:r>
                    <w:rPr>
                      <w:rFonts w:hint="eastAsia"/>
                      <w:color w:val="auto"/>
                      <w:lang w:eastAsia="zh-CN"/>
                    </w:rPr>
                    <w:t>、搬运</w:t>
                  </w:r>
                  <w:r>
                    <w:rPr>
                      <w:rFonts w:hint="eastAsia"/>
                      <w:color w:val="auto"/>
                    </w:rPr>
                    <w:t>期间</w:t>
                  </w:r>
                  <w:r>
                    <w:rPr>
                      <w:rFonts w:hint="eastAsia"/>
                      <w:color w:val="auto"/>
                      <w:lang w:eastAsia="zh-CN"/>
                    </w:rPr>
                    <w:t>，</w:t>
                  </w:r>
                  <w:r>
                    <w:rPr>
                      <w:rFonts w:hint="eastAsia"/>
                      <w:color w:val="auto"/>
                    </w:rPr>
                    <w:t>由于包装损坏或人为操作不当导致化学试剂发生泄漏事故</w:t>
                  </w:r>
                  <w:r>
                    <w:rPr>
                      <w:rFonts w:hint="eastAsia"/>
                      <w:color w:val="auto"/>
                      <w:lang w:eastAsia="zh-CN"/>
                    </w:rPr>
                    <w:t>，</w:t>
                  </w:r>
                  <w:r>
                    <w:rPr>
                      <w:rFonts w:hint="eastAsia"/>
                      <w:color w:val="auto"/>
                    </w:rPr>
                    <w:t>酸类或有机 物挥发生成刺激性质气体或有毒气体</w:t>
                  </w:r>
                  <w:r>
                    <w:rPr>
                      <w:rFonts w:hint="eastAsia"/>
                      <w:color w:val="auto"/>
                      <w:lang w:eastAsia="zh-CN"/>
                    </w:rPr>
                    <w:t>，</w:t>
                  </w:r>
                  <w:r>
                    <w:rPr>
                      <w:rFonts w:hint="eastAsia"/>
                      <w:color w:val="auto"/>
                    </w:rPr>
                    <w:t>进入大气环境。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4" w:type="pct"/>
                  <w:tcBorders>
                    <w:tl2br w:val="nil"/>
                    <w:tr2bl w:val="nil"/>
                  </w:tcBorders>
                  <w:vAlign w:val="center"/>
                </w:tcPr>
                <w:p>
                  <w:pPr>
                    <w:pStyle w:val="78"/>
                    <w:rPr>
                      <w:rFonts w:hint="eastAsia" w:eastAsia="宋体"/>
                      <w:color w:val="auto"/>
                      <w:lang w:val="en-US" w:eastAsia="zh-CN"/>
                    </w:rPr>
                  </w:pPr>
                  <w:r>
                    <w:rPr>
                      <w:rFonts w:hint="eastAsia"/>
                      <w:color w:val="auto"/>
                      <w:lang w:val="en-US" w:eastAsia="zh-CN"/>
                    </w:rPr>
                    <w:t>2</w:t>
                  </w:r>
                </w:p>
              </w:tc>
              <w:tc>
                <w:tcPr>
                  <w:tcW w:w="820" w:type="pct"/>
                  <w:tcBorders>
                    <w:tl2br w:val="nil"/>
                    <w:tr2bl w:val="nil"/>
                  </w:tcBorders>
                  <w:vAlign w:val="center"/>
                </w:tcPr>
                <w:p>
                  <w:pPr>
                    <w:pStyle w:val="78"/>
                    <w:rPr>
                      <w:rFonts w:hint="eastAsia"/>
                      <w:color w:val="auto"/>
                      <w:lang w:val="en-US" w:eastAsia="zh-CN"/>
                    </w:rPr>
                  </w:pPr>
                  <w:r>
                    <w:rPr>
                      <w:rFonts w:hint="eastAsia" w:cs="Times New Roman"/>
                      <w:color w:val="auto"/>
                      <w:lang w:eastAsia="zh-CN"/>
                    </w:rPr>
                    <w:t>细胞房</w:t>
                  </w:r>
                  <w:r>
                    <w:rPr>
                      <w:rFonts w:hint="eastAsia" w:cs="Times New Roman"/>
                      <w:color w:val="auto"/>
                      <w:lang w:val="en-US" w:eastAsia="zh-CN"/>
                    </w:rPr>
                    <w:t>1、手术室</w:t>
                  </w:r>
                </w:p>
              </w:tc>
              <w:tc>
                <w:tcPr>
                  <w:tcW w:w="895" w:type="pct"/>
                  <w:tcBorders>
                    <w:tl2br w:val="nil"/>
                    <w:tr2bl w:val="nil"/>
                  </w:tcBorders>
                  <w:vAlign w:val="center"/>
                </w:tcPr>
                <w:p>
                  <w:pPr>
                    <w:pStyle w:val="78"/>
                    <w:rPr>
                      <w:rFonts w:hint="eastAsia"/>
                      <w:color w:val="auto"/>
                      <w:lang w:val="en-US" w:eastAsia="zh-CN"/>
                    </w:rPr>
                  </w:pPr>
                  <w:r>
                    <w:rPr>
                      <w:rFonts w:hint="eastAsia"/>
                      <w:color w:val="auto"/>
                      <w:lang w:val="en-US" w:eastAsia="zh-CN"/>
                    </w:rPr>
                    <w:t>泄漏事故</w:t>
                  </w:r>
                </w:p>
              </w:tc>
              <w:tc>
                <w:tcPr>
                  <w:tcW w:w="598" w:type="pct"/>
                  <w:tcBorders>
                    <w:tl2br w:val="nil"/>
                    <w:tr2bl w:val="nil"/>
                  </w:tcBorders>
                  <w:vAlign w:val="center"/>
                </w:tcPr>
                <w:p>
                  <w:pPr>
                    <w:pStyle w:val="78"/>
                    <w:rPr>
                      <w:rFonts w:hint="eastAsia"/>
                      <w:color w:val="auto"/>
                      <w:lang w:val="en-US" w:eastAsia="zh-CN"/>
                    </w:rPr>
                  </w:pPr>
                  <w:r>
                    <w:rPr>
                      <w:rFonts w:hint="eastAsia"/>
                      <w:color w:val="auto"/>
                      <w:lang w:val="en-US" w:eastAsia="zh-CN"/>
                    </w:rPr>
                    <w:t>大气</w:t>
                  </w:r>
                </w:p>
              </w:tc>
              <w:tc>
                <w:tcPr>
                  <w:tcW w:w="2322" w:type="pct"/>
                  <w:tcBorders>
                    <w:tl2br w:val="nil"/>
                    <w:tr2bl w:val="nil"/>
                  </w:tcBorders>
                  <w:vAlign w:val="center"/>
                </w:tcPr>
                <w:p>
                  <w:pPr>
                    <w:pStyle w:val="78"/>
                    <w:jc w:val="left"/>
                    <w:rPr>
                      <w:rFonts w:hint="eastAsia" w:eastAsia="宋体"/>
                      <w:color w:val="auto"/>
                      <w:lang w:val="en-US" w:eastAsia="zh-CN"/>
                    </w:rPr>
                  </w:pPr>
                  <w:r>
                    <w:rPr>
                      <w:rFonts w:hint="eastAsia" w:eastAsia="宋体"/>
                      <w:color w:val="auto"/>
                      <w:lang w:val="en-US" w:eastAsia="zh-CN"/>
                    </w:rPr>
                    <w:t>人为操作不当导致</w:t>
                  </w:r>
                  <w:r>
                    <w:rPr>
                      <w:rFonts w:hint="eastAsia"/>
                      <w:color w:val="auto"/>
                      <w:lang w:val="en-US" w:eastAsia="zh-CN"/>
                    </w:rPr>
                    <w:t>乙醇</w:t>
                  </w:r>
                  <w:r>
                    <w:rPr>
                      <w:rFonts w:hint="eastAsia" w:eastAsia="宋体"/>
                      <w:color w:val="auto"/>
                      <w:lang w:val="en-US" w:eastAsia="zh-CN"/>
                    </w:rPr>
                    <w:t>洒落</w:t>
                  </w:r>
                  <w:r>
                    <w:rPr>
                      <w:rFonts w:hint="eastAsia"/>
                      <w:color w:val="auto"/>
                      <w:lang w:val="en-US" w:eastAsia="zh-CN"/>
                    </w:rPr>
                    <w:t>，乙醇</w:t>
                  </w:r>
                  <w:r>
                    <w:rPr>
                      <w:rFonts w:hint="eastAsia" w:eastAsia="宋体"/>
                      <w:color w:val="auto"/>
                      <w:lang w:val="en-US" w:eastAsia="zh-CN"/>
                    </w:rPr>
                    <w:t>蒸汽直接挥发至大气环境。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4" w:type="pct"/>
                  <w:tcBorders>
                    <w:tl2br w:val="nil"/>
                    <w:tr2bl w:val="nil"/>
                  </w:tcBorders>
                  <w:vAlign w:val="center"/>
                </w:tcPr>
                <w:p>
                  <w:pPr>
                    <w:pStyle w:val="78"/>
                    <w:rPr>
                      <w:rFonts w:hint="default"/>
                      <w:color w:val="auto"/>
                      <w:lang w:val="en-US" w:eastAsia="zh-CN"/>
                    </w:rPr>
                  </w:pPr>
                  <w:r>
                    <w:rPr>
                      <w:rFonts w:hint="eastAsia"/>
                      <w:color w:val="auto"/>
                      <w:lang w:val="en-US" w:eastAsia="zh-CN"/>
                    </w:rPr>
                    <w:t>3</w:t>
                  </w:r>
                </w:p>
              </w:tc>
              <w:tc>
                <w:tcPr>
                  <w:tcW w:w="820" w:type="pct"/>
                  <w:tcBorders>
                    <w:tl2br w:val="nil"/>
                    <w:tr2bl w:val="nil"/>
                  </w:tcBorders>
                  <w:vAlign w:val="center"/>
                </w:tcPr>
                <w:p>
                  <w:pPr>
                    <w:pStyle w:val="78"/>
                    <w:rPr>
                      <w:rFonts w:hint="eastAsia" w:cs="Times New Roman"/>
                      <w:color w:val="auto"/>
                      <w:lang w:eastAsia="zh-CN"/>
                    </w:rPr>
                  </w:pPr>
                  <w:r>
                    <w:rPr>
                      <w:rFonts w:hint="default" w:cs="Times New Roman"/>
                      <w:color w:val="auto"/>
                      <w:lang w:eastAsia="zh-CN"/>
                    </w:rPr>
                    <w:t>危废暂存间</w:t>
                  </w:r>
                </w:p>
              </w:tc>
              <w:tc>
                <w:tcPr>
                  <w:tcW w:w="895" w:type="pct"/>
                  <w:tcBorders>
                    <w:tl2br w:val="nil"/>
                    <w:tr2bl w:val="nil"/>
                  </w:tcBorders>
                  <w:vAlign w:val="center"/>
                </w:tcPr>
                <w:p>
                  <w:pPr>
                    <w:pStyle w:val="78"/>
                    <w:rPr>
                      <w:rFonts w:hint="eastAsia" w:cs="Times New Roman"/>
                      <w:color w:val="auto"/>
                      <w:lang w:val="en-US" w:eastAsia="zh-CN"/>
                    </w:rPr>
                  </w:pPr>
                  <w:r>
                    <w:rPr>
                      <w:rFonts w:hint="eastAsia" w:cs="Times New Roman"/>
                      <w:color w:val="auto"/>
                      <w:lang w:val="en-US" w:eastAsia="zh-CN"/>
                    </w:rPr>
                    <w:t>泄漏事故</w:t>
                  </w:r>
                </w:p>
              </w:tc>
              <w:tc>
                <w:tcPr>
                  <w:tcW w:w="598" w:type="pct"/>
                  <w:tcBorders>
                    <w:tl2br w:val="nil"/>
                    <w:tr2bl w:val="nil"/>
                  </w:tcBorders>
                  <w:vAlign w:val="center"/>
                </w:tcPr>
                <w:p>
                  <w:pPr>
                    <w:pStyle w:val="78"/>
                    <w:rPr>
                      <w:rFonts w:hint="eastAsia" w:cs="Times New Roman"/>
                      <w:color w:val="auto"/>
                      <w:lang w:val="en-US" w:eastAsia="zh-CN"/>
                    </w:rPr>
                  </w:pPr>
                  <w:r>
                    <w:rPr>
                      <w:rFonts w:hint="eastAsia" w:cs="Times New Roman"/>
                      <w:color w:val="auto"/>
                      <w:lang w:val="en-US" w:eastAsia="zh-CN"/>
                    </w:rPr>
                    <w:t>大气</w:t>
                  </w:r>
                </w:p>
              </w:tc>
              <w:tc>
                <w:tcPr>
                  <w:tcW w:w="2322" w:type="pct"/>
                  <w:tcBorders>
                    <w:tl2br w:val="nil"/>
                    <w:tr2bl w:val="nil"/>
                  </w:tcBorders>
                  <w:vAlign w:val="top"/>
                </w:tcPr>
                <w:p>
                  <w:pPr>
                    <w:pStyle w:val="78"/>
                    <w:jc w:val="left"/>
                    <w:rPr>
                      <w:rFonts w:hint="eastAsia" w:cs="Times New Roman"/>
                      <w:color w:val="auto"/>
                      <w:lang w:val="en-US" w:eastAsia="zh-CN"/>
                    </w:rPr>
                  </w:pPr>
                  <w:r>
                    <w:rPr>
                      <w:rFonts w:hint="default" w:eastAsia="宋体"/>
                      <w:color w:val="auto"/>
                      <w:lang w:val="en-US" w:eastAsia="zh-CN"/>
                    </w:rPr>
                    <w:t>包装桶损坏或操作不当导致实验废液发生泄漏</w:t>
                  </w:r>
                  <w:r>
                    <w:rPr>
                      <w:rFonts w:hint="eastAsia" w:eastAsia="宋体"/>
                      <w:color w:val="auto"/>
                      <w:lang w:val="en-US" w:eastAsia="zh-CN"/>
                    </w:rPr>
                    <w:t>，</w:t>
                  </w:r>
                  <w:r>
                    <w:rPr>
                      <w:rFonts w:hint="default" w:eastAsia="宋体"/>
                      <w:color w:val="auto"/>
                      <w:lang w:val="en-US" w:eastAsia="zh-CN"/>
                    </w:rPr>
                    <w:t>酸类或有机物挥发生成刺激性质气体或有毒气体</w:t>
                  </w:r>
                  <w:r>
                    <w:rPr>
                      <w:rFonts w:hint="eastAsia" w:eastAsia="宋体"/>
                      <w:color w:val="auto"/>
                      <w:lang w:val="en-US" w:eastAsia="zh-CN"/>
                    </w:rPr>
                    <w:t>，</w:t>
                  </w:r>
                  <w:r>
                    <w:rPr>
                      <w:rFonts w:hint="default" w:eastAsia="宋体"/>
                      <w:color w:val="auto"/>
                      <w:lang w:val="en-US" w:eastAsia="zh-CN"/>
                    </w:rPr>
                    <w:t>进入大气环境。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64" w:type="pct"/>
                  <w:tcBorders>
                    <w:tl2br w:val="nil"/>
                    <w:tr2bl w:val="nil"/>
                  </w:tcBorders>
                  <w:vAlign w:val="center"/>
                </w:tcPr>
                <w:p>
                  <w:pPr>
                    <w:pStyle w:val="78"/>
                    <w:rPr>
                      <w:rFonts w:hint="default"/>
                      <w:color w:val="auto"/>
                      <w:lang w:val="en-US" w:eastAsia="zh-CN"/>
                    </w:rPr>
                  </w:pPr>
                  <w:r>
                    <w:rPr>
                      <w:rFonts w:hint="eastAsia"/>
                      <w:color w:val="auto"/>
                      <w:lang w:val="en-US" w:eastAsia="zh-CN"/>
                    </w:rPr>
                    <w:t>4</w:t>
                  </w:r>
                </w:p>
              </w:tc>
              <w:tc>
                <w:tcPr>
                  <w:tcW w:w="820" w:type="pct"/>
                  <w:tcBorders>
                    <w:tl2br w:val="nil"/>
                    <w:tr2bl w:val="nil"/>
                  </w:tcBorders>
                  <w:vAlign w:val="center"/>
                </w:tcPr>
                <w:p>
                  <w:pPr>
                    <w:pStyle w:val="78"/>
                    <w:rPr>
                      <w:rFonts w:hint="default" w:cs="Times New Roman"/>
                      <w:color w:val="auto"/>
                      <w:lang w:eastAsia="zh-CN"/>
                    </w:rPr>
                  </w:pPr>
                  <w:r>
                    <w:rPr>
                      <w:rFonts w:hint="eastAsia"/>
                      <w:color w:val="auto"/>
                    </w:rPr>
                    <w:t>病理实验室</w:t>
                  </w:r>
                </w:p>
              </w:tc>
              <w:tc>
                <w:tcPr>
                  <w:tcW w:w="895" w:type="pct"/>
                  <w:tcBorders>
                    <w:tl2br w:val="nil"/>
                    <w:tr2bl w:val="nil"/>
                  </w:tcBorders>
                  <w:vAlign w:val="center"/>
                </w:tcPr>
                <w:p>
                  <w:pPr>
                    <w:pStyle w:val="78"/>
                    <w:rPr>
                      <w:rFonts w:hint="eastAsia" w:cs="Times New Roman"/>
                      <w:color w:val="auto"/>
                      <w:lang w:val="en-US" w:eastAsia="zh-CN"/>
                    </w:rPr>
                  </w:pPr>
                  <w:r>
                    <w:rPr>
                      <w:rFonts w:hint="eastAsia" w:cs="Times New Roman"/>
                      <w:color w:val="auto"/>
                      <w:lang w:val="en-US" w:eastAsia="zh-CN"/>
                    </w:rPr>
                    <w:t>火灾</w:t>
                  </w:r>
                </w:p>
              </w:tc>
              <w:tc>
                <w:tcPr>
                  <w:tcW w:w="598" w:type="pct"/>
                  <w:tcBorders>
                    <w:tl2br w:val="nil"/>
                    <w:tr2bl w:val="nil"/>
                  </w:tcBorders>
                  <w:vAlign w:val="center"/>
                </w:tcPr>
                <w:p>
                  <w:pPr>
                    <w:pStyle w:val="78"/>
                    <w:jc w:val="both"/>
                    <w:rPr>
                      <w:rFonts w:hint="eastAsia" w:cs="Times New Roman"/>
                      <w:color w:val="auto"/>
                      <w:lang w:val="en-US" w:eastAsia="zh-CN"/>
                    </w:rPr>
                  </w:pPr>
                  <w:r>
                    <w:rPr>
                      <w:rFonts w:hint="eastAsia" w:cs="Times New Roman"/>
                      <w:color w:val="auto"/>
                      <w:lang w:val="en-US" w:eastAsia="zh-CN"/>
                    </w:rPr>
                    <w:t>大气、地表水</w:t>
                  </w:r>
                </w:p>
              </w:tc>
              <w:tc>
                <w:tcPr>
                  <w:tcW w:w="2322" w:type="pct"/>
                  <w:tcBorders>
                    <w:tl2br w:val="nil"/>
                    <w:tr2bl w:val="nil"/>
                  </w:tcBorders>
                  <w:vAlign w:val="center"/>
                </w:tcPr>
                <w:p>
                  <w:pPr>
                    <w:pStyle w:val="78"/>
                    <w:jc w:val="left"/>
                    <w:rPr>
                      <w:rFonts w:hint="default" w:cs="Times New Roman"/>
                      <w:color w:val="auto"/>
                      <w:lang w:eastAsia="zh-CN"/>
                    </w:rPr>
                  </w:pPr>
                  <w:r>
                    <w:rPr>
                      <w:rFonts w:hint="default" w:cs="Times New Roman"/>
                      <w:color w:val="auto"/>
                      <w:lang w:eastAsia="zh-CN"/>
                    </w:rPr>
                    <w:t>火灾产生烟气直接进入大气环境</w:t>
                  </w:r>
                  <w:r>
                    <w:rPr>
                      <w:rFonts w:hint="eastAsia" w:cs="Times New Roman"/>
                      <w:color w:val="auto"/>
                      <w:lang w:eastAsia="zh-CN"/>
                    </w:rPr>
                    <w:t>，</w:t>
                  </w:r>
                  <w:r>
                    <w:rPr>
                      <w:rFonts w:hint="default" w:cs="Times New Roman"/>
                      <w:color w:val="auto"/>
                      <w:lang w:eastAsia="zh-CN"/>
                    </w:rPr>
                    <w:t>以及化学试剂中的氯化氢预热直接释放到环境中</w:t>
                  </w:r>
                  <w:r>
                    <w:rPr>
                      <w:rFonts w:hint="eastAsia" w:cs="Times New Roman"/>
                      <w:color w:val="auto"/>
                      <w:lang w:eastAsia="zh-CN"/>
                    </w:rPr>
                    <w:t>：</w:t>
                  </w:r>
                  <w:r>
                    <w:rPr>
                      <w:rFonts w:hint="default" w:cs="Times New Roman"/>
                      <w:color w:val="auto"/>
                      <w:lang w:eastAsia="zh-CN"/>
                    </w:rPr>
                    <w:t>如火势较大</w:t>
                  </w:r>
                  <w:r>
                    <w:rPr>
                      <w:rFonts w:hint="eastAsia" w:cs="Times New Roman"/>
                      <w:color w:val="auto"/>
                      <w:lang w:eastAsia="zh-CN"/>
                    </w:rPr>
                    <w:t>，</w:t>
                  </w:r>
                  <w:r>
                    <w:rPr>
                      <w:rFonts w:hint="default" w:cs="Times New Roman"/>
                      <w:color w:val="auto"/>
                      <w:lang w:eastAsia="zh-CN"/>
                    </w:rPr>
                    <w:t>需要用消防水进行降温</w:t>
                  </w:r>
                  <w:r>
                    <w:rPr>
                      <w:rFonts w:hint="eastAsia" w:cs="Times New Roman"/>
                      <w:color w:val="auto"/>
                      <w:lang w:eastAsia="zh-CN"/>
                    </w:rPr>
                    <w:t>，</w:t>
                  </w:r>
                  <w:r>
                    <w:rPr>
                      <w:rFonts w:hint="default" w:cs="Times New Roman"/>
                      <w:color w:val="auto"/>
                      <w:lang w:eastAsia="zh-CN"/>
                    </w:rPr>
                    <w:t>产生的消防废水可能混有危险物质</w:t>
                  </w:r>
                  <w:r>
                    <w:rPr>
                      <w:rFonts w:hint="eastAsia" w:cs="Times New Roman"/>
                      <w:color w:val="auto"/>
                      <w:lang w:eastAsia="zh-CN"/>
                    </w:rPr>
                    <w:t>，</w:t>
                  </w:r>
                  <w:r>
                    <w:rPr>
                      <w:rFonts w:hint="default" w:cs="Times New Roman"/>
                      <w:color w:val="auto"/>
                      <w:lang w:eastAsia="zh-CN"/>
                    </w:rPr>
                    <w:t>流出室外后进入雨水井进入雨水管网</w:t>
                  </w:r>
                  <w:r>
                    <w:rPr>
                      <w:rFonts w:hint="eastAsia" w:cs="Times New Roman"/>
                      <w:color w:val="auto"/>
                      <w:lang w:eastAsia="zh-CN"/>
                    </w:rPr>
                    <w:t>，</w:t>
                  </w:r>
                  <w:r>
                    <w:rPr>
                      <w:rFonts w:hint="default" w:cs="Times New Roman"/>
                      <w:color w:val="auto"/>
                      <w:lang w:eastAsia="zh-CN"/>
                    </w:rPr>
                    <w:t>可能污染地表水。</w:t>
                  </w:r>
                </w:p>
              </w:tc>
            </w:tr>
          </w:tbl>
          <w:p>
            <w:pPr>
              <w:keepNext w:val="0"/>
              <w:keepLines w:val="0"/>
              <w:numPr>
                <w:ilvl w:val="0"/>
                <w:numId w:val="0"/>
              </w:numPr>
              <w:suppressLineNumbers w:val="0"/>
              <w:spacing w:before="0" w:beforeAutospacing="0" w:after="0" w:afterAutospacing="0" w:line="360" w:lineRule="auto"/>
              <w:ind w:leftChars="200" w:right="0" w:rightChars="0"/>
              <w:rPr>
                <w:rFonts w:hint="eastAsia"/>
                <w:b/>
                <w:bCs/>
                <w:color w:val="auto"/>
                <w:lang w:val="en-US" w:eastAsia="zh-CN"/>
              </w:rPr>
            </w:pPr>
            <w:r>
              <w:rPr>
                <w:rFonts w:hint="eastAsia"/>
                <w:b/>
                <w:bCs/>
                <w:color w:val="auto"/>
                <w:lang w:val="en-US" w:eastAsia="zh-CN"/>
              </w:rPr>
              <w:t>4.7.3风险防范及应急措施</w:t>
            </w:r>
          </w:p>
          <w:p>
            <w:pPr>
              <w:pStyle w:val="8"/>
              <w:bidi w:val="0"/>
              <w:rPr>
                <w:rFonts w:hint="eastAsia"/>
                <w:color w:val="auto"/>
                <w:lang w:val="en-US" w:eastAsia="zh-CN"/>
              </w:rPr>
            </w:pPr>
            <w:r>
              <w:rPr>
                <w:rFonts w:hint="eastAsia"/>
                <w:b/>
                <w:bCs/>
                <w:color w:val="auto"/>
                <w:lang w:val="en-US" w:eastAsia="zh-CN"/>
              </w:rPr>
              <w:t>实验室</w:t>
            </w:r>
            <w:r>
              <w:rPr>
                <w:rFonts w:hint="eastAsia"/>
                <w:color w:val="auto"/>
                <w:lang w:val="en-US" w:eastAsia="zh-CN"/>
              </w:rPr>
              <w:t>所有化学品放置于试剂柜保存，</w:t>
            </w:r>
            <w:r>
              <w:rPr>
                <w:rFonts w:hint="eastAsia"/>
                <w:color w:val="auto"/>
              </w:rPr>
              <w:t>本项目</w:t>
            </w:r>
            <w:r>
              <w:rPr>
                <w:rFonts w:hint="eastAsia"/>
                <w:color w:val="auto"/>
                <w:lang w:eastAsia="zh-CN"/>
              </w:rPr>
              <w:t>病理实验室</w:t>
            </w:r>
            <w:r>
              <w:rPr>
                <w:rFonts w:hint="eastAsia"/>
                <w:color w:val="auto"/>
              </w:rPr>
              <w:t>化学品</w:t>
            </w:r>
            <w:r>
              <w:rPr>
                <w:rFonts w:hint="eastAsia"/>
                <w:color w:val="auto"/>
                <w:lang w:eastAsia="zh-CN"/>
              </w:rPr>
              <w:t>最大暂存量为</w:t>
            </w:r>
            <w:r>
              <w:rPr>
                <w:rFonts w:hint="eastAsia"/>
                <w:color w:val="auto"/>
                <w:lang w:val="en-US" w:eastAsia="zh-CN"/>
              </w:rPr>
              <w:t>0.31t/a，其中乙醇最大暂存量为0.24t/a。实验室严禁明火，实验人员每天检查化学品包装情况。在试剂室配置烟感报警器、灭火器、消防沙、抹布等应急物资和人员防护物资，发生液体试剂发生泄漏时，迅速采用消防沙、抹布等吸附材料将泄漏出来的物质擦拭处理完毕，沾染泄漏物质的吸附材料存放于密闭收集桶内，作为危险废物交有资质单位处理；发现火灾事故时，立即拿开着火可能影响区域内的一切可燃物质，用灭火器、消防沙进行灭火，不会产生消防废水，火势较大时立即报火警，如产生消防废水流出室外时，应在室外做好防止消防废水进入雨水管网的措施。避免流入雨水管网，对厂区内外排雨水排口进行封堵，应及时收集消防废水，事后经检测水质后决定处置方案。</w:t>
            </w:r>
            <w:r>
              <w:rPr>
                <w:rFonts w:hint="eastAsia"/>
                <w:color w:val="auto"/>
              </w:rPr>
              <w:t>如发生泄漏事故</w:t>
            </w:r>
            <w:r>
              <w:rPr>
                <w:rFonts w:hint="eastAsia"/>
                <w:color w:val="auto"/>
                <w:lang w:eastAsia="zh-CN"/>
              </w:rPr>
              <w:t>，</w:t>
            </w:r>
            <w:r>
              <w:rPr>
                <w:rFonts w:hint="eastAsia"/>
                <w:color w:val="auto"/>
              </w:rPr>
              <w:t>泄漏后挥发进入环境中的量较少</w:t>
            </w:r>
            <w:r>
              <w:rPr>
                <w:rFonts w:hint="eastAsia"/>
                <w:color w:val="auto"/>
                <w:lang w:eastAsia="zh-CN"/>
              </w:rPr>
              <w:t>，</w:t>
            </w:r>
            <w:r>
              <w:rPr>
                <w:rFonts w:hint="eastAsia"/>
                <w:color w:val="auto"/>
              </w:rPr>
              <w:t>且实验室各房间单独密闭</w:t>
            </w:r>
            <w:r>
              <w:rPr>
                <w:rFonts w:hint="eastAsia"/>
                <w:color w:val="auto"/>
                <w:lang w:eastAsia="zh-CN"/>
              </w:rPr>
              <w:t>，</w:t>
            </w:r>
            <w:r>
              <w:rPr>
                <w:rFonts w:hint="eastAsia"/>
                <w:color w:val="auto"/>
              </w:rPr>
              <w:t>实验期间关闭门窗</w:t>
            </w:r>
            <w:r>
              <w:rPr>
                <w:rFonts w:hint="eastAsia"/>
                <w:color w:val="auto"/>
                <w:lang w:eastAsia="zh-CN"/>
              </w:rPr>
              <w:t>，</w:t>
            </w:r>
            <w:r>
              <w:rPr>
                <w:rFonts w:hint="eastAsia"/>
                <w:color w:val="auto"/>
              </w:rPr>
              <w:t>挥发出的可气体经通风橱、换风系统收集后进入到性炭设施进行处理后排放</w:t>
            </w:r>
            <w:r>
              <w:rPr>
                <w:rFonts w:hint="eastAsia"/>
                <w:color w:val="auto"/>
                <w:lang w:eastAsia="zh-CN"/>
              </w:rPr>
              <w:t>，</w:t>
            </w:r>
            <w:r>
              <w:rPr>
                <w:rFonts w:hint="eastAsia"/>
                <w:color w:val="auto"/>
              </w:rPr>
              <w:t>确保对环境影响较小。</w:t>
            </w:r>
          </w:p>
          <w:p>
            <w:pPr>
              <w:pStyle w:val="8"/>
              <w:ind w:firstLine="480"/>
              <w:rPr>
                <w:rFonts w:hint="eastAsia"/>
                <w:color w:val="auto"/>
                <w:lang w:eastAsia="zh-CN"/>
              </w:rPr>
            </w:pPr>
            <w:r>
              <w:rPr>
                <w:rFonts w:hint="eastAsia"/>
                <w:b/>
                <w:bCs/>
                <w:color w:val="auto"/>
              </w:rPr>
              <w:t>危险废物暂存间</w:t>
            </w:r>
            <w:r>
              <w:rPr>
                <w:rFonts w:hint="eastAsia"/>
                <w:color w:val="auto"/>
              </w:rPr>
              <w:t>实验废液</w:t>
            </w:r>
            <w:r>
              <w:rPr>
                <w:rFonts w:hint="eastAsia"/>
                <w:color w:val="auto"/>
                <w:lang w:eastAsia="zh-CN"/>
              </w:rPr>
              <w:t>最大暂存量为</w:t>
            </w:r>
            <w:r>
              <w:rPr>
                <w:rFonts w:hint="eastAsia"/>
                <w:color w:val="auto"/>
                <w:lang w:val="en-US" w:eastAsia="zh-CN"/>
              </w:rPr>
              <w:t>0.235t/a</w:t>
            </w:r>
            <w:r>
              <w:rPr>
                <w:rFonts w:hint="eastAsia"/>
                <w:color w:val="auto"/>
                <w:lang w:eastAsia="zh-CN"/>
              </w:rPr>
              <w:t>，</w:t>
            </w:r>
            <w:r>
              <w:rPr>
                <w:rFonts w:hint="eastAsia"/>
                <w:b w:val="0"/>
                <w:bCs w:val="0"/>
                <w:color w:val="auto"/>
              </w:rPr>
              <w:t>危险废物暂存间</w:t>
            </w:r>
            <w:r>
              <w:rPr>
                <w:rFonts w:hint="eastAsia"/>
                <w:color w:val="auto"/>
              </w:rPr>
              <w:t>拟对地面及裙角均做耐腐蚀硬化、防渗漏处理，且表面无缝隙，所使用的材料要与危险废物相容；危险废物应储存于密闭容器中，并在容器外表设置环境保护图形标志和警示标志；危险废物应选择防腐、防漏、防磕碰、密封严格的容器进行贮存和运输，危废暂存间应有专门人员看管。看管人员和危险废物运输人员工作中应佩戴防护用具，并配备医疗急救用品</w:t>
            </w:r>
            <w:r>
              <w:rPr>
                <w:rFonts w:hint="eastAsia"/>
                <w:color w:val="auto"/>
                <w:lang w:eastAsia="zh-CN"/>
              </w:rPr>
              <w:t>。</w:t>
            </w:r>
          </w:p>
          <w:p>
            <w:pPr>
              <w:pStyle w:val="8"/>
              <w:ind w:firstLine="480"/>
              <w:rPr>
                <w:rFonts w:hint="default"/>
                <w:b w:val="0"/>
                <w:bCs w:val="0"/>
                <w:color w:val="auto"/>
              </w:rPr>
            </w:pPr>
            <w:r>
              <w:rPr>
                <w:rFonts w:hint="eastAsia"/>
                <w:b/>
                <w:bCs/>
                <w:color w:val="auto"/>
                <w:lang w:eastAsia="zh-CN"/>
              </w:rPr>
              <w:t>楼道、室外</w:t>
            </w:r>
            <w:r>
              <w:rPr>
                <w:rFonts w:hint="default"/>
                <w:b w:val="0"/>
                <w:bCs w:val="0"/>
                <w:color w:val="auto"/>
              </w:rPr>
              <w:t>做好运输路线的地面防渗、截留措施</w:t>
            </w:r>
            <w:r>
              <w:rPr>
                <w:rFonts w:hint="eastAsia"/>
                <w:b w:val="0"/>
                <w:bCs w:val="0"/>
                <w:color w:val="auto"/>
                <w:lang w:eastAsia="zh-CN"/>
              </w:rPr>
              <w:t>，</w:t>
            </w:r>
            <w:r>
              <w:rPr>
                <w:rFonts w:hint="default"/>
                <w:b w:val="0"/>
                <w:bCs w:val="0"/>
                <w:color w:val="auto"/>
              </w:rPr>
              <w:t>在必要位置放置一定的灭火器、消防沙、抹布等应急物资和人员防护物资</w:t>
            </w:r>
            <w:r>
              <w:rPr>
                <w:rFonts w:hint="eastAsia"/>
                <w:b w:val="0"/>
                <w:bCs w:val="0"/>
                <w:color w:val="auto"/>
                <w:lang w:eastAsia="zh-CN"/>
              </w:rPr>
              <w:t>，</w:t>
            </w:r>
            <w:r>
              <w:rPr>
                <w:rFonts w:hint="default"/>
                <w:b w:val="0"/>
                <w:bCs w:val="0"/>
                <w:color w:val="auto"/>
              </w:rPr>
              <w:t>在室外还需配置一定数量的应急沙袋等</w:t>
            </w:r>
            <w:r>
              <w:rPr>
                <w:rFonts w:hint="eastAsia"/>
                <w:b w:val="0"/>
                <w:bCs w:val="0"/>
                <w:color w:val="auto"/>
                <w:lang w:eastAsia="zh-CN"/>
              </w:rPr>
              <w:t>，</w:t>
            </w:r>
            <w:r>
              <w:rPr>
                <w:rFonts w:hint="default"/>
                <w:b w:val="0"/>
                <w:bCs w:val="0"/>
                <w:color w:val="auto"/>
              </w:rPr>
              <w:t>发生液体试剂发生泄漏和火灾事故时</w:t>
            </w:r>
            <w:r>
              <w:rPr>
                <w:rFonts w:hint="eastAsia"/>
                <w:b w:val="0"/>
                <w:bCs w:val="0"/>
                <w:color w:val="auto"/>
                <w:lang w:eastAsia="zh-CN"/>
              </w:rPr>
              <w:t>，</w:t>
            </w:r>
            <w:r>
              <w:rPr>
                <w:rFonts w:hint="default"/>
                <w:b w:val="0"/>
                <w:bCs w:val="0"/>
                <w:color w:val="auto"/>
              </w:rPr>
              <w:t>做好应急处置。防止消防废水进入雨水管网的措施说明</w:t>
            </w:r>
            <w:r>
              <w:rPr>
                <w:rFonts w:hint="eastAsia"/>
                <w:b w:val="0"/>
                <w:bCs w:val="0"/>
                <w:color w:val="auto"/>
                <w:lang w:eastAsia="zh-CN"/>
              </w:rPr>
              <w:t>：</w:t>
            </w:r>
            <w:r>
              <w:rPr>
                <w:rFonts w:hint="default"/>
                <w:b w:val="0"/>
                <w:bCs w:val="0"/>
                <w:color w:val="auto"/>
              </w:rPr>
              <w:t>产生消防废水流出室外时</w:t>
            </w:r>
            <w:r>
              <w:rPr>
                <w:rFonts w:hint="eastAsia"/>
                <w:b w:val="0"/>
                <w:bCs w:val="0"/>
                <w:color w:val="auto"/>
                <w:lang w:eastAsia="zh-CN"/>
              </w:rPr>
              <w:t>，</w:t>
            </w:r>
            <w:r>
              <w:rPr>
                <w:rFonts w:hint="default"/>
                <w:b w:val="0"/>
                <w:bCs w:val="0"/>
                <w:color w:val="auto"/>
              </w:rPr>
              <w:t>需及时用消防沙袋对废水进行截留或堵住雨水井</w:t>
            </w:r>
            <w:r>
              <w:rPr>
                <w:rFonts w:hint="eastAsia"/>
                <w:b w:val="0"/>
                <w:bCs w:val="0"/>
                <w:color w:val="auto"/>
                <w:lang w:eastAsia="zh-CN"/>
              </w:rPr>
              <w:t>，</w:t>
            </w:r>
            <w:r>
              <w:rPr>
                <w:rFonts w:hint="default"/>
                <w:b w:val="0"/>
                <w:bCs w:val="0"/>
                <w:color w:val="auto"/>
              </w:rPr>
              <w:t>防止消防废水进入雨水管网。</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b w:val="0"/>
                <w:bCs w:val="0"/>
                <w:caps w:val="0"/>
                <w:color w:val="auto"/>
                <w:kern w:val="2"/>
                <w:sz w:val="24"/>
                <w:szCs w:val="24"/>
                <w:lang w:val="en-US" w:eastAsia="zh-CN" w:bidi="ar-SA"/>
              </w:rPr>
            </w:pPr>
            <w:r>
              <w:rPr>
                <w:rFonts w:hint="eastAsia" w:ascii="Times New Roman" w:hAnsi="Times New Roman" w:eastAsia="宋体" w:cs="Times New Roman"/>
                <w:b/>
                <w:bCs/>
                <w:caps w:val="0"/>
                <w:color w:val="auto"/>
                <w:kern w:val="2"/>
                <w:sz w:val="24"/>
                <w:szCs w:val="24"/>
                <w:lang w:val="en-US" w:eastAsia="zh-CN" w:bidi="ar-SA"/>
              </w:rPr>
              <w:t>生物安全柜</w:t>
            </w:r>
            <w:r>
              <w:rPr>
                <w:rFonts w:hint="eastAsia" w:ascii="Times New Roman" w:hAnsi="Times New Roman" w:eastAsia="宋体" w:cs="Times New Roman"/>
                <w:b w:val="0"/>
                <w:bCs w:val="0"/>
                <w:caps w:val="0"/>
                <w:color w:val="auto"/>
                <w:kern w:val="2"/>
                <w:sz w:val="24"/>
                <w:szCs w:val="24"/>
                <w:lang w:val="en-US" w:eastAsia="zh-CN" w:bidi="ar-SA"/>
              </w:rPr>
              <w:t>位于细胞实验室1，主要进行细胞实验，本项目不涉及微生物实验，无生物实验室评级要求</w:t>
            </w:r>
            <w:r>
              <w:rPr>
                <w:rFonts w:hint="eastAsia" w:ascii="Times New Roman" w:hAnsi="Times New Roman" w:cs="Times New Roman"/>
                <w:b w:val="0"/>
                <w:bCs w:val="0"/>
                <w:caps w:val="0"/>
                <w:color w:val="auto"/>
                <w:kern w:val="2"/>
                <w:sz w:val="24"/>
                <w:szCs w:val="24"/>
                <w:lang w:val="en-US" w:eastAsia="zh-CN" w:bidi="ar-SA"/>
              </w:rPr>
              <w:t>。</w:t>
            </w:r>
            <w:r>
              <w:rPr>
                <w:rFonts w:hint="eastAsia" w:ascii="Times New Roman" w:hAnsi="Times New Roman" w:eastAsia="宋体" w:cs="Times New Roman"/>
                <w:b w:val="0"/>
                <w:bCs w:val="0"/>
                <w:caps w:val="0"/>
                <w:color w:val="auto"/>
                <w:kern w:val="2"/>
                <w:sz w:val="24"/>
                <w:szCs w:val="24"/>
                <w:lang w:val="en-US" w:eastAsia="zh-CN" w:bidi="ar-SA"/>
              </w:rPr>
              <w:t>日常使用过程中规范</w:t>
            </w:r>
            <w:r>
              <w:rPr>
                <w:rFonts w:hint="eastAsia" w:ascii="Times New Roman" w:hAnsi="Times New Roman" w:cs="Times New Roman"/>
                <w:b w:val="0"/>
                <w:bCs w:val="0"/>
                <w:caps w:val="0"/>
                <w:color w:val="auto"/>
                <w:kern w:val="2"/>
                <w:sz w:val="24"/>
                <w:szCs w:val="24"/>
                <w:lang w:val="en-US" w:eastAsia="zh-CN" w:bidi="ar-SA"/>
              </w:rPr>
              <w:t>实验</w:t>
            </w:r>
            <w:r>
              <w:rPr>
                <w:rFonts w:hint="eastAsia" w:ascii="Times New Roman" w:hAnsi="Times New Roman" w:eastAsia="宋体" w:cs="Times New Roman"/>
                <w:b w:val="0"/>
                <w:bCs w:val="0"/>
                <w:caps w:val="0"/>
                <w:color w:val="auto"/>
                <w:kern w:val="2"/>
                <w:sz w:val="24"/>
                <w:szCs w:val="24"/>
                <w:lang w:val="en-US" w:eastAsia="zh-CN" w:bidi="ar-SA"/>
              </w:rPr>
              <w:t>操作，</w:t>
            </w:r>
            <w:r>
              <w:rPr>
                <w:rFonts w:hint="default" w:ascii="Times New Roman" w:hAnsi="Times New Roman" w:eastAsia="宋体" w:cs="Times New Roman"/>
                <w:b w:val="0"/>
                <w:bCs w:val="0"/>
                <w:caps w:val="0"/>
                <w:color w:val="auto"/>
                <w:kern w:val="2"/>
                <w:sz w:val="24"/>
                <w:szCs w:val="24"/>
                <w:lang w:val="en-US" w:eastAsia="zh-CN" w:bidi="ar-SA"/>
              </w:rPr>
              <w:t>操作前应将本次操作所需的全部物品移入安全柜，防止双臂频频穿过气幕损坏气流；并且在移入前用75%酒精擦洗外表消毒，以去除污染</w:t>
            </w:r>
            <w:r>
              <w:rPr>
                <w:rFonts w:hint="eastAsia" w:ascii="Times New Roman" w:hAnsi="Times New Roman"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操作前应将本次操作所需的全部物品移入安全柜，防止双臂频频穿过气幕损坏气流；并且在移入前用75%酒精擦洗外表消毒，以去除污染。作业完结后，封闭玻璃窗，坚持风机持续作业10～15分钟，紫外</w:t>
            </w:r>
            <w:r>
              <w:rPr>
                <w:rFonts w:hint="eastAsia" w:ascii="Times New Roman" w:hAnsi="Times New Roman" w:cs="Times New Roman"/>
                <w:b w:val="0"/>
                <w:bCs w:val="0"/>
                <w:caps w:val="0"/>
                <w:color w:val="auto"/>
                <w:kern w:val="2"/>
                <w:sz w:val="24"/>
                <w:szCs w:val="24"/>
                <w:lang w:val="en-US" w:eastAsia="zh-CN" w:bidi="ar-SA"/>
              </w:rPr>
              <w:t>消毒</w:t>
            </w:r>
            <w:r>
              <w:rPr>
                <w:rFonts w:hint="default" w:ascii="Times New Roman" w:hAnsi="Times New Roman" w:eastAsia="宋体" w:cs="Times New Roman"/>
                <w:b w:val="0"/>
                <w:bCs w:val="0"/>
                <w:caps w:val="0"/>
                <w:color w:val="auto"/>
                <w:kern w:val="2"/>
                <w:sz w:val="24"/>
                <w:szCs w:val="24"/>
                <w:lang w:val="en-US" w:eastAsia="zh-CN" w:bidi="ar-SA"/>
              </w:rPr>
              <w:t>灯</w:t>
            </w:r>
            <w:r>
              <w:rPr>
                <w:rFonts w:hint="eastAsia" w:ascii="Times New Roman" w:hAnsi="Times New Roman" w:cs="Times New Roman"/>
                <w:b w:val="0"/>
                <w:bCs w:val="0"/>
                <w:caps w:val="0"/>
                <w:color w:val="auto"/>
                <w:kern w:val="2"/>
                <w:sz w:val="24"/>
                <w:szCs w:val="24"/>
                <w:lang w:val="en-US" w:eastAsia="zh-CN" w:bidi="ar-SA"/>
              </w:rPr>
              <w:t>消毒</w:t>
            </w:r>
            <w:r>
              <w:rPr>
                <w:rFonts w:hint="default" w:ascii="Times New Roman" w:hAnsi="Times New Roman" w:eastAsia="宋体" w:cs="Times New Roman"/>
                <w:b w:val="0"/>
                <w:bCs w:val="0"/>
                <w:caps w:val="0"/>
                <w:color w:val="auto"/>
                <w:kern w:val="2"/>
                <w:sz w:val="24"/>
                <w:szCs w:val="24"/>
                <w:lang w:val="en-US" w:eastAsia="zh-CN" w:bidi="ar-SA"/>
              </w:rPr>
              <w:t>30分钟</w:t>
            </w:r>
            <w:r>
              <w:rPr>
                <w:rFonts w:hint="eastAsia" w:ascii="Times New Roman" w:hAnsi="Times New Roman" w:cs="Times New Roman"/>
                <w:b w:val="0"/>
                <w:bCs w:val="0"/>
                <w:caps w:val="0"/>
                <w:color w:val="auto"/>
                <w:kern w:val="2"/>
                <w:sz w:val="24"/>
                <w:szCs w:val="24"/>
                <w:lang w:val="en-US" w:eastAsia="zh-CN" w:bidi="ar-SA"/>
              </w:rPr>
              <w:t>。如果在操作中出现外溢生物样本，一定要立马使用消毒剂进行严格的消毒清洁。</w:t>
            </w:r>
          </w:p>
          <w:p>
            <w:pPr>
              <w:adjustRightInd w:val="0"/>
              <w:ind w:firstLine="482" w:firstLineChars="200"/>
              <w:rPr>
                <w:rFonts w:hint="eastAsia"/>
                <w:color w:val="auto"/>
                <w:lang w:val="en-US" w:eastAsia="zh-CN"/>
              </w:rPr>
            </w:pPr>
            <w:r>
              <w:rPr>
                <w:rFonts w:hint="eastAsia"/>
                <w:b/>
                <w:bCs/>
                <w:color w:val="auto"/>
                <w:lang w:val="en-US" w:eastAsia="zh-CN"/>
              </w:rPr>
              <w:t>环境风险管理：</w:t>
            </w:r>
            <w:r>
              <w:rPr>
                <w:rFonts w:hint="eastAsia"/>
                <w:color w:val="auto"/>
                <w:lang w:val="en-US" w:eastAsia="zh-CN"/>
              </w:rPr>
              <w:t>加强化学品管理，化学品由实验室集中采购、储存和供应；建立化学品定期汇总登记制度，登记汇总的化学品种类和数量存档、备查；科学管理化学品，应根据化学品性能，分区、分类别存放，各类化学品不得与禁忌物料混合存放。</w:t>
            </w:r>
          </w:p>
          <w:p>
            <w:pPr>
              <w:adjustRightInd w:val="0"/>
              <w:ind w:firstLine="480" w:firstLineChars="200"/>
              <w:rPr>
                <w:rFonts w:hint="eastAsia"/>
                <w:color w:val="auto"/>
                <w:lang w:val="en-US" w:eastAsia="zh-CN"/>
              </w:rPr>
            </w:pPr>
            <w:r>
              <w:rPr>
                <w:rFonts w:hint="eastAsia"/>
                <w:color w:val="auto"/>
                <w:lang w:val="en-US" w:eastAsia="zh-CN"/>
              </w:rPr>
              <w:t>实验废液产生后应及时按照要求把危险废物转移到危险废物暂存区，做好废 液桶的妥善管理，同时按照要求粘贴废物标签，禁止私自转移。</w:t>
            </w:r>
          </w:p>
          <w:p>
            <w:pPr>
              <w:adjustRightInd w:val="0"/>
              <w:ind w:firstLine="480" w:firstLineChars="200"/>
              <w:rPr>
                <w:rFonts w:hint="eastAsia"/>
                <w:color w:val="auto"/>
                <w:lang w:val="en-US" w:eastAsia="zh-CN"/>
              </w:rPr>
            </w:pPr>
            <w:r>
              <w:rPr>
                <w:rFonts w:hint="eastAsia"/>
                <w:color w:val="auto"/>
                <w:lang w:val="en-US" w:eastAsia="zh-CN"/>
              </w:rPr>
              <w:t>危险废物运输和装卸过程中应遵守如下技术要求：①卸载区的工作人员应熟 悉废物的危险特性，并配备适当的个人防护装备；②卸载区应配备必要的消防设备和设施，并设置明显的指示标志。</w:t>
            </w:r>
          </w:p>
          <w:p>
            <w:pPr>
              <w:adjustRightInd w:val="0"/>
              <w:ind w:firstLine="480" w:firstLineChars="200"/>
              <w:rPr>
                <w:rFonts w:hint="eastAsia"/>
                <w:color w:val="auto"/>
                <w:lang w:val="en-US" w:eastAsia="zh-CN"/>
              </w:rPr>
            </w:pPr>
            <w:r>
              <w:rPr>
                <w:rFonts w:hint="eastAsia"/>
                <w:color w:val="auto"/>
                <w:lang w:val="en-US" w:eastAsia="zh-CN"/>
              </w:rPr>
              <w:t>采取以上风险防范措施后可以有效降低环境风险事故的发生概率。</w:t>
            </w:r>
          </w:p>
          <w:p>
            <w:pPr>
              <w:ind w:left="480" w:leftChars="200"/>
              <w:rPr>
                <w:rFonts w:hint="eastAsia"/>
                <w:b/>
                <w:bCs/>
                <w:color w:val="auto"/>
                <w:lang w:val="en-US" w:eastAsia="zh-CN"/>
              </w:rPr>
            </w:pPr>
            <w:r>
              <w:rPr>
                <w:rFonts w:hint="eastAsia"/>
                <w:b/>
                <w:bCs/>
                <w:color w:val="auto"/>
                <w:lang w:val="en-US" w:eastAsia="zh-CN"/>
              </w:rPr>
              <w:t>4.7.4突发环境事件应急预案编制要求</w:t>
            </w:r>
          </w:p>
          <w:p>
            <w:pPr>
              <w:adjustRightInd w:val="0"/>
              <w:ind w:firstLine="480" w:firstLineChars="200"/>
              <w:rPr>
                <w:rFonts w:hint="default"/>
                <w:color w:val="auto"/>
                <w:lang w:val="en-US" w:eastAsia="zh-CN"/>
              </w:rPr>
            </w:pPr>
            <w:r>
              <w:rPr>
                <w:rFonts w:hint="default"/>
                <w:color w:val="auto"/>
                <w:lang w:val="en-US" w:eastAsia="zh-CN"/>
              </w:rPr>
              <w:t>根据《突发环境事件应急管理办法》（</w:t>
            </w:r>
            <w:r>
              <w:rPr>
                <w:rFonts w:hint="eastAsia"/>
                <w:color w:val="auto"/>
                <w:lang w:val="en-US" w:eastAsia="zh-CN"/>
              </w:rPr>
              <w:t>生态环境部</w:t>
            </w:r>
            <w:r>
              <w:rPr>
                <w:rFonts w:hint="default"/>
                <w:color w:val="auto"/>
                <w:lang w:val="en-US" w:eastAsia="zh-CN"/>
              </w:rPr>
              <w:t>令第34号）、《企业事业单位突发环境事件应急预案备案管理办法（试行）》（环发[2015]4号）、《企业事业单位突发环境事件应急预案评审工作指南（试行）》的通知（环办应急[2018]8 号）、《关于进一步加强环境影响评价管理防范环境风险的通知》（环发[2012]77号）等的规定和要求，企业应结合自身特点在项目建成后按照以上文件的要求组织编制《企业突发环境事件应急预案》</w:t>
            </w:r>
            <w:r>
              <w:rPr>
                <w:rFonts w:hint="eastAsia"/>
                <w:color w:val="auto"/>
                <w:lang w:val="en-US" w:eastAsia="zh-CN"/>
              </w:rPr>
              <w:t>。</w:t>
            </w:r>
          </w:p>
          <w:p>
            <w:pPr>
              <w:ind w:left="480" w:leftChars="200"/>
              <w:rPr>
                <w:rFonts w:hint="eastAsia"/>
                <w:b/>
                <w:bCs/>
                <w:color w:val="auto"/>
                <w:lang w:val="en-US" w:eastAsia="zh-CN"/>
              </w:rPr>
            </w:pPr>
            <w:r>
              <w:rPr>
                <w:rFonts w:hint="eastAsia"/>
                <w:b/>
                <w:bCs/>
                <w:color w:val="auto"/>
                <w:lang w:val="en-US" w:eastAsia="zh-CN"/>
              </w:rPr>
              <w:t>4.7.5结论</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根据以上分析，</w:t>
            </w:r>
            <w:r>
              <w:rPr>
                <w:rFonts w:hint="default" w:ascii="Times New Roman" w:hAnsi="Times New Roman" w:eastAsia="宋体" w:cs="Times New Roman"/>
                <w:color w:val="auto"/>
                <w:kern w:val="2"/>
                <w:sz w:val="24"/>
                <w:szCs w:val="24"/>
                <w:lang w:val="en-US" w:eastAsia="zh-CN" w:bidi="ar-SA"/>
              </w:rPr>
              <w:t>本项目</w:t>
            </w:r>
            <w:r>
              <w:rPr>
                <w:rFonts w:hint="eastAsia" w:ascii="Times New Roman" w:hAnsi="Times New Roman" w:eastAsia="宋体" w:cs="Times New Roman"/>
                <w:color w:val="auto"/>
                <w:kern w:val="2"/>
                <w:sz w:val="24"/>
                <w:szCs w:val="24"/>
                <w:lang w:val="en-US" w:eastAsia="zh-CN" w:bidi="ar-SA"/>
              </w:rPr>
              <w:t>病理实验室、危废暂存间、细胞房、手术室存在潜在风险，建设单位安全贮存、使用的规章制度和规程，加强日常的安全检查。因此，对于本项目可能发生的风险物质若遇明火发生火灾造成的次生</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伴生影响，建设单位可采取相应的应急措施。本项目在落实各项事故防范措施、应急措施的基础上，本项目的环境风险可以防控。</w:t>
            </w: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p>
            <w:pPr>
              <w:pStyle w:val="2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outlineLvl w:val="0"/>
              <w:rPr>
                <w:rFonts w:hint="eastAsia" w:ascii="Times New Roman" w:hAnsi="Times New Roman" w:eastAsia="宋体" w:cs="Times New Roman"/>
                <w:color w:val="auto"/>
                <w:kern w:val="2"/>
                <w:sz w:val="24"/>
                <w:szCs w:val="24"/>
                <w:lang w:val="en-US" w:eastAsia="zh-CN" w:bidi="ar-SA"/>
              </w:rPr>
            </w:pP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hint="eastAsia" w:ascii="黑体" w:hAnsi="黑体" w:eastAsia="黑体"/>
          <w:snapToGrid w:val="0"/>
          <w:color w:val="auto"/>
          <w:sz w:val="30"/>
          <w:szCs w:val="30"/>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jc w:val="both"/>
        <w:textAlignment w:val="auto"/>
        <w:outlineLvl w:val="0"/>
        <w:rPr>
          <w:rFonts w:ascii="黑体" w:hAnsi="黑体" w:eastAsia="黑体"/>
          <w:snapToGrid w:val="0"/>
          <w:color w:val="auto"/>
          <w:sz w:val="30"/>
          <w:szCs w:val="30"/>
        </w:rPr>
      </w:pPr>
      <w:r>
        <w:rPr>
          <w:rFonts w:hint="eastAsia" w:ascii="黑体" w:hAnsi="黑体" w:eastAsia="黑体"/>
          <w:snapToGrid w:val="0"/>
          <w:color w:val="auto"/>
          <w:sz w:val="30"/>
          <w:szCs w:val="30"/>
        </w:rPr>
        <w:t>五、</w:t>
      </w:r>
      <w:bookmarkStart w:id="5" w:name="_Hlk54167917"/>
      <w:r>
        <w:rPr>
          <w:rFonts w:hint="eastAsia" w:ascii="黑体" w:hAnsi="黑体" w:eastAsia="黑体"/>
          <w:snapToGrid w:val="0"/>
          <w:color w:val="auto"/>
          <w:sz w:val="30"/>
          <w:szCs w:val="30"/>
        </w:rPr>
        <w:t>环境保护措施监督检查清单</w:t>
      </w:r>
      <w:bookmarkEnd w:id="5"/>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1"/>
        <w:gridCol w:w="1537"/>
        <w:gridCol w:w="1449"/>
        <w:gridCol w:w="2255"/>
        <w:gridCol w:w="23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2" w:hRule="atLeast"/>
          <w:jc w:val="center"/>
        </w:trPr>
        <w:tc>
          <w:tcPr>
            <w:tcW w:w="1161" w:type="dxa"/>
            <w:tcBorders>
              <w:tl2br w:val="single" w:color="auto" w:sz="4" w:space="0"/>
            </w:tcBorders>
            <w:noWrap w:val="0"/>
            <w:vAlign w:val="top"/>
          </w:tcPr>
          <w:p>
            <w:pPr>
              <w:keepLines w:val="0"/>
              <w:pageBreakBefore w:val="0"/>
              <w:widowControl w:val="0"/>
              <w:kinsoku/>
              <w:wordWrap/>
              <w:topLinePunct w:val="0"/>
              <w:autoSpaceDE/>
              <w:autoSpaceDN/>
              <w:bidi w:val="0"/>
              <w:adjustRightInd w:val="0"/>
              <w:snapToGrid w:val="0"/>
              <w:spacing w:line="240" w:lineRule="auto"/>
              <w:ind w:firstLine="241" w:firstLineChars="1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pPr>
              <w:pStyle w:val="3"/>
              <w:keepLines w:val="0"/>
              <w:pageBreakBefore w:val="0"/>
              <w:widowControl w:val="0"/>
              <w:kinsoku/>
              <w:wordWrap/>
              <w:topLinePunct w:val="0"/>
              <w:autoSpaceDE/>
              <w:autoSpaceDN/>
              <w:bidi w:val="0"/>
              <w:spacing w:line="240" w:lineRule="auto"/>
              <w:rPr>
                <w:rFonts w:hint="default" w:ascii="Times New Roman" w:hAnsi="Times New Roman" w:cs="Times New Roman"/>
                <w:color w:val="auto"/>
                <w:sz w:val="24"/>
                <w:szCs w:val="24"/>
              </w:rPr>
            </w:pPr>
          </w:p>
          <w:p>
            <w:pPr>
              <w:keepLines w:val="0"/>
              <w:pageBreakBefore w:val="0"/>
              <w:widowControl w:val="0"/>
              <w:kinsoku/>
              <w:wordWrap/>
              <w:topLinePunct w:val="0"/>
              <w:autoSpaceDE/>
              <w:autoSpaceDN/>
              <w:bidi w:val="0"/>
              <w:adjustRightInd w:val="0"/>
              <w:snapToGrid w:val="0"/>
              <w:spacing w:line="24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537"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排放口(编号、名称)/污染源</w:t>
            </w:r>
          </w:p>
        </w:tc>
        <w:tc>
          <w:tcPr>
            <w:tcW w:w="1449"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2255"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2398"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大气环境</w:t>
            </w:r>
          </w:p>
        </w:tc>
        <w:tc>
          <w:tcPr>
            <w:tcW w:w="1537"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P1排气筒</w:t>
            </w:r>
          </w:p>
        </w:tc>
        <w:tc>
          <w:tcPr>
            <w:tcW w:w="1449" w:type="dxa"/>
            <w:noWrap w:val="0"/>
            <w:vAlign w:val="center"/>
          </w:tcPr>
          <w:p>
            <w:pPr>
              <w:pStyle w:val="84"/>
              <w:bidi w:val="0"/>
              <w:ind w:firstLine="0" w:firstLineChars="0"/>
              <w:rPr>
                <w:rFonts w:hint="default" w:ascii="Times New Roman" w:hAnsi="Times New Roman" w:cs="Times New Roman"/>
                <w:color w:val="auto"/>
                <w:sz w:val="24"/>
                <w:szCs w:val="24"/>
                <w:lang w:val="en-US" w:eastAsia="zh-CN"/>
              </w:rPr>
            </w:pPr>
            <w:r>
              <w:rPr>
                <w:rFonts w:hint="eastAsia"/>
                <w:color w:val="auto"/>
                <w:sz w:val="24"/>
                <w:szCs w:val="24"/>
              </w:rPr>
              <w:t>TRVOC</w:t>
            </w:r>
          </w:p>
        </w:tc>
        <w:tc>
          <w:tcPr>
            <w:tcW w:w="2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实验废气通风橱</w:t>
            </w:r>
            <w:r>
              <w:rPr>
                <w:rFonts w:hint="default" w:ascii="Times New Roman" w:hAnsi="Times New Roman" w:cs="Times New Roman"/>
                <w:color w:val="auto"/>
                <w:sz w:val="24"/>
                <w:szCs w:val="24"/>
                <w:lang w:val="en-US" w:eastAsia="zh-CN"/>
              </w:rPr>
              <w:t>收集，</w:t>
            </w:r>
            <w:r>
              <w:rPr>
                <w:rFonts w:hint="eastAsia" w:cs="Times New Roman"/>
                <w:color w:val="auto"/>
                <w:sz w:val="24"/>
                <w:szCs w:val="24"/>
                <w:lang w:val="en-US" w:eastAsia="zh-CN"/>
              </w:rPr>
              <w:t>动物饲养间废气经洁净车间整体收集，经</w:t>
            </w:r>
            <w:r>
              <w:rPr>
                <w:rFonts w:hint="default" w:ascii="Times New Roman" w:hAnsi="Times New Roman" w:cs="Times New Roman"/>
                <w:color w:val="auto"/>
                <w:sz w:val="24"/>
                <w:szCs w:val="24"/>
                <w:lang w:val="en-US" w:eastAsia="zh-CN"/>
              </w:rPr>
              <w:t>活性炭</w:t>
            </w:r>
            <w:r>
              <w:rPr>
                <w:rFonts w:hint="eastAsia" w:cs="Times New Roman"/>
                <w:color w:val="auto"/>
                <w:sz w:val="24"/>
                <w:szCs w:val="24"/>
                <w:lang w:val="en-US" w:eastAsia="zh-CN"/>
              </w:rPr>
              <w:t>吸附装置</w:t>
            </w:r>
            <w:r>
              <w:rPr>
                <w:rFonts w:hint="default" w:ascii="Times New Roman" w:hAnsi="Times New Roman" w:cs="Times New Roman"/>
                <w:color w:val="auto"/>
                <w:sz w:val="24"/>
                <w:szCs w:val="24"/>
                <w:lang w:val="en-US" w:eastAsia="zh-CN"/>
              </w:rPr>
              <w:t>处理通过1根</w:t>
            </w:r>
            <w:r>
              <w:rPr>
                <w:rFonts w:hint="eastAsia" w:cs="Times New Roman"/>
                <w:color w:val="auto"/>
                <w:sz w:val="24"/>
                <w:szCs w:val="24"/>
                <w:lang w:val="en-US" w:eastAsia="zh-CN"/>
              </w:rPr>
              <w:t>20</w:t>
            </w:r>
            <w:r>
              <w:rPr>
                <w:rFonts w:hint="default" w:ascii="Times New Roman" w:hAnsi="Times New Roman" w:cs="Times New Roman"/>
                <w:color w:val="auto"/>
                <w:sz w:val="24"/>
                <w:szCs w:val="24"/>
                <w:lang w:val="en-US" w:eastAsia="zh-CN"/>
              </w:rPr>
              <w:t>米高排气筒P1排放。</w:t>
            </w:r>
          </w:p>
        </w:tc>
        <w:tc>
          <w:tcPr>
            <w:tcW w:w="2398" w:type="dxa"/>
            <w:vMerge w:val="restart"/>
            <w:noWrap w:val="0"/>
            <w:vAlign w:val="center"/>
          </w:tcPr>
          <w:p>
            <w:pPr>
              <w:pStyle w:val="84"/>
              <w:bidi w:val="0"/>
              <w:rPr>
                <w:rFonts w:hint="default" w:ascii="Times New Roman" w:hAnsi="Times New Roman" w:eastAsia="宋体" w:cs="Times New Roman"/>
                <w:color w:val="auto"/>
                <w:kern w:val="0"/>
                <w:sz w:val="24"/>
                <w:szCs w:val="24"/>
              </w:rPr>
            </w:pPr>
            <w:r>
              <w:rPr>
                <w:rFonts w:hint="eastAsia"/>
                <w:color w:val="auto"/>
                <w:sz w:val="24"/>
                <w:szCs w:val="24"/>
              </w:rPr>
              <w:t>《工业企业挥发性有机物排放控制标准》（DB12/524-2020）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15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1449" w:type="dxa"/>
            <w:noWrap w:val="0"/>
            <w:vAlign w:val="center"/>
          </w:tcPr>
          <w:p>
            <w:pPr>
              <w:pStyle w:val="84"/>
              <w:bidi w:val="0"/>
              <w:ind w:firstLine="0" w:firstLineChars="0"/>
              <w:rPr>
                <w:rFonts w:hint="default" w:ascii="Times New Roman" w:hAnsi="Times New Roman" w:cs="Times New Roman"/>
                <w:color w:val="auto"/>
                <w:sz w:val="24"/>
                <w:szCs w:val="24"/>
                <w:lang w:val="en-US" w:eastAsia="zh-CN"/>
              </w:rPr>
            </w:pPr>
            <w:r>
              <w:rPr>
                <w:rFonts w:hint="eastAsia"/>
                <w:color w:val="auto"/>
                <w:sz w:val="24"/>
                <w:szCs w:val="24"/>
              </w:rPr>
              <w:t>非甲烷总烃</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1537"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1449" w:type="dxa"/>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lang w:val="en-US" w:eastAsia="zh-CN"/>
              </w:rPr>
              <w:t>二甲苯</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jc w:val="center"/>
              <w:textAlignment w:val="auto"/>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61" w:type="dxa"/>
            <w:vMerge w:val="continue"/>
            <w:noWrap w:val="0"/>
            <w:vAlign w:val="center"/>
          </w:tcPr>
          <w:p>
            <w:pPr>
              <w:pStyle w:val="84"/>
              <w:bidi w:val="0"/>
              <w:ind w:firstLine="0" w:firstLineChars="0"/>
              <w:rPr>
                <w:color w:val="auto"/>
                <w:sz w:val="24"/>
                <w:szCs w:val="24"/>
              </w:rPr>
            </w:pPr>
          </w:p>
        </w:tc>
        <w:tc>
          <w:tcPr>
            <w:tcW w:w="1537" w:type="dxa"/>
            <w:vMerge w:val="continue"/>
            <w:noWrap w:val="0"/>
            <w:vAlign w:val="center"/>
          </w:tcPr>
          <w:p>
            <w:pPr>
              <w:pStyle w:val="84"/>
              <w:bidi w:val="0"/>
              <w:ind w:firstLine="0" w:firstLineChars="0"/>
              <w:rPr>
                <w:color w:val="auto"/>
                <w:sz w:val="24"/>
                <w:szCs w:val="24"/>
              </w:rPr>
            </w:pPr>
          </w:p>
        </w:tc>
        <w:tc>
          <w:tcPr>
            <w:tcW w:w="1449" w:type="dxa"/>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lang w:val="en-US" w:eastAsia="zh-CN"/>
              </w:rPr>
              <w:t>甲醇</w:t>
            </w:r>
          </w:p>
        </w:tc>
        <w:tc>
          <w:tcPr>
            <w:tcW w:w="2255" w:type="dxa"/>
            <w:vMerge w:val="continue"/>
            <w:noWrap w:val="0"/>
            <w:vAlign w:val="center"/>
          </w:tcPr>
          <w:p>
            <w:pPr>
              <w:pStyle w:val="84"/>
              <w:bidi w:val="0"/>
              <w:ind w:firstLine="0" w:firstLineChars="0"/>
              <w:rPr>
                <w:rFonts w:hint="eastAsia"/>
                <w:color w:val="auto"/>
                <w:sz w:val="24"/>
                <w:szCs w:val="24"/>
                <w:lang w:val="en-US" w:eastAsia="zh-CN"/>
              </w:rPr>
            </w:pPr>
          </w:p>
        </w:tc>
        <w:tc>
          <w:tcPr>
            <w:tcW w:w="2398" w:type="dxa"/>
            <w:vMerge w:val="restart"/>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rPr>
              <w:t>《</w:t>
            </w:r>
            <w:r>
              <w:rPr>
                <w:rFonts w:hint="eastAsia"/>
                <w:color w:val="auto"/>
                <w:sz w:val="24"/>
                <w:szCs w:val="24"/>
                <w:lang w:eastAsia="zh-CN"/>
              </w:rPr>
              <w:t>大气污染物综合</w:t>
            </w:r>
            <w:r>
              <w:rPr>
                <w:rFonts w:hint="eastAsia"/>
                <w:color w:val="auto"/>
                <w:sz w:val="24"/>
                <w:szCs w:val="24"/>
              </w:rPr>
              <w:t>排放标准》（</w:t>
            </w:r>
            <w:r>
              <w:rPr>
                <w:rFonts w:hint="eastAsia"/>
                <w:color w:val="auto"/>
                <w:sz w:val="24"/>
                <w:szCs w:val="24"/>
                <w:lang w:val="en-US" w:eastAsia="zh-CN"/>
              </w:rPr>
              <w:t>GB16297-1996</w:t>
            </w:r>
            <w:r>
              <w:rPr>
                <w:rFonts w:hint="eastAsia"/>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61" w:type="dxa"/>
            <w:vMerge w:val="continue"/>
            <w:noWrap w:val="0"/>
            <w:vAlign w:val="center"/>
          </w:tcPr>
          <w:p>
            <w:pPr>
              <w:pStyle w:val="84"/>
              <w:bidi w:val="0"/>
              <w:ind w:firstLine="0" w:firstLineChars="0"/>
              <w:rPr>
                <w:color w:val="auto"/>
                <w:sz w:val="24"/>
                <w:szCs w:val="24"/>
              </w:rPr>
            </w:pPr>
          </w:p>
        </w:tc>
        <w:tc>
          <w:tcPr>
            <w:tcW w:w="1537" w:type="dxa"/>
            <w:vMerge w:val="continue"/>
            <w:noWrap w:val="0"/>
            <w:vAlign w:val="center"/>
          </w:tcPr>
          <w:p>
            <w:pPr>
              <w:pStyle w:val="84"/>
              <w:bidi w:val="0"/>
              <w:ind w:firstLine="0" w:firstLineChars="0"/>
              <w:rPr>
                <w:color w:val="auto"/>
                <w:sz w:val="24"/>
                <w:szCs w:val="24"/>
              </w:rPr>
            </w:pPr>
          </w:p>
        </w:tc>
        <w:tc>
          <w:tcPr>
            <w:tcW w:w="1449" w:type="dxa"/>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lang w:val="en-US" w:eastAsia="zh-CN"/>
              </w:rPr>
              <w:t>氯化氢</w:t>
            </w:r>
          </w:p>
        </w:tc>
        <w:tc>
          <w:tcPr>
            <w:tcW w:w="2255" w:type="dxa"/>
            <w:vMerge w:val="continue"/>
            <w:noWrap w:val="0"/>
            <w:vAlign w:val="center"/>
          </w:tcPr>
          <w:p>
            <w:pPr>
              <w:pStyle w:val="84"/>
              <w:bidi w:val="0"/>
              <w:ind w:firstLine="0" w:firstLineChars="0"/>
              <w:rPr>
                <w:rFonts w:hint="eastAsia"/>
                <w:color w:val="auto"/>
                <w:sz w:val="24"/>
                <w:szCs w:val="24"/>
                <w:lang w:val="en-US" w:eastAsia="zh-CN"/>
              </w:rPr>
            </w:pPr>
          </w:p>
        </w:tc>
        <w:tc>
          <w:tcPr>
            <w:tcW w:w="2398" w:type="dxa"/>
            <w:vMerge w:val="continue"/>
            <w:noWrap w:val="0"/>
            <w:vAlign w:val="center"/>
          </w:tcPr>
          <w:p>
            <w:pPr>
              <w:pStyle w:val="84"/>
              <w:bidi w:val="0"/>
              <w:ind w:firstLine="0" w:firstLineChars="0"/>
              <w:rPr>
                <w:rFonts w:hint="eastAsia"/>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61" w:type="dxa"/>
            <w:vMerge w:val="continue"/>
            <w:noWrap w:val="0"/>
            <w:vAlign w:val="center"/>
          </w:tcPr>
          <w:p>
            <w:pPr>
              <w:pStyle w:val="84"/>
              <w:bidi w:val="0"/>
              <w:ind w:firstLine="0" w:firstLineChars="0"/>
              <w:rPr>
                <w:rFonts w:hint="eastAsia"/>
                <w:color w:val="auto"/>
                <w:sz w:val="24"/>
                <w:szCs w:val="24"/>
                <w:lang w:val="en-US" w:eastAsia="zh-CN"/>
              </w:rPr>
            </w:pPr>
          </w:p>
        </w:tc>
        <w:tc>
          <w:tcPr>
            <w:tcW w:w="1537" w:type="dxa"/>
            <w:vMerge w:val="continue"/>
            <w:noWrap w:val="0"/>
            <w:vAlign w:val="center"/>
          </w:tcPr>
          <w:p>
            <w:pPr>
              <w:pStyle w:val="84"/>
              <w:bidi w:val="0"/>
              <w:ind w:firstLine="0" w:firstLineChars="0"/>
              <w:rPr>
                <w:rFonts w:hint="eastAsia"/>
                <w:color w:val="auto"/>
                <w:sz w:val="24"/>
                <w:szCs w:val="24"/>
                <w:lang w:val="en-US" w:eastAsia="zh-CN"/>
              </w:rPr>
            </w:pPr>
          </w:p>
        </w:tc>
        <w:tc>
          <w:tcPr>
            <w:tcW w:w="1449" w:type="dxa"/>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lang w:val="en-US" w:eastAsia="zh-CN"/>
              </w:rPr>
              <w:t>氨</w:t>
            </w:r>
          </w:p>
        </w:tc>
        <w:tc>
          <w:tcPr>
            <w:tcW w:w="2255" w:type="dxa"/>
            <w:vMerge w:val="continue"/>
            <w:noWrap w:val="0"/>
            <w:vAlign w:val="center"/>
          </w:tcPr>
          <w:p>
            <w:pPr>
              <w:pStyle w:val="84"/>
              <w:bidi w:val="0"/>
              <w:ind w:firstLine="0" w:firstLineChars="0"/>
              <w:rPr>
                <w:rFonts w:hint="eastAsia"/>
                <w:color w:val="auto"/>
                <w:sz w:val="24"/>
                <w:szCs w:val="24"/>
                <w:lang w:val="en-US" w:eastAsia="zh-CN"/>
              </w:rPr>
            </w:pPr>
          </w:p>
        </w:tc>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cs="Times New Roman"/>
                <w:color w:val="auto"/>
                <w:sz w:val="24"/>
                <w:szCs w:val="24"/>
                <w:lang w:val="en-US" w:eastAsia="zh-CN"/>
              </w:rPr>
              <w:t>《恶臭污染物排放标准》（DB12/059-2018）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161" w:type="dxa"/>
            <w:vMerge w:val="continue"/>
            <w:noWrap w:val="0"/>
            <w:vAlign w:val="center"/>
          </w:tcPr>
          <w:p>
            <w:pPr>
              <w:pStyle w:val="84"/>
              <w:bidi w:val="0"/>
              <w:ind w:firstLine="0" w:firstLineChars="0"/>
              <w:rPr>
                <w:rFonts w:hint="eastAsia"/>
                <w:color w:val="auto"/>
                <w:sz w:val="24"/>
                <w:szCs w:val="24"/>
                <w:lang w:val="en-US" w:eastAsia="zh-CN"/>
              </w:rPr>
            </w:pPr>
          </w:p>
        </w:tc>
        <w:tc>
          <w:tcPr>
            <w:tcW w:w="1537" w:type="dxa"/>
            <w:vMerge w:val="continue"/>
            <w:noWrap w:val="0"/>
            <w:vAlign w:val="center"/>
          </w:tcPr>
          <w:p>
            <w:pPr>
              <w:pStyle w:val="84"/>
              <w:bidi w:val="0"/>
              <w:ind w:firstLine="0" w:firstLineChars="0"/>
              <w:rPr>
                <w:rFonts w:hint="eastAsia"/>
                <w:color w:val="auto"/>
                <w:sz w:val="24"/>
                <w:szCs w:val="24"/>
                <w:lang w:val="en-US" w:eastAsia="zh-CN"/>
              </w:rPr>
            </w:pPr>
          </w:p>
        </w:tc>
        <w:tc>
          <w:tcPr>
            <w:tcW w:w="1449" w:type="dxa"/>
            <w:noWrap w:val="0"/>
            <w:vAlign w:val="center"/>
          </w:tcPr>
          <w:p>
            <w:pPr>
              <w:pStyle w:val="84"/>
              <w:bidi w:val="0"/>
              <w:ind w:firstLine="0" w:firstLineChars="0"/>
              <w:rPr>
                <w:rFonts w:hint="eastAsia"/>
                <w:color w:val="auto"/>
                <w:sz w:val="24"/>
                <w:szCs w:val="24"/>
                <w:lang w:val="en-US" w:eastAsia="zh-CN"/>
              </w:rPr>
            </w:pPr>
            <w:r>
              <w:rPr>
                <w:rFonts w:hint="eastAsia"/>
                <w:color w:val="auto"/>
                <w:sz w:val="24"/>
                <w:szCs w:val="24"/>
                <w:lang w:val="en-US" w:eastAsia="zh-CN"/>
              </w:rPr>
              <w:t>硫化氢</w:t>
            </w:r>
          </w:p>
        </w:tc>
        <w:tc>
          <w:tcPr>
            <w:tcW w:w="2255" w:type="dxa"/>
            <w:vMerge w:val="continue"/>
            <w:noWrap w:val="0"/>
            <w:vAlign w:val="center"/>
          </w:tcPr>
          <w:p>
            <w:pPr>
              <w:pStyle w:val="84"/>
              <w:bidi w:val="0"/>
              <w:ind w:firstLine="0" w:firstLineChars="0"/>
              <w:rPr>
                <w:rFonts w:hint="eastAsia"/>
                <w:color w:val="auto"/>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4"/>
                <w:szCs w:val="24"/>
              </w:rPr>
            </w:pPr>
          </w:p>
        </w:tc>
        <w:tc>
          <w:tcPr>
            <w:tcW w:w="153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4"/>
                <w:szCs w:val="24"/>
                <w:lang w:val="en-US" w:eastAsia="zh-CN" w:bidi="ar-SA"/>
              </w:rPr>
            </w:pPr>
          </w:p>
        </w:tc>
        <w:tc>
          <w:tcPr>
            <w:tcW w:w="1449" w:type="dxa"/>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sz w:val="24"/>
                <w:szCs w:val="24"/>
                <w:lang w:val="en-US" w:eastAsia="zh-CN"/>
              </w:rPr>
              <w:t>臭气浓度</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eastAsia="宋体"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4"/>
                <w:szCs w:val="24"/>
              </w:rPr>
            </w:pPr>
          </w:p>
        </w:tc>
        <w:tc>
          <w:tcPr>
            <w:tcW w:w="1537"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4"/>
                <w:szCs w:val="24"/>
                <w:lang w:val="en-US" w:eastAsia="zh-CN" w:bidi="ar-SA"/>
              </w:rPr>
            </w:pPr>
            <w:r>
              <w:rPr>
                <w:rFonts w:hint="eastAsia" w:cs="Times New Roman"/>
                <w:color w:val="auto"/>
                <w:kern w:val="2"/>
                <w:sz w:val="24"/>
                <w:szCs w:val="24"/>
                <w:lang w:val="en-US" w:eastAsia="zh-CN" w:bidi="ar-SA"/>
              </w:rPr>
              <w:t>饲养间无组织</w:t>
            </w:r>
          </w:p>
        </w:tc>
        <w:tc>
          <w:tcPr>
            <w:tcW w:w="1449" w:type="dxa"/>
            <w:noWrap w:val="0"/>
            <w:vAlign w:val="center"/>
          </w:tcPr>
          <w:p>
            <w:pPr>
              <w:pStyle w:val="84"/>
              <w:bidi w:val="0"/>
              <w:ind w:firstLine="0" w:firstLineChars="0"/>
              <w:rPr>
                <w:rFonts w:hint="default" w:ascii="Times New Roman" w:hAnsi="Times New Roman" w:cs="Times New Roman"/>
                <w:color w:val="auto"/>
                <w:sz w:val="24"/>
                <w:szCs w:val="24"/>
                <w:lang w:val="en-US" w:eastAsia="zh-CN"/>
              </w:rPr>
            </w:pPr>
            <w:r>
              <w:rPr>
                <w:rFonts w:hint="eastAsia"/>
                <w:color w:val="auto"/>
                <w:sz w:val="24"/>
                <w:szCs w:val="24"/>
                <w:lang w:val="en-US" w:eastAsia="zh-CN"/>
              </w:rPr>
              <w:t>氨</w:t>
            </w:r>
          </w:p>
        </w:tc>
        <w:tc>
          <w:tcPr>
            <w:tcW w:w="2255" w:type="dxa"/>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4"/>
                <w:szCs w:val="24"/>
                <w:lang w:val="en-US" w:eastAsia="zh-CN"/>
              </w:rPr>
            </w:pPr>
            <w:r>
              <w:rPr>
                <w:rFonts w:hint="eastAsia" w:cs="Times New Roman"/>
                <w:color w:val="auto"/>
                <w:kern w:val="0"/>
                <w:sz w:val="24"/>
                <w:szCs w:val="24"/>
                <w:lang w:val="en-US" w:eastAsia="zh-CN"/>
              </w:rPr>
              <w:t>兔饲养间饲养异味喷洒植物型除臭剂后无组织排放。</w:t>
            </w:r>
          </w:p>
        </w:tc>
        <w:tc>
          <w:tcPr>
            <w:tcW w:w="2398"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cs="Times New Roman"/>
                <w:color w:val="auto"/>
                <w:sz w:val="24"/>
                <w:szCs w:val="24"/>
                <w:lang w:val="en-US" w:eastAsia="zh-CN"/>
              </w:rPr>
              <w:t>《恶臭污染物排放标准》（DB12/059-2018）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4"/>
                <w:szCs w:val="24"/>
              </w:rPr>
            </w:pPr>
          </w:p>
        </w:tc>
        <w:tc>
          <w:tcPr>
            <w:tcW w:w="153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4"/>
                <w:szCs w:val="24"/>
                <w:lang w:val="en-US" w:eastAsia="zh-CN" w:bidi="ar-SA"/>
              </w:rPr>
            </w:pPr>
          </w:p>
        </w:tc>
        <w:tc>
          <w:tcPr>
            <w:tcW w:w="1449" w:type="dxa"/>
            <w:noWrap w:val="0"/>
            <w:vAlign w:val="center"/>
          </w:tcPr>
          <w:p>
            <w:pPr>
              <w:pStyle w:val="84"/>
              <w:bidi w:val="0"/>
              <w:ind w:firstLine="0" w:firstLineChars="0"/>
              <w:rPr>
                <w:rFonts w:hint="default" w:ascii="Times New Roman" w:hAnsi="Times New Roman" w:cs="Times New Roman"/>
                <w:color w:val="auto"/>
                <w:sz w:val="24"/>
                <w:szCs w:val="24"/>
                <w:lang w:val="en-US" w:eastAsia="zh-CN"/>
              </w:rPr>
            </w:pPr>
            <w:r>
              <w:rPr>
                <w:rFonts w:hint="eastAsia"/>
                <w:color w:val="auto"/>
                <w:sz w:val="24"/>
                <w:szCs w:val="24"/>
                <w:lang w:val="en-US" w:eastAsia="zh-CN"/>
              </w:rPr>
              <w:t>硫化氢</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eastAsia="宋体"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kern w:val="0"/>
                <w:sz w:val="24"/>
                <w:szCs w:val="24"/>
              </w:rPr>
            </w:pPr>
          </w:p>
        </w:tc>
        <w:tc>
          <w:tcPr>
            <w:tcW w:w="1537"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2"/>
                <w:sz w:val="24"/>
                <w:szCs w:val="24"/>
                <w:lang w:val="en-US" w:eastAsia="zh-CN" w:bidi="ar-SA"/>
              </w:rPr>
            </w:pPr>
          </w:p>
        </w:tc>
        <w:tc>
          <w:tcPr>
            <w:tcW w:w="1449" w:type="dxa"/>
            <w:noWrap w:val="0"/>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臭气浓度</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4"/>
                <w:szCs w:val="24"/>
                <w:lang w:val="en-US" w:eastAsia="zh-CN"/>
              </w:rPr>
            </w:pPr>
          </w:p>
        </w:tc>
        <w:tc>
          <w:tcPr>
            <w:tcW w:w="2398"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120" w:leftChars="-50"/>
              <w:jc w:val="center"/>
              <w:textAlignment w:val="auto"/>
              <w:rPr>
                <w:rFonts w:hint="default" w:ascii="Times New Roman" w:hAnsi="Times New Roman" w:eastAsia="宋体" w:cs="Times New Roman"/>
                <w:color w:val="auto"/>
                <w:kern w:val="0"/>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116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厂区总排口</w:t>
            </w:r>
          </w:p>
        </w:tc>
        <w:tc>
          <w:tcPr>
            <w:tcW w:w="1449" w:type="dxa"/>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4"/>
                <w:szCs w:val="24"/>
                <w:lang w:val="en-US" w:eastAsia="zh-CN"/>
              </w:rPr>
            </w:pPr>
            <w:r>
              <w:rPr>
                <w:color w:val="auto"/>
                <w:sz w:val="24"/>
                <w:szCs w:val="24"/>
              </w:rPr>
              <w:t>pH、COD</w:t>
            </w:r>
            <w:r>
              <w:rPr>
                <w:rFonts w:hint="eastAsia"/>
                <w:color w:val="auto"/>
                <w:sz w:val="24"/>
                <w:szCs w:val="24"/>
                <w:vertAlign w:val="subscript"/>
              </w:rPr>
              <w:t>cr</w:t>
            </w:r>
            <w:r>
              <w:rPr>
                <w:color w:val="auto"/>
                <w:sz w:val="24"/>
                <w:szCs w:val="24"/>
              </w:rPr>
              <w:t>、BOD</w:t>
            </w:r>
            <w:r>
              <w:rPr>
                <w:color w:val="auto"/>
                <w:sz w:val="24"/>
                <w:szCs w:val="24"/>
                <w:vertAlign w:val="subscript"/>
              </w:rPr>
              <w:t>5</w:t>
            </w:r>
            <w:r>
              <w:rPr>
                <w:color w:val="auto"/>
                <w:sz w:val="24"/>
                <w:szCs w:val="24"/>
              </w:rPr>
              <w:t>、SS、氨氮、总氮、总磷、</w:t>
            </w:r>
            <w:r>
              <w:rPr>
                <w:rFonts w:hint="eastAsia"/>
                <w:color w:val="auto"/>
                <w:sz w:val="24"/>
                <w:szCs w:val="24"/>
              </w:rPr>
              <w:t>LAS</w:t>
            </w:r>
            <w:r>
              <w:rPr>
                <w:color w:val="auto"/>
                <w:sz w:val="24"/>
                <w:szCs w:val="24"/>
              </w:rPr>
              <w:t>、粪大肠菌群数</w:t>
            </w:r>
          </w:p>
        </w:tc>
        <w:tc>
          <w:tcPr>
            <w:tcW w:w="2255"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本项目动物房清洗废水、手术器具清洁废水、</w:t>
            </w:r>
            <w:r>
              <w:rPr>
                <w:rFonts w:hint="eastAsia" w:cs="Times New Roman"/>
                <w:color w:val="auto"/>
                <w:sz w:val="24"/>
                <w:szCs w:val="24"/>
                <w:lang w:val="en-US" w:eastAsia="zh-CN"/>
              </w:rPr>
              <w:t>第三次实验清洗废水、实验服清洗废水过滤、消毒，</w:t>
            </w:r>
            <w:r>
              <w:rPr>
                <w:rFonts w:hint="eastAsia" w:ascii="Times New Roman" w:hAnsi="Times New Roman" w:eastAsia="宋体" w:cs="Times New Roman"/>
                <w:color w:val="auto"/>
                <w:sz w:val="24"/>
                <w:szCs w:val="24"/>
                <w:lang w:val="en-US" w:eastAsia="zh-CN"/>
              </w:rPr>
              <w:t>生活污水经化粪池静置沉淀，</w:t>
            </w:r>
            <w:r>
              <w:rPr>
                <w:rFonts w:hint="eastAsia" w:cs="Times New Roman"/>
                <w:color w:val="auto"/>
                <w:sz w:val="24"/>
                <w:szCs w:val="24"/>
                <w:lang w:val="en-US" w:eastAsia="zh-CN"/>
              </w:rPr>
              <w:t>同</w:t>
            </w:r>
            <w:r>
              <w:rPr>
                <w:rFonts w:hint="eastAsia" w:ascii="Times New Roman" w:hAnsi="Times New Roman" w:eastAsia="宋体" w:cs="Times New Roman"/>
                <w:color w:val="auto"/>
                <w:sz w:val="24"/>
                <w:szCs w:val="24"/>
                <w:lang w:val="en-US" w:eastAsia="zh-CN"/>
              </w:rPr>
              <w:t>净水机浓水</w:t>
            </w:r>
            <w:r>
              <w:rPr>
                <w:rFonts w:hint="eastAsia" w:cs="Times New Roman"/>
                <w:color w:val="auto"/>
                <w:sz w:val="24"/>
                <w:szCs w:val="24"/>
                <w:lang w:val="en-US" w:eastAsia="zh-CN"/>
              </w:rPr>
              <w:t>混合</w:t>
            </w:r>
            <w:r>
              <w:rPr>
                <w:rFonts w:hint="eastAsia" w:ascii="Times New Roman" w:hAnsi="Times New Roman" w:eastAsia="宋体" w:cs="Times New Roman"/>
                <w:color w:val="auto"/>
                <w:sz w:val="24"/>
                <w:szCs w:val="24"/>
                <w:lang w:val="en-US" w:eastAsia="zh-CN"/>
              </w:rPr>
              <w:t>通过厂区总排口排入市政污水管网，最终排入咸阳路污水处理厂处理。</w:t>
            </w:r>
          </w:p>
        </w:tc>
        <w:tc>
          <w:tcPr>
            <w:tcW w:w="23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jc w:val="center"/>
              <w:textAlignment w:val="auto"/>
              <w:rPr>
                <w:rFonts w:hint="default" w:ascii="Times New Roman" w:hAnsi="Times New Roman" w:eastAsia="宋体" w:cs="Times New Roman"/>
                <w:color w:val="auto"/>
                <w:sz w:val="24"/>
                <w:szCs w:val="24"/>
              </w:rPr>
            </w:pPr>
            <w:r>
              <w:rPr>
                <w:color w:val="auto"/>
                <w:sz w:val="24"/>
                <w:szCs w:val="24"/>
              </w:rPr>
              <w:t>《污水综合排放标准》（DB12/356-2018）三级标准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25" w:hRule="atLeast"/>
          <w:jc w:val="center"/>
        </w:trPr>
        <w:tc>
          <w:tcPr>
            <w:tcW w:w="116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p>
        </w:tc>
        <w:tc>
          <w:tcPr>
            <w:tcW w:w="153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污水消毒设备</w:t>
            </w:r>
          </w:p>
        </w:tc>
        <w:tc>
          <w:tcPr>
            <w:tcW w:w="1449" w:type="dxa"/>
            <w:noWrap w:val="0"/>
            <w:vAlign w:val="center"/>
          </w:tcPr>
          <w:p>
            <w:pPr>
              <w:pStyle w:val="8"/>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eastAsia="宋体"/>
                <w:color w:val="auto"/>
                <w:sz w:val="24"/>
                <w:szCs w:val="24"/>
                <w:lang w:val="en-US" w:eastAsia="zh-CN"/>
              </w:rPr>
            </w:pPr>
            <w:r>
              <w:rPr>
                <w:color w:val="auto"/>
                <w:sz w:val="24"/>
                <w:szCs w:val="24"/>
              </w:rPr>
              <w:t>pH、COD</w:t>
            </w:r>
            <w:r>
              <w:rPr>
                <w:rFonts w:hint="eastAsia"/>
                <w:color w:val="auto"/>
                <w:sz w:val="24"/>
                <w:szCs w:val="24"/>
                <w:vertAlign w:val="subscript"/>
              </w:rPr>
              <w:t>cr</w:t>
            </w:r>
            <w:r>
              <w:rPr>
                <w:color w:val="auto"/>
                <w:sz w:val="24"/>
                <w:szCs w:val="24"/>
              </w:rPr>
              <w:t>、BOD</w:t>
            </w:r>
            <w:r>
              <w:rPr>
                <w:color w:val="auto"/>
                <w:sz w:val="24"/>
                <w:szCs w:val="24"/>
                <w:vertAlign w:val="subscript"/>
              </w:rPr>
              <w:t>5</w:t>
            </w:r>
            <w:r>
              <w:rPr>
                <w:color w:val="auto"/>
                <w:sz w:val="24"/>
                <w:szCs w:val="24"/>
              </w:rPr>
              <w:t>、SS、氨氮、总氮、总磷、粪大肠菌群数</w:t>
            </w:r>
            <w:r>
              <w:rPr>
                <w:rFonts w:hint="eastAsia"/>
                <w:color w:val="auto"/>
                <w:sz w:val="24"/>
                <w:szCs w:val="24"/>
              </w:rPr>
              <w:t>、总余氯、LAS</w:t>
            </w:r>
          </w:p>
        </w:tc>
        <w:tc>
          <w:tcPr>
            <w:tcW w:w="2255"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jc w:val="center"/>
              <w:textAlignment w:val="auto"/>
              <w:rPr>
                <w:rFonts w:hint="eastAsia" w:ascii="Times New Roman" w:hAnsi="Times New Roman" w:eastAsia="宋体" w:cs="Times New Roman"/>
                <w:color w:val="auto"/>
                <w:sz w:val="24"/>
                <w:szCs w:val="24"/>
                <w:lang w:val="en-US" w:eastAsia="zh-CN"/>
              </w:rPr>
            </w:pPr>
          </w:p>
        </w:tc>
        <w:tc>
          <w:tcPr>
            <w:tcW w:w="2398" w:type="dxa"/>
            <w:noWrap w:val="0"/>
            <w:vAlign w:val="center"/>
          </w:tcPr>
          <w:p>
            <w:pPr>
              <w:adjustRightInd w:val="0"/>
              <w:snapToGrid w:val="0"/>
              <w:spacing w:line="240" w:lineRule="auto"/>
              <w:jc w:val="center"/>
              <w:rPr>
                <w:rFonts w:hint="eastAsia" w:eastAsia="宋体"/>
                <w:color w:val="auto"/>
                <w:sz w:val="24"/>
                <w:szCs w:val="24"/>
                <w:lang w:eastAsia="zh-CN"/>
              </w:rPr>
            </w:pPr>
            <w:r>
              <w:rPr>
                <w:rFonts w:hint="eastAsia"/>
                <w:color w:val="auto"/>
                <w:sz w:val="24"/>
                <w:szCs w:val="24"/>
              </w:rPr>
              <w:t>《医疗机构水污染物排放标准》(GB18466-2005)</w:t>
            </w:r>
            <w:r>
              <w:rPr>
                <w:rFonts w:hint="eastAsia"/>
                <w:color w:val="auto"/>
                <w:sz w:val="24"/>
                <w:szCs w:val="24"/>
                <w:lang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120" w:leftChars="-50"/>
              <w:jc w:val="center"/>
              <w:textAlignment w:val="auto"/>
              <w:rPr>
                <w:color w:val="auto"/>
                <w:sz w:val="24"/>
                <w:szCs w:val="24"/>
              </w:rPr>
            </w:pPr>
            <w:r>
              <w:rPr>
                <w:color w:val="auto"/>
                <w:sz w:val="24"/>
                <w:szCs w:val="24"/>
              </w:rPr>
              <w:t>《污水综合排放标准》（DB12/356-2018）三级标准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53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东侧室外平台处</w:t>
            </w:r>
          </w:p>
        </w:tc>
        <w:tc>
          <w:tcPr>
            <w:tcW w:w="1449" w:type="dxa"/>
            <w:noWrap w:val="0"/>
            <w:vAlign w:val="center"/>
          </w:tcPr>
          <w:p>
            <w:pPr>
              <w:pStyle w:val="56"/>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Leq（A）</w:t>
            </w:r>
          </w:p>
        </w:tc>
        <w:tc>
          <w:tcPr>
            <w:tcW w:w="225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szCs w:val="24"/>
                <w:lang w:eastAsia="zh-CN"/>
              </w:rPr>
              <w:t>噪声源选取低噪声设备，洁净车间风机加装隔声罩、</w:t>
            </w:r>
            <w:r>
              <w:rPr>
                <w:rFonts w:hint="default" w:ascii="Times New Roman" w:hAnsi="Times New Roman" w:eastAsia="宋体" w:cs="Times New Roman"/>
                <w:color w:val="auto"/>
                <w:sz w:val="24"/>
                <w:szCs w:val="24"/>
              </w:rPr>
              <w:t>软管连接</w:t>
            </w:r>
            <w:r>
              <w:rPr>
                <w:rFonts w:hint="eastAsia" w:cs="Times New Roman"/>
                <w:color w:val="auto"/>
                <w:sz w:val="24"/>
                <w:szCs w:val="24"/>
                <w:lang w:eastAsia="zh-CN"/>
              </w:rPr>
              <w:t>。室内噪声源采取墙体隔声、距离衰减的措施。</w:t>
            </w:r>
          </w:p>
        </w:tc>
        <w:tc>
          <w:tcPr>
            <w:tcW w:w="2398"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120" w:leftChars="-50"/>
              <w:jc w:val="center"/>
              <w:textAlignment w:val="auto"/>
              <w:rPr>
                <w:rFonts w:hint="default" w:ascii="Times New Roman" w:hAnsi="Times New Roman" w:eastAsia="宋体" w:cs="Times New Roman"/>
                <w:color w:val="auto"/>
                <w:kern w:val="2"/>
                <w:sz w:val="24"/>
                <w:szCs w:val="24"/>
                <w:lang w:val="en-US" w:eastAsia="zh-CN" w:bidi="ar-SA"/>
              </w:rPr>
            </w:pPr>
            <w:r>
              <w:rPr>
                <w:color w:val="auto"/>
                <w:sz w:val="24"/>
                <w:szCs w:val="24"/>
              </w:rPr>
              <w:t>《工业企业厂界环境噪声排放标准》(GB12348-2008)</w:t>
            </w:r>
            <w:r>
              <w:rPr>
                <w:rFonts w:hint="eastAsia"/>
                <w:color w:val="auto"/>
                <w:sz w:val="24"/>
                <w:szCs w:val="24"/>
                <w:lang w:val="en-US" w:eastAsia="zh-CN"/>
              </w:rPr>
              <w:t>3类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537"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c>
          <w:tcPr>
            <w:tcW w:w="1449"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2255"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c>
          <w:tcPr>
            <w:tcW w:w="2398"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763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生活垃圾：由</w:t>
            </w:r>
            <w:r>
              <w:rPr>
                <w:rFonts w:hint="eastAsia" w:cs="Times New Roman"/>
                <w:color w:val="auto"/>
                <w:sz w:val="24"/>
                <w:szCs w:val="24"/>
                <w:lang w:eastAsia="zh-CN"/>
              </w:rPr>
              <w:t>城市管理部门</w:t>
            </w:r>
            <w:r>
              <w:rPr>
                <w:rFonts w:hint="default" w:ascii="Times New Roman" w:hAnsi="Times New Roman" w:eastAsia="宋体" w:cs="Times New Roman"/>
                <w:color w:val="auto"/>
                <w:sz w:val="24"/>
                <w:szCs w:val="24"/>
              </w:rPr>
              <w:t>及时清运。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危险废物：实验废液、实验废物（实验耗材枪头、离心管、载玻片、盖玻片、废试剂瓶等）、废活性炭、废UV灯管、</w:t>
            </w:r>
            <w:r>
              <w:rPr>
                <w:rFonts w:hint="eastAsia" w:cs="Times New Roman"/>
                <w:color w:val="auto"/>
                <w:sz w:val="24"/>
                <w:szCs w:val="24"/>
                <w:lang w:eastAsia="zh-CN"/>
              </w:rPr>
              <w:t>动物尸体、滤渣</w:t>
            </w:r>
            <w:r>
              <w:rPr>
                <w:rFonts w:hint="default" w:ascii="Times New Roman" w:hAnsi="Times New Roman" w:eastAsia="宋体" w:cs="Times New Roman"/>
                <w:color w:val="auto"/>
                <w:sz w:val="24"/>
                <w:szCs w:val="24"/>
              </w:rPr>
              <w:t>暂存于危废暂存间，交由有资质的单位处理处置。</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一般固体废物：废包装物收集后交由物资回收单位处理处置；废培养基、动物粪便经灭菌消毒处理后，由</w:t>
            </w:r>
            <w:r>
              <w:rPr>
                <w:rFonts w:hint="eastAsia" w:cs="Times New Roman"/>
                <w:color w:val="auto"/>
                <w:sz w:val="24"/>
                <w:szCs w:val="24"/>
                <w:lang w:eastAsia="zh-CN"/>
              </w:rPr>
              <w:t>城市管理部门</w:t>
            </w:r>
            <w:r>
              <w:rPr>
                <w:rFonts w:hint="default" w:ascii="Times New Roman" w:hAnsi="Times New Roman" w:eastAsia="宋体" w:cs="Times New Roman"/>
                <w:color w:val="auto"/>
                <w:sz w:val="24"/>
                <w:szCs w:val="24"/>
              </w:rPr>
              <w:t>定期清运；净水设备废弃物合理收集，由</w:t>
            </w:r>
            <w:r>
              <w:rPr>
                <w:rFonts w:hint="eastAsia" w:cs="Times New Roman"/>
                <w:color w:val="auto"/>
                <w:sz w:val="24"/>
                <w:szCs w:val="24"/>
                <w:lang w:eastAsia="zh-CN"/>
              </w:rPr>
              <w:t>城市管理部门</w:t>
            </w:r>
            <w:r>
              <w:rPr>
                <w:rFonts w:hint="default" w:ascii="Times New Roman" w:hAnsi="Times New Roman" w:eastAsia="宋体" w:cs="Times New Roman"/>
                <w:color w:val="auto"/>
                <w:sz w:val="24"/>
                <w:szCs w:val="24"/>
              </w:rPr>
              <w:t>定期清运。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 w:hRule="atLeast"/>
          <w:jc w:val="center"/>
        </w:trPr>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污染防治措施</w:t>
            </w:r>
          </w:p>
        </w:tc>
        <w:tc>
          <w:tcPr>
            <w:tcW w:w="7639" w:type="dxa"/>
            <w:gridSpan w:val="4"/>
            <w:noWrap w:val="0"/>
            <w:vAlign w:val="center"/>
          </w:tcPr>
          <w:p>
            <w:pPr>
              <w:pStyle w:val="8"/>
              <w:bidi w:val="0"/>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16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639"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7" w:hRule="atLeast"/>
          <w:jc w:val="center"/>
        </w:trPr>
        <w:tc>
          <w:tcPr>
            <w:tcW w:w="1161"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环境风险防范措施</w:t>
            </w:r>
          </w:p>
        </w:tc>
        <w:tc>
          <w:tcPr>
            <w:tcW w:w="7639" w:type="dxa"/>
            <w:gridSpan w:val="4"/>
            <w:noWrap w:val="0"/>
            <w:vAlign w:val="center"/>
          </w:tcPr>
          <w:p>
            <w:pPr>
              <w:pStyle w:val="8"/>
              <w:bidi w:val="0"/>
              <w:rPr>
                <w:rFonts w:hint="eastAsia"/>
                <w:color w:val="auto"/>
                <w:lang w:val="en-US" w:eastAsia="zh-CN"/>
              </w:rPr>
            </w:pPr>
            <w:r>
              <w:rPr>
                <w:rFonts w:hint="eastAsia"/>
                <w:b/>
                <w:bCs/>
                <w:color w:val="auto"/>
                <w:lang w:val="en-US" w:eastAsia="zh-CN"/>
              </w:rPr>
              <w:t>实验室</w:t>
            </w:r>
            <w:r>
              <w:rPr>
                <w:rFonts w:hint="eastAsia"/>
                <w:color w:val="auto"/>
                <w:lang w:val="en-US" w:eastAsia="zh-CN"/>
              </w:rPr>
              <w:t>所有化学品放置于试剂柜保存，</w:t>
            </w:r>
            <w:r>
              <w:rPr>
                <w:rFonts w:hint="eastAsia"/>
                <w:color w:val="auto"/>
              </w:rPr>
              <w:t>本项目</w:t>
            </w:r>
            <w:r>
              <w:rPr>
                <w:rFonts w:hint="eastAsia"/>
                <w:color w:val="auto"/>
                <w:lang w:eastAsia="zh-CN"/>
              </w:rPr>
              <w:t>病理实验室</w:t>
            </w:r>
            <w:r>
              <w:rPr>
                <w:rFonts w:hint="eastAsia"/>
                <w:color w:val="auto"/>
              </w:rPr>
              <w:t>化学品</w:t>
            </w:r>
            <w:r>
              <w:rPr>
                <w:rFonts w:hint="eastAsia"/>
                <w:color w:val="auto"/>
                <w:lang w:eastAsia="zh-CN"/>
              </w:rPr>
              <w:t>最大暂存量为</w:t>
            </w:r>
            <w:r>
              <w:rPr>
                <w:rFonts w:hint="eastAsia"/>
                <w:color w:val="auto"/>
                <w:lang w:val="en-US" w:eastAsia="zh-CN"/>
              </w:rPr>
              <w:t>0.31t/a，其中乙醇最大暂存量为0.24t/a。实验室严禁明火，实验人员每天检查化学品包装情况。在试剂室配置烟感报警器、灭火器、消防沙、抹布等应急物资和人员防护物资，发生液体试剂发生泄漏时，迅速采用消防沙、抹布等吸附材料将泄漏出来的物质擦拭处理完毕，沾染泄漏物质的吸附材料存放于密闭收集桶内，作为危险废物交有资质单位处理；发现火灾事故时，立即拿开着火可能影响区域内的一切可燃物质，用灭火器、消防沙进行灭火，不会产生消防废水，火势较大时立即报火警，如产生消防废水流出室外时，应在室外做好防止消防废水进入雨水管网的措施。避免流入雨水管网，对厂区内外排雨水排口进行封堵，应及时收集消防废水，事后经检测水质后决定处置方案。</w:t>
            </w:r>
            <w:r>
              <w:rPr>
                <w:rFonts w:hint="eastAsia"/>
                <w:color w:val="auto"/>
              </w:rPr>
              <w:t>如发生泄漏事故</w:t>
            </w:r>
            <w:r>
              <w:rPr>
                <w:rFonts w:hint="eastAsia"/>
                <w:color w:val="auto"/>
                <w:lang w:eastAsia="zh-CN"/>
              </w:rPr>
              <w:t>，</w:t>
            </w:r>
            <w:r>
              <w:rPr>
                <w:rFonts w:hint="eastAsia"/>
                <w:color w:val="auto"/>
              </w:rPr>
              <w:t>泄漏后挥发进入环境中的量较少</w:t>
            </w:r>
            <w:r>
              <w:rPr>
                <w:rFonts w:hint="eastAsia"/>
                <w:color w:val="auto"/>
                <w:lang w:eastAsia="zh-CN"/>
              </w:rPr>
              <w:t>，</w:t>
            </w:r>
            <w:r>
              <w:rPr>
                <w:rFonts w:hint="eastAsia"/>
                <w:color w:val="auto"/>
              </w:rPr>
              <w:t>且实验室各房间单独密闭</w:t>
            </w:r>
            <w:r>
              <w:rPr>
                <w:rFonts w:hint="eastAsia"/>
                <w:color w:val="auto"/>
                <w:lang w:eastAsia="zh-CN"/>
              </w:rPr>
              <w:t>，</w:t>
            </w:r>
            <w:r>
              <w:rPr>
                <w:rFonts w:hint="eastAsia"/>
                <w:color w:val="auto"/>
              </w:rPr>
              <w:t>实验期间关闭门窗</w:t>
            </w:r>
            <w:r>
              <w:rPr>
                <w:rFonts w:hint="eastAsia"/>
                <w:color w:val="auto"/>
                <w:lang w:eastAsia="zh-CN"/>
              </w:rPr>
              <w:t>，</w:t>
            </w:r>
            <w:r>
              <w:rPr>
                <w:rFonts w:hint="eastAsia"/>
                <w:color w:val="auto"/>
              </w:rPr>
              <w:t>挥发出的可气体经通风橱、换风系统收集后进入到性炭设施进行处理后排放</w:t>
            </w:r>
            <w:r>
              <w:rPr>
                <w:rFonts w:hint="eastAsia"/>
                <w:color w:val="auto"/>
                <w:lang w:eastAsia="zh-CN"/>
              </w:rPr>
              <w:t>，</w:t>
            </w:r>
            <w:r>
              <w:rPr>
                <w:rFonts w:hint="eastAsia"/>
                <w:color w:val="auto"/>
              </w:rPr>
              <w:t>确保对环境影响较小。</w:t>
            </w:r>
          </w:p>
          <w:p>
            <w:pPr>
              <w:pStyle w:val="8"/>
              <w:ind w:firstLine="480"/>
              <w:rPr>
                <w:rFonts w:hint="eastAsia"/>
                <w:color w:val="auto"/>
                <w:lang w:eastAsia="zh-CN"/>
              </w:rPr>
            </w:pPr>
            <w:r>
              <w:rPr>
                <w:rFonts w:hint="eastAsia"/>
                <w:b/>
                <w:bCs/>
                <w:color w:val="auto"/>
              </w:rPr>
              <w:t>危险废物暂存间</w:t>
            </w:r>
            <w:r>
              <w:rPr>
                <w:rFonts w:hint="eastAsia"/>
                <w:color w:val="auto"/>
              </w:rPr>
              <w:t>实验废液</w:t>
            </w:r>
            <w:r>
              <w:rPr>
                <w:rFonts w:hint="eastAsia"/>
                <w:color w:val="auto"/>
                <w:lang w:eastAsia="zh-CN"/>
              </w:rPr>
              <w:t>最大暂存量为</w:t>
            </w:r>
            <w:r>
              <w:rPr>
                <w:rFonts w:hint="eastAsia"/>
                <w:color w:val="auto"/>
                <w:lang w:val="en-US" w:eastAsia="zh-CN"/>
              </w:rPr>
              <w:t>0.235t/a</w:t>
            </w:r>
            <w:r>
              <w:rPr>
                <w:rFonts w:hint="eastAsia"/>
                <w:color w:val="auto"/>
                <w:lang w:eastAsia="zh-CN"/>
              </w:rPr>
              <w:t>，</w:t>
            </w:r>
            <w:r>
              <w:rPr>
                <w:rFonts w:hint="eastAsia"/>
                <w:b w:val="0"/>
                <w:bCs w:val="0"/>
                <w:color w:val="auto"/>
              </w:rPr>
              <w:t>危险废物暂存间</w:t>
            </w:r>
            <w:r>
              <w:rPr>
                <w:rFonts w:hint="eastAsia"/>
                <w:color w:val="auto"/>
              </w:rPr>
              <w:t>拟对地面及裙角均做耐腐蚀硬化、防渗漏处理，且表面无缝隙，所使用的材料要与危险废物相容；危险废物应储存于密闭容器中，并在容器外表设置环境保护图形标志和警示标志；危险废物应选择防腐、防漏、防磕碰、密封严格的容器进行贮存和运输，危废暂存间应有专门人员看管。看管人员和危险废物运输人员工作中应佩戴防护用具，并配备医疗急救用品</w:t>
            </w:r>
            <w:r>
              <w:rPr>
                <w:rFonts w:hint="eastAsia"/>
                <w:color w:val="auto"/>
                <w:lang w:eastAsia="zh-CN"/>
              </w:rPr>
              <w:t>。</w:t>
            </w:r>
          </w:p>
          <w:p>
            <w:pPr>
              <w:pStyle w:val="8"/>
              <w:ind w:firstLine="480"/>
              <w:rPr>
                <w:rFonts w:hint="default"/>
                <w:b w:val="0"/>
                <w:bCs w:val="0"/>
                <w:color w:val="auto"/>
              </w:rPr>
            </w:pPr>
            <w:r>
              <w:rPr>
                <w:rFonts w:hint="eastAsia"/>
                <w:b/>
                <w:bCs/>
                <w:color w:val="auto"/>
                <w:lang w:eastAsia="zh-CN"/>
              </w:rPr>
              <w:t>楼道、室外</w:t>
            </w:r>
            <w:r>
              <w:rPr>
                <w:rFonts w:hint="default"/>
                <w:b w:val="0"/>
                <w:bCs w:val="0"/>
                <w:color w:val="auto"/>
              </w:rPr>
              <w:t>做好运输路线的地面防渗、截留措施</w:t>
            </w:r>
            <w:r>
              <w:rPr>
                <w:rFonts w:hint="eastAsia"/>
                <w:b w:val="0"/>
                <w:bCs w:val="0"/>
                <w:color w:val="auto"/>
                <w:lang w:eastAsia="zh-CN"/>
              </w:rPr>
              <w:t>，</w:t>
            </w:r>
            <w:r>
              <w:rPr>
                <w:rFonts w:hint="default"/>
                <w:b w:val="0"/>
                <w:bCs w:val="0"/>
                <w:color w:val="auto"/>
              </w:rPr>
              <w:t>在必要位置放置一定的灭火器、消防沙、抹布等应急物资和人员防护物资</w:t>
            </w:r>
            <w:r>
              <w:rPr>
                <w:rFonts w:hint="eastAsia"/>
                <w:b w:val="0"/>
                <w:bCs w:val="0"/>
                <w:color w:val="auto"/>
                <w:lang w:eastAsia="zh-CN"/>
              </w:rPr>
              <w:t>，</w:t>
            </w:r>
            <w:r>
              <w:rPr>
                <w:rFonts w:hint="default"/>
                <w:b w:val="0"/>
                <w:bCs w:val="0"/>
                <w:color w:val="auto"/>
              </w:rPr>
              <w:t>在室外还需配置一定数量的应急沙袋等</w:t>
            </w:r>
            <w:r>
              <w:rPr>
                <w:rFonts w:hint="eastAsia"/>
                <w:b w:val="0"/>
                <w:bCs w:val="0"/>
                <w:color w:val="auto"/>
                <w:lang w:eastAsia="zh-CN"/>
              </w:rPr>
              <w:t>，</w:t>
            </w:r>
            <w:r>
              <w:rPr>
                <w:rFonts w:hint="default"/>
                <w:b w:val="0"/>
                <w:bCs w:val="0"/>
                <w:color w:val="auto"/>
              </w:rPr>
              <w:t>发生液体试剂发生泄漏和火灾事故时</w:t>
            </w:r>
            <w:r>
              <w:rPr>
                <w:rFonts w:hint="eastAsia"/>
                <w:b w:val="0"/>
                <w:bCs w:val="0"/>
                <w:color w:val="auto"/>
                <w:lang w:eastAsia="zh-CN"/>
              </w:rPr>
              <w:t>，</w:t>
            </w:r>
            <w:r>
              <w:rPr>
                <w:rFonts w:hint="default"/>
                <w:b w:val="0"/>
                <w:bCs w:val="0"/>
                <w:color w:val="auto"/>
              </w:rPr>
              <w:t>做好应急处置。防止消防废水进入雨水管网的措施说明</w:t>
            </w:r>
            <w:r>
              <w:rPr>
                <w:rFonts w:hint="eastAsia"/>
                <w:b w:val="0"/>
                <w:bCs w:val="0"/>
                <w:color w:val="auto"/>
                <w:lang w:eastAsia="zh-CN"/>
              </w:rPr>
              <w:t>：</w:t>
            </w:r>
            <w:r>
              <w:rPr>
                <w:rFonts w:hint="default"/>
                <w:b w:val="0"/>
                <w:bCs w:val="0"/>
                <w:color w:val="auto"/>
              </w:rPr>
              <w:t>产生消防废水流出室外时</w:t>
            </w:r>
            <w:r>
              <w:rPr>
                <w:rFonts w:hint="eastAsia"/>
                <w:b w:val="0"/>
                <w:bCs w:val="0"/>
                <w:color w:val="auto"/>
                <w:lang w:eastAsia="zh-CN"/>
              </w:rPr>
              <w:t>，</w:t>
            </w:r>
            <w:r>
              <w:rPr>
                <w:rFonts w:hint="default"/>
                <w:b w:val="0"/>
                <w:bCs w:val="0"/>
                <w:color w:val="auto"/>
              </w:rPr>
              <w:t>需及时用消防沙袋对废水进行截留或堵住雨水井</w:t>
            </w:r>
            <w:r>
              <w:rPr>
                <w:rFonts w:hint="eastAsia"/>
                <w:b w:val="0"/>
                <w:bCs w:val="0"/>
                <w:color w:val="auto"/>
                <w:lang w:eastAsia="zh-CN"/>
              </w:rPr>
              <w:t>，</w:t>
            </w:r>
            <w:r>
              <w:rPr>
                <w:rFonts w:hint="default"/>
                <w:b w:val="0"/>
                <w:bCs w:val="0"/>
                <w:color w:val="auto"/>
              </w:rPr>
              <w:t>防止消防废水进入雨水管网。</w:t>
            </w:r>
          </w:p>
          <w:p>
            <w:pPr>
              <w:pStyle w:val="9"/>
              <w:keepNext w:val="0"/>
              <w:keepLines w:val="0"/>
              <w:pageBreakBefore w:val="0"/>
              <w:widowControl w:val="0"/>
              <w:kinsoku/>
              <w:wordWrap/>
              <w:overflowPunct/>
              <w:topLinePunct w:val="0"/>
              <w:autoSpaceDE/>
              <w:autoSpaceDN/>
              <w:bidi w:val="0"/>
              <w:adjustRightInd/>
              <w:snapToGrid/>
              <w:spacing w:before="0" w:after="0" w:line="360" w:lineRule="auto"/>
              <w:ind w:firstLine="482"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aps w:val="0"/>
                <w:color w:val="auto"/>
                <w:kern w:val="2"/>
                <w:sz w:val="24"/>
                <w:szCs w:val="24"/>
                <w:lang w:val="en-US" w:eastAsia="zh-CN" w:bidi="ar-SA"/>
              </w:rPr>
              <w:t>生物安全柜</w:t>
            </w:r>
            <w:r>
              <w:rPr>
                <w:rFonts w:hint="eastAsia" w:ascii="Times New Roman" w:hAnsi="Times New Roman" w:eastAsia="宋体" w:cs="Times New Roman"/>
                <w:b w:val="0"/>
                <w:bCs w:val="0"/>
                <w:caps w:val="0"/>
                <w:color w:val="auto"/>
                <w:kern w:val="2"/>
                <w:sz w:val="24"/>
                <w:szCs w:val="24"/>
                <w:lang w:val="en-US" w:eastAsia="zh-CN" w:bidi="ar-SA"/>
              </w:rPr>
              <w:t>位于细胞实验室1，主要进行细胞实验，本项目不涉及微生物实验，无生物实验室评级要求</w:t>
            </w:r>
            <w:r>
              <w:rPr>
                <w:rFonts w:hint="eastAsia" w:ascii="Times New Roman" w:hAnsi="Times New Roman" w:cs="Times New Roman"/>
                <w:b w:val="0"/>
                <w:bCs w:val="0"/>
                <w:caps w:val="0"/>
                <w:color w:val="auto"/>
                <w:kern w:val="2"/>
                <w:sz w:val="24"/>
                <w:szCs w:val="24"/>
                <w:lang w:val="en-US" w:eastAsia="zh-CN" w:bidi="ar-SA"/>
              </w:rPr>
              <w:t>。</w:t>
            </w:r>
            <w:r>
              <w:rPr>
                <w:rFonts w:hint="eastAsia" w:ascii="Times New Roman" w:hAnsi="Times New Roman" w:eastAsia="宋体" w:cs="Times New Roman"/>
                <w:b w:val="0"/>
                <w:bCs w:val="0"/>
                <w:caps w:val="0"/>
                <w:color w:val="auto"/>
                <w:kern w:val="2"/>
                <w:sz w:val="24"/>
                <w:szCs w:val="24"/>
                <w:lang w:val="en-US" w:eastAsia="zh-CN" w:bidi="ar-SA"/>
              </w:rPr>
              <w:t>日常使用过程中规范</w:t>
            </w:r>
            <w:r>
              <w:rPr>
                <w:rFonts w:hint="eastAsia" w:ascii="Times New Roman" w:hAnsi="Times New Roman" w:cs="Times New Roman"/>
                <w:b w:val="0"/>
                <w:bCs w:val="0"/>
                <w:caps w:val="0"/>
                <w:color w:val="auto"/>
                <w:kern w:val="2"/>
                <w:sz w:val="24"/>
                <w:szCs w:val="24"/>
                <w:lang w:val="en-US" w:eastAsia="zh-CN" w:bidi="ar-SA"/>
              </w:rPr>
              <w:t>实验</w:t>
            </w:r>
            <w:r>
              <w:rPr>
                <w:rFonts w:hint="eastAsia" w:ascii="Times New Roman" w:hAnsi="Times New Roman" w:eastAsia="宋体" w:cs="Times New Roman"/>
                <w:b w:val="0"/>
                <w:bCs w:val="0"/>
                <w:caps w:val="0"/>
                <w:color w:val="auto"/>
                <w:kern w:val="2"/>
                <w:sz w:val="24"/>
                <w:szCs w:val="24"/>
                <w:lang w:val="en-US" w:eastAsia="zh-CN" w:bidi="ar-SA"/>
              </w:rPr>
              <w:t>操作，</w:t>
            </w:r>
            <w:r>
              <w:rPr>
                <w:rFonts w:hint="default" w:ascii="Times New Roman" w:hAnsi="Times New Roman" w:eastAsia="宋体" w:cs="Times New Roman"/>
                <w:b w:val="0"/>
                <w:bCs w:val="0"/>
                <w:caps w:val="0"/>
                <w:color w:val="auto"/>
                <w:kern w:val="2"/>
                <w:sz w:val="24"/>
                <w:szCs w:val="24"/>
                <w:lang w:val="en-US" w:eastAsia="zh-CN" w:bidi="ar-SA"/>
              </w:rPr>
              <w:t>操作前应将本次操作所需的全部物品移入安全柜，防止双臂频频穿过气幕损坏气流；并且在移入前用75%酒精擦洗外表消毒，以去除污染</w:t>
            </w:r>
            <w:r>
              <w:rPr>
                <w:rFonts w:hint="eastAsia" w:ascii="Times New Roman" w:hAnsi="Times New Roman" w:cs="Times New Roman"/>
                <w:b w:val="0"/>
                <w:bCs w:val="0"/>
                <w:caps w:val="0"/>
                <w:color w:val="auto"/>
                <w:kern w:val="2"/>
                <w:sz w:val="24"/>
                <w:szCs w:val="24"/>
                <w:lang w:val="en-US" w:eastAsia="zh-CN" w:bidi="ar-SA"/>
              </w:rPr>
              <w:t>。</w:t>
            </w:r>
            <w:r>
              <w:rPr>
                <w:rFonts w:hint="default" w:ascii="Times New Roman" w:hAnsi="Times New Roman" w:eastAsia="宋体" w:cs="Times New Roman"/>
                <w:b w:val="0"/>
                <w:bCs w:val="0"/>
                <w:caps w:val="0"/>
                <w:color w:val="auto"/>
                <w:kern w:val="2"/>
                <w:sz w:val="24"/>
                <w:szCs w:val="24"/>
                <w:lang w:val="en-US" w:eastAsia="zh-CN" w:bidi="ar-SA"/>
              </w:rPr>
              <w:t>操作前应将本次操作所需的全部物品移入安全柜，防止双臂频频穿过气幕损坏气流；并且在移入前用75%酒精擦洗外表消毒，以去除污染。作业完结后，封闭玻璃窗，坚持风机持续作业10～15分钟，紫外</w:t>
            </w:r>
            <w:r>
              <w:rPr>
                <w:rFonts w:hint="eastAsia" w:ascii="Times New Roman" w:hAnsi="Times New Roman" w:cs="Times New Roman"/>
                <w:b w:val="0"/>
                <w:bCs w:val="0"/>
                <w:caps w:val="0"/>
                <w:color w:val="auto"/>
                <w:kern w:val="2"/>
                <w:sz w:val="24"/>
                <w:szCs w:val="24"/>
                <w:lang w:val="en-US" w:eastAsia="zh-CN" w:bidi="ar-SA"/>
              </w:rPr>
              <w:t>消毒</w:t>
            </w:r>
            <w:r>
              <w:rPr>
                <w:rFonts w:hint="default" w:ascii="Times New Roman" w:hAnsi="Times New Roman" w:eastAsia="宋体" w:cs="Times New Roman"/>
                <w:b w:val="0"/>
                <w:bCs w:val="0"/>
                <w:caps w:val="0"/>
                <w:color w:val="auto"/>
                <w:kern w:val="2"/>
                <w:sz w:val="24"/>
                <w:szCs w:val="24"/>
                <w:lang w:val="en-US" w:eastAsia="zh-CN" w:bidi="ar-SA"/>
              </w:rPr>
              <w:t>灯</w:t>
            </w:r>
            <w:r>
              <w:rPr>
                <w:rFonts w:hint="eastAsia" w:ascii="Times New Roman" w:hAnsi="Times New Roman" w:cs="Times New Roman"/>
                <w:b w:val="0"/>
                <w:bCs w:val="0"/>
                <w:caps w:val="0"/>
                <w:color w:val="auto"/>
                <w:kern w:val="2"/>
                <w:sz w:val="24"/>
                <w:szCs w:val="24"/>
                <w:lang w:val="en-US" w:eastAsia="zh-CN" w:bidi="ar-SA"/>
              </w:rPr>
              <w:t>消毒</w:t>
            </w:r>
            <w:r>
              <w:rPr>
                <w:rFonts w:hint="default" w:ascii="Times New Roman" w:hAnsi="Times New Roman" w:eastAsia="宋体" w:cs="Times New Roman"/>
                <w:b w:val="0"/>
                <w:bCs w:val="0"/>
                <w:caps w:val="0"/>
                <w:color w:val="auto"/>
                <w:kern w:val="2"/>
                <w:sz w:val="24"/>
                <w:szCs w:val="24"/>
                <w:lang w:val="en-US" w:eastAsia="zh-CN" w:bidi="ar-SA"/>
              </w:rPr>
              <w:t>30分钟</w:t>
            </w:r>
            <w:r>
              <w:rPr>
                <w:rFonts w:hint="eastAsia" w:ascii="Times New Roman" w:hAnsi="Times New Roman" w:cs="Times New Roman"/>
                <w:b w:val="0"/>
                <w:bCs w:val="0"/>
                <w:caps w:val="0"/>
                <w:color w:val="auto"/>
                <w:kern w:val="2"/>
                <w:sz w:val="24"/>
                <w:szCs w:val="24"/>
                <w:lang w:val="en-US" w:eastAsia="zh-CN" w:bidi="ar-SA"/>
              </w:rPr>
              <w:t>。如果在操作中出现外溢生物样本，一定要立马使用消毒剂进行严格的消毒清洁。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67" w:hRule="atLeast"/>
          <w:jc w:val="center"/>
        </w:trPr>
        <w:tc>
          <w:tcPr>
            <w:tcW w:w="1161" w:type="dxa"/>
            <w:noWrap w:val="0"/>
            <w:vAlign w:val="center"/>
          </w:tcPr>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pPr>
              <w:keepLines w:val="0"/>
              <w:pageBreakBefore w:val="0"/>
              <w:widowControl w:val="0"/>
              <w:kinsoku/>
              <w:wordWrap/>
              <w:topLinePunct w:val="0"/>
              <w:autoSpaceDE/>
              <w:autoSpaceDN/>
              <w:bidi w:val="0"/>
              <w:adjustRightInd w:val="0"/>
              <w:snapToGrid w:val="0"/>
              <w:spacing w:line="240" w:lineRule="auto"/>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639" w:type="dxa"/>
            <w:gridSpan w:val="4"/>
            <w:noWrap w:val="0"/>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rPr>
                <w:rFonts w:hint="default"/>
                <w:b/>
                <w:bCs/>
                <w:color w:val="auto"/>
                <w:lang w:eastAsia="zh-CN"/>
              </w:rPr>
            </w:pPr>
            <w:r>
              <w:rPr>
                <w:rFonts w:hint="eastAsia"/>
                <w:b/>
                <w:bCs/>
                <w:color w:val="auto"/>
                <w:lang w:val="en-US" w:eastAsia="zh-CN"/>
              </w:rPr>
              <w:t>5.1</w:t>
            </w:r>
            <w:r>
              <w:rPr>
                <w:rFonts w:hint="default"/>
                <w:b/>
                <w:bCs/>
                <w:color w:val="auto"/>
                <w:lang w:eastAsia="zh-CN"/>
              </w:rPr>
              <w:t>排放口规范化</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根据《关于加强我市排放口规范化整治工作的通知》</w:t>
            </w:r>
            <w:r>
              <w:rPr>
                <w:rFonts w:hint="eastAsia"/>
                <w:color w:val="auto"/>
                <w:lang w:eastAsia="zh-CN"/>
              </w:rPr>
              <w:t>（</w:t>
            </w:r>
            <w:r>
              <w:rPr>
                <w:rFonts w:hint="default"/>
                <w:color w:val="auto"/>
                <w:lang w:eastAsia="zh-CN"/>
              </w:rPr>
              <w:t>津环保监理[2002]71号</w:t>
            </w:r>
            <w:r>
              <w:rPr>
                <w:rFonts w:hint="eastAsia"/>
                <w:color w:val="auto"/>
                <w:lang w:eastAsia="zh-CN"/>
              </w:rPr>
              <w:t>）</w:t>
            </w:r>
            <w:r>
              <w:rPr>
                <w:rFonts w:hint="default"/>
                <w:color w:val="auto"/>
                <w:lang w:eastAsia="zh-CN"/>
              </w:rPr>
              <w:t>、</w:t>
            </w:r>
            <w:r>
              <w:rPr>
                <w:rFonts w:hint="eastAsia"/>
                <w:color w:val="auto"/>
                <w:lang w:eastAsia="zh-CN"/>
              </w:rPr>
              <w:t>“</w:t>
            </w:r>
            <w:r>
              <w:rPr>
                <w:rFonts w:hint="default"/>
                <w:color w:val="auto"/>
                <w:lang w:eastAsia="zh-CN"/>
              </w:rPr>
              <w:t>关于发布《天津市污染源排放口规范化技术要求》</w:t>
            </w:r>
            <w:r>
              <w:rPr>
                <w:rFonts w:hint="eastAsia"/>
                <w:color w:val="auto"/>
                <w:lang w:eastAsia="zh-CN"/>
              </w:rPr>
              <w:t>（</w:t>
            </w:r>
            <w:r>
              <w:rPr>
                <w:rFonts w:hint="default"/>
                <w:color w:val="auto"/>
                <w:lang w:eastAsia="zh-CN"/>
              </w:rPr>
              <w:t>津环保监测[2007]57号</w:t>
            </w:r>
            <w:r>
              <w:rPr>
                <w:rFonts w:hint="eastAsia"/>
                <w:color w:val="auto"/>
                <w:lang w:eastAsia="zh-CN"/>
              </w:rPr>
              <w:t>）</w:t>
            </w:r>
            <w:r>
              <w:rPr>
                <w:rFonts w:hint="default"/>
                <w:color w:val="auto"/>
                <w:lang w:eastAsia="zh-CN"/>
              </w:rPr>
              <w:t>的通知</w:t>
            </w:r>
            <w:r>
              <w:rPr>
                <w:rFonts w:hint="eastAsia"/>
                <w:color w:val="auto"/>
                <w:lang w:eastAsia="zh-CN"/>
              </w:rPr>
              <w:t>”</w:t>
            </w:r>
            <w:r>
              <w:rPr>
                <w:rFonts w:hint="default"/>
                <w:color w:val="auto"/>
                <w:lang w:eastAsia="zh-CN"/>
              </w:rPr>
              <w:t>要求：排污单位必须在建设污染治理设施的同时建设规范化排放口，并作为落实环境保护</w:t>
            </w:r>
            <w:r>
              <w:rPr>
                <w:rFonts w:hint="eastAsia"/>
                <w:color w:val="auto"/>
                <w:lang w:eastAsia="zh-CN"/>
              </w:rPr>
              <w:t>“</w:t>
            </w:r>
            <w:r>
              <w:rPr>
                <w:rFonts w:hint="default"/>
                <w:color w:val="auto"/>
                <w:lang w:eastAsia="zh-CN"/>
              </w:rPr>
              <w:t>三同时</w:t>
            </w:r>
            <w:r>
              <w:rPr>
                <w:rFonts w:hint="eastAsia"/>
                <w:color w:val="auto"/>
                <w:lang w:eastAsia="zh-CN"/>
              </w:rPr>
              <w:t>”</w:t>
            </w:r>
            <w:r>
              <w:rPr>
                <w:rFonts w:hint="default"/>
                <w:color w:val="auto"/>
                <w:lang w:eastAsia="zh-CN"/>
              </w:rPr>
              <w:t>制度的必要组成部分和项目验收内容之一。</w:t>
            </w:r>
          </w:p>
          <w:p>
            <w:pPr>
              <w:pStyle w:val="4"/>
              <w:bidi w:val="0"/>
              <w:rPr>
                <w:rFonts w:hint="default"/>
                <w:color w:val="auto"/>
                <w:lang w:eastAsia="zh-CN"/>
              </w:rPr>
            </w:pPr>
            <w:r>
              <w:rPr>
                <w:rFonts w:hint="eastAsia"/>
                <w:color w:val="auto"/>
                <w:lang w:val="en-US" w:eastAsia="zh-CN"/>
              </w:rPr>
              <w:t>5.1.1</w:t>
            </w:r>
            <w:r>
              <w:rPr>
                <w:rFonts w:hint="default"/>
                <w:color w:val="auto"/>
                <w:lang w:eastAsia="zh-CN"/>
              </w:rPr>
              <w:t>废气</w:t>
            </w:r>
          </w:p>
          <w:p>
            <w:pPr>
              <w:pStyle w:val="8"/>
              <w:bidi w:val="0"/>
              <w:rPr>
                <w:rFonts w:hint="default"/>
                <w:color w:val="auto"/>
                <w:lang w:val="en-US" w:eastAsia="zh-CN"/>
              </w:rPr>
            </w:pPr>
            <w:r>
              <w:rPr>
                <w:rFonts w:hint="eastAsia"/>
                <w:color w:val="auto"/>
                <w:lang w:val="en-US" w:eastAsia="zh-CN"/>
              </w:rPr>
              <w:t>本项目设置一根20m高排气筒P1，应做到以下排污口规范化要求：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（1）排气筒应设置便于采样、检测的采样口和采样检测平台；</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（2）采样孔、点数目和位置应按《固定污染源排气中颗粒物测定与气态污染物采样方法》（GB/T16157-1996）的规定设置；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（3）排气筒应便于采集样品、监测流量及公众参与监督管理；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（4）选用的设备必须有计量部门的质量认证书和环保部门的认定证书；</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（5）排污口规范化工程的施工需由有资质的单位负责施工建设；</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（6）经规范化的排污口附近醒目处，必须设置相应的环境保护标志牌。</w:t>
            </w:r>
          </w:p>
          <w:p>
            <w:pPr>
              <w:pStyle w:val="4"/>
              <w:bidi w:val="0"/>
              <w:rPr>
                <w:rFonts w:hint="eastAsia"/>
                <w:color w:val="auto"/>
                <w:lang w:val="en-US" w:eastAsia="zh-CN"/>
              </w:rPr>
            </w:pPr>
            <w:r>
              <w:rPr>
                <w:rFonts w:hint="eastAsia"/>
                <w:color w:val="auto"/>
                <w:lang w:val="en-US" w:eastAsia="zh-CN"/>
              </w:rPr>
              <w:t>5.1.2废水</w:t>
            </w:r>
          </w:p>
          <w:p>
            <w:pPr>
              <w:adjustRightInd w:val="0"/>
              <w:ind w:firstLine="480" w:firstLineChars="200"/>
              <w:rPr>
                <w:rFonts w:hint="default"/>
                <w:color w:val="auto"/>
                <w:lang w:val="en-US" w:eastAsia="zh-CN"/>
              </w:rPr>
            </w:pPr>
            <w:r>
              <w:rPr>
                <w:rFonts w:hint="eastAsia"/>
                <w:color w:val="auto"/>
              </w:rPr>
              <w:t>本项目</w:t>
            </w:r>
            <w:r>
              <w:rPr>
                <w:rFonts w:hint="eastAsia"/>
                <w:color w:val="auto"/>
                <w:szCs w:val="21"/>
                <w:lang w:val="en-US" w:eastAsia="zh-CN"/>
              </w:rPr>
              <w:t>污水处理设施</w:t>
            </w:r>
            <w:r>
              <w:rPr>
                <w:rFonts w:hint="eastAsia" w:ascii="宋体" w:hAnsi="宋体" w:eastAsia="宋体"/>
                <w:color w:val="auto"/>
                <w:sz w:val="24"/>
                <w:szCs w:val="24"/>
              </w:rPr>
              <w:t>排口规范化及废水达标情况由天津津科生物科技有限责任公司负责；共用排水设施（排水管道、园区化粪池、园区总排口）的日常监管、维护、排污口维护工作由天津中关村</w:t>
            </w:r>
            <w:r>
              <w:rPr>
                <w:rFonts w:hint="eastAsia" w:ascii="宋体" w:hAnsi="宋体" w:eastAsia="宋体"/>
                <w:color w:val="auto"/>
                <w:sz w:val="24"/>
                <w:szCs w:val="24"/>
                <w:lang w:val="en-US" w:eastAsia="zh-CN"/>
              </w:rPr>
              <w:t>信息谷科技服务</w:t>
            </w:r>
            <w:r>
              <w:rPr>
                <w:rFonts w:hint="eastAsia" w:ascii="宋体" w:hAnsi="宋体" w:eastAsia="宋体"/>
                <w:color w:val="auto"/>
                <w:sz w:val="24"/>
                <w:szCs w:val="24"/>
              </w:rPr>
              <w:t>有限公司负责。</w:t>
            </w:r>
            <w:r>
              <w:rPr>
                <w:rFonts w:hint="eastAsia"/>
                <w:color w:val="auto"/>
              </w:rPr>
              <w:t>按照《污染源监测技术规范》对污水总排口设置规范的采样点，并在排污口附近醒目处设置环境保护图形标志。</w:t>
            </w:r>
          </w:p>
          <w:p>
            <w:pPr>
              <w:pStyle w:val="4"/>
              <w:bidi w:val="0"/>
              <w:rPr>
                <w:rFonts w:hint="default"/>
                <w:color w:val="auto"/>
                <w:lang w:eastAsia="zh-CN"/>
              </w:rPr>
            </w:pPr>
            <w:r>
              <w:rPr>
                <w:rFonts w:hint="eastAsia"/>
                <w:color w:val="auto"/>
                <w:lang w:val="en-US" w:eastAsia="zh-CN"/>
              </w:rPr>
              <w:t>5.1.3</w:t>
            </w:r>
            <w:r>
              <w:rPr>
                <w:rFonts w:hint="default"/>
                <w:color w:val="auto"/>
                <w:lang w:eastAsia="zh-CN"/>
              </w:rPr>
              <w:t>固废暂存</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本项目固体废物分类收集设专用容器存放，危险废物必须设置</w:t>
            </w:r>
            <w:r>
              <w:rPr>
                <w:rFonts w:hint="default"/>
                <w:color w:val="auto"/>
                <w:lang w:val="en-US" w:eastAsia="zh-CN"/>
              </w:rPr>
              <w:t>危废暂存间</w:t>
            </w:r>
            <w:r>
              <w:rPr>
                <w:rFonts w:hint="default"/>
                <w:color w:val="auto"/>
                <w:lang w:eastAsia="zh-CN"/>
              </w:rPr>
              <w:t>，有防扬散、防流失、防渗淜等措施，分别设置环境保护图形标志和警示标志。</w:t>
            </w:r>
          </w:p>
          <w:p>
            <w:pPr>
              <w:pStyle w:val="4"/>
              <w:bidi w:val="0"/>
              <w:rPr>
                <w:rFonts w:hint="default"/>
                <w:color w:val="auto"/>
                <w:lang w:eastAsia="zh-CN"/>
              </w:rPr>
            </w:pPr>
            <w:r>
              <w:rPr>
                <w:rFonts w:hint="eastAsia"/>
                <w:color w:val="auto"/>
                <w:lang w:val="en-US" w:eastAsia="zh-CN"/>
              </w:rPr>
              <w:t>5.1.4</w:t>
            </w:r>
            <w:r>
              <w:rPr>
                <w:rFonts w:hint="default"/>
                <w:color w:val="auto"/>
                <w:lang w:eastAsia="zh-CN"/>
              </w:rPr>
              <w:t>设置标志牌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eastAsia="zh-CN"/>
              </w:rPr>
            </w:pPr>
            <w:r>
              <w:rPr>
                <w:rFonts w:hint="default"/>
                <w:color w:val="auto"/>
                <w:lang w:eastAsia="zh-CN"/>
              </w:rPr>
              <w:t>排放一般污染物排污口（源），设置提示式标志牌。标志牌设置位置在排污口（采样点）附近且醒目处，高度为标志牌上约离地面2m。排污口附近1m范围内有建筑物的，设平面式标志牌，无建筑物的设立式标志牌。</w:t>
            </w:r>
          </w:p>
          <w:p>
            <w:pPr>
              <w:keepNext w:val="0"/>
              <w:keepLines w:val="0"/>
              <w:pageBreakBefore w:val="0"/>
              <w:widowControl w:val="0"/>
              <w:kinsoku/>
              <w:wordWrap/>
              <w:overflowPunct/>
              <w:topLinePunct w:val="0"/>
              <w:autoSpaceDE/>
              <w:autoSpaceDN/>
              <w:bidi w:val="0"/>
              <w:adjustRightInd w:val="0"/>
              <w:snapToGrid/>
              <w:spacing w:line="360" w:lineRule="auto"/>
              <w:ind w:firstLine="482" w:firstLineChars="200"/>
              <w:rPr>
                <w:rFonts w:hint="default"/>
                <w:b/>
                <w:bCs/>
                <w:color w:val="auto"/>
              </w:rPr>
            </w:pPr>
            <w:r>
              <w:rPr>
                <w:rFonts w:hint="eastAsia"/>
                <w:b/>
                <w:bCs/>
                <w:color w:val="auto"/>
                <w:lang w:val="en-US" w:eastAsia="zh-CN"/>
              </w:rPr>
              <w:t>5.2</w:t>
            </w:r>
            <w:r>
              <w:rPr>
                <w:rFonts w:hint="default"/>
                <w:b/>
                <w:bCs/>
                <w:color w:val="auto"/>
              </w:rPr>
              <w:t>环保设施竣工环保验收</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rPr>
            </w:pPr>
            <w:r>
              <w:rPr>
                <w:rFonts w:hint="default"/>
                <w:color w:val="auto"/>
              </w:rPr>
              <w:t>依据《国务院关于第一批取消62项中央指定地方实施行政审批事项的决定》（国发〔2015〕57号），取消建设项目试生产审批。根据中华人民共和国国务院令第682号《国务院关于修改〈建设项目环境保护管理条例〉的决定》，建设项目需要配套建设的环境保护设施，必须与主体工程同时设计、同时施工、同时投产使用。编制环境影响报告书、环境影响报告表的建设项目竣工后，建设单位应当按照规定的标准和程序，对配套建设的环境保护设施进行验收，编制验收报告。</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rPr>
                <w:rFonts w:hint="default"/>
                <w:color w:val="auto"/>
                <w:lang w:val="en-US" w:eastAsia="zh-CN"/>
              </w:rPr>
            </w:pPr>
            <w:r>
              <w:rPr>
                <w:rFonts w:hint="default"/>
                <w:color w:val="auto"/>
              </w:rPr>
              <w:t>根据《建设项目竣工环境保护验收技术指南 污染影响类》（生态环境部 2018年5月15日），建设单位是建设项目竣工环境保护验收的责任主体，建设项目竣工后，建设单位应当按照本办法规定的程序和标准</w:t>
            </w:r>
            <w:r>
              <w:rPr>
                <w:rFonts w:hint="eastAsia"/>
                <w:color w:val="auto"/>
                <w:lang w:eastAsia="zh-CN"/>
              </w:rPr>
              <w:t>。</w:t>
            </w:r>
            <w:r>
              <w:rPr>
                <w:rFonts w:hint="default"/>
                <w:color w:val="auto"/>
              </w:rPr>
              <w:t>验收期限一般不超过3个月。</w:t>
            </w:r>
          </w:p>
          <w:p>
            <w:pPr>
              <w:pStyle w:val="63"/>
              <w:keepNext w:val="0"/>
              <w:keepLines w:val="0"/>
              <w:pageBreakBefore w:val="0"/>
              <w:widowControl w:val="0"/>
              <w:kinsoku/>
              <w:wordWrap/>
              <w:overflowPunct/>
              <w:topLinePunct w:val="0"/>
              <w:autoSpaceDE/>
              <w:autoSpaceDN/>
              <w:bidi w:val="0"/>
              <w:adjustRightInd w:val="0"/>
              <w:snapToGrid/>
              <w:spacing w:line="360" w:lineRule="auto"/>
              <w:ind w:firstLine="482" w:firstLineChars="200"/>
              <w:rPr>
                <w:rFonts w:hint="default"/>
                <w:b/>
                <w:bCs/>
                <w:color w:val="auto"/>
              </w:rPr>
            </w:pPr>
            <w:r>
              <w:rPr>
                <w:rFonts w:hint="eastAsia"/>
                <w:b/>
                <w:bCs/>
                <w:color w:val="auto"/>
                <w:lang w:val="en-US" w:eastAsia="zh-CN"/>
              </w:rPr>
              <w:t>5.3严格落实</w:t>
            </w:r>
            <w:r>
              <w:rPr>
                <w:rFonts w:hint="default"/>
                <w:b/>
                <w:bCs/>
                <w:color w:val="auto"/>
              </w:rPr>
              <w:t>排污许可</w:t>
            </w:r>
            <w:r>
              <w:rPr>
                <w:rFonts w:hint="eastAsia"/>
                <w:b/>
                <w:bCs/>
                <w:color w:val="auto"/>
                <w:lang w:eastAsia="zh-CN"/>
              </w:rPr>
              <w:t>证制度</w:t>
            </w:r>
          </w:p>
          <w:p>
            <w:pPr>
              <w:pStyle w:val="4"/>
              <w:bidi w:val="0"/>
              <w:rPr>
                <w:rFonts w:hint="default"/>
                <w:b w:val="0"/>
                <w:bCs/>
                <w:color w:val="auto"/>
                <w:lang w:val="en-GB"/>
              </w:rPr>
            </w:pPr>
            <w:r>
              <w:rPr>
                <w:rFonts w:hint="default"/>
                <w:b w:val="0"/>
                <w:bCs/>
                <w:color w:val="auto"/>
                <w:lang w:val="en-GB"/>
              </w:rPr>
              <w:t>根据《排污许可管理条例》（中华人民共和国国务院令 第736号）、《排污许可管理办法（试行）》（部令第48号）、《关于做好环境影响评价制度与排污许可制衔接相关工作的通知》（环办环评[2017]84号）和《关于环评文件落实与排污许可制衔接具体要求的通知》（津环保便函[2018]22号）</w:t>
            </w:r>
            <w:r>
              <w:rPr>
                <w:rFonts w:hint="eastAsia"/>
                <w:b w:val="0"/>
                <w:bCs/>
                <w:color w:val="auto"/>
                <w:lang w:val="en-GB" w:eastAsia="zh-CN"/>
              </w:rPr>
              <w:t>。</w:t>
            </w:r>
            <w:r>
              <w:rPr>
                <w:rFonts w:hint="default"/>
                <w:b w:val="0"/>
                <w:bCs/>
                <w:color w:val="auto"/>
                <w:lang w:val="en-GB"/>
              </w:rPr>
              <w:t>根据《固定污染源排污许可分类管理名录（2019 年版）》（</w:t>
            </w:r>
            <w:r>
              <w:rPr>
                <w:rFonts w:hint="eastAsia"/>
                <w:b w:val="0"/>
                <w:bCs/>
                <w:color w:val="auto"/>
                <w:lang w:val="en-GB" w:eastAsia="zh-CN"/>
              </w:rPr>
              <w:t>生态环境部</w:t>
            </w:r>
            <w:r>
              <w:rPr>
                <w:rFonts w:hint="default"/>
                <w:b w:val="0"/>
                <w:bCs/>
                <w:color w:val="auto"/>
                <w:lang w:val="en-GB"/>
              </w:rPr>
              <w:t>令第11 号），本项目</w:t>
            </w:r>
            <w:r>
              <w:rPr>
                <w:rFonts w:hint="eastAsia"/>
                <w:b w:val="0"/>
                <w:bCs/>
                <w:color w:val="auto"/>
                <w:lang w:val="en-GB" w:eastAsia="zh-CN"/>
              </w:rPr>
              <w:t>暂未纳入该名录</w:t>
            </w:r>
            <w:r>
              <w:rPr>
                <w:rFonts w:hint="default"/>
                <w:b w:val="0"/>
                <w:bCs/>
                <w:color w:val="auto"/>
                <w:lang w:val="en-GB"/>
              </w:rPr>
              <w:t>，</w:t>
            </w:r>
            <w:r>
              <w:rPr>
                <w:rFonts w:hint="eastAsia"/>
                <w:b w:val="0"/>
                <w:bCs/>
                <w:color w:val="auto"/>
                <w:lang w:val="en-GB" w:eastAsia="zh-CN"/>
              </w:rPr>
              <w:t>无需进行排污许可管理</w:t>
            </w:r>
            <w:r>
              <w:rPr>
                <w:rFonts w:hint="default"/>
                <w:b w:val="0"/>
                <w:bCs/>
                <w:color w:val="auto"/>
                <w:lang w:val="en-GB"/>
              </w:rPr>
              <w:t>，</w:t>
            </w:r>
            <w:r>
              <w:rPr>
                <w:rFonts w:hint="eastAsia"/>
                <w:b w:val="0"/>
                <w:bCs/>
                <w:color w:val="auto"/>
                <w:lang w:val="en-GB" w:eastAsia="zh-CN"/>
              </w:rPr>
              <w:t>待有相关要求后再实施</w:t>
            </w:r>
            <w:r>
              <w:rPr>
                <w:rFonts w:hint="default"/>
                <w:b w:val="0"/>
                <w:bCs/>
                <w:color w:val="auto"/>
                <w:lang w:val="en-GB"/>
              </w:rPr>
              <w:t>。</w:t>
            </w:r>
          </w:p>
          <w:p>
            <w:pPr>
              <w:pStyle w:val="4"/>
              <w:bidi w:val="0"/>
              <w:rPr>
                <w:color w:val="auto"/>
              </w:rPr>
            </w:pPr>
            <w:r>
              <w:rPr>
                <w:rFonts w:hint="eastAsia"/>
                <w:color w:val="auto"/>
                <w:lang w:val="en-US" w:eastAsia="zh-CN"/>
              </w:rPr>
              <w:t>5.4</w:t>
            </w:r>
            <w:r>
              <w:rPr>
                <w:color w:val="auto"/>
              </w:rPr>
              <w:t>环境管理</w:t>
            </w:r>
          </w:p>
          <w:p>
            <w:pPr>
              <w:adjustRightInd w:val="0"/>
              <w:spacing w:line="360" w:lineRule="auto"/>
              <w:ind w:firstLine="480"/>
              <w:rPr>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color w:val="auto"/>
              </w:rPr>
              <w:t>环境管理目的</w:t>
            </w:r>
          </w:p>
          <w:p>
            <w:pPr>
              <w:adjustRightInd w:val="0"/>
              <w:spacing w:line="360" w:lineRule="auto"/>
              <w:ind w:firstLine="480"/>
              <w:rPr>
                <w:color w:val="auto"/>
              </w:rPr>
            </w:pPr>
            <w:r>
              <w:rPr>
                <w:color w:val="auto"/>
              </w:rPr>
              <w:t>依据国家环保法，环境管理目的是：“为保护和改善生活环境和生态环境，防治污染和其它公害，保护人体健康，促进社会主义现代化建设的发展”。</w:t>
            </w:r>
          </w:p>
          <w:p>
            <w:pPr>
              <w:adjustRightInd w:val="0"/>
              <w:spacing w:line="360" w:lineRule="auto"/>
              <w:ind w:firstLine="48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环境管理要求</w:t>
            </w:r>
          </w:p>
          <w:p>
            <w:pPr>
              <w:adjustRightInd w:val="0"/>
              <w:spacing w:line="360" w:lineRule="auto"/>
              <w:ind w:firstLine="480"/>
              <w:rPr>
                <w:color w:val="auto"/>
              </w:rPr>
            </w:pPr>
            <w:r>
              <w:rPr>
                <w:rFonts w:hint="eastAsia"/>
                <w:color w:val="auto"/>
              </w:rPr>
              <w:t>①</w:t>
            </w:r>
            <w:r>
              <w:rPr>
                <w:color w:val="auto"/>
              </w:rPr>
              <w:t>建设单位需设环境管理部门，安排兼职环保人员，负责项目运行过程中环境管理、环境监控等工作，并受项目所在地主管部门、环保部门的监督和指导。</w:t>
            </w:r>
          </w:p>
          <w:p>
            <w:pPr>
              <w:adjustRightInd w:val="0"/>
              <w:spacing w:line="360" w:lineRule="auto"/>
              <w:ind w:firstLine="480"/>
              <w:rPr>
                <w:color w:val="auto"/>
              </w:rPr>
            </w:pPr>
            <w:r>
              <w:rPr>
                <w:rFonts w:hint="eastAsia"/>
                <w:color w:val="auto"/>
              </w:rPr>
              <w:t>②</w:t>
            </w:r>
            <w:r>
              <w:rPr>
                <w:color w:val="auto"/>
              </w:rPr>
              <w:t>安排专人定期对环保设施进行检查、维修、保养等工作，确保环保设施长期、稳定、达标运行。</w:t>
            </w:r>
          </w:p>
          <w:p>
            <w:pPr>
              <w:pStyle w:val="8"/>
              <w:bidi w:val="0"/>
              <w:rPr>
                <w:rFonts w:hint="default"/>
                <w:color w:val="auto"/>
                <w:lang w:val="en-GB"/>
              </w:rPr>
            </w:pPr>
            <w:r>
              <w:rPr>
                <w:rFonts w:hint="eastAsia"/>
                <w:color w:val="auto"/>
                <w:lang w:val="en-US" w:eastAsia="zh-CN"/>
              </w:rPr>
              <w:t>③</w:t>
            </w:r>
            <w:r>
              <w:rPr>
                <w:color w:val="auto"/>
              </w:rPr>
              <w:t>定期对员工进行环境保护教育、培训，提高员工的环保意识。</w:t>
            </w:r>
          </w:p>
          <w:p>
            <w:pPr>
              <w:pStyle w:val="4"/>
              <w:bidi w:val="0"/>
              <w:rPr>
                <w:color w:val="auto"/>
              </w:rPr>
            </w:pPr>
            <w:r>
              <w:rPr>
                <w:rFonts w:hint="eastAsia"/>
                <w:color w:val="auto"/>
                <w:lang w:val="en-US" w:eastAsia="zh-CN"/>
              </w:rPr>
              <w:t>5.5</w:t>
            </w:r>
            <w:r>
              <w:rPr>
                <w:color w:val="auto"/>
              </w:rPr>
              <w:t>环保投资</w:t>
            </w:r>
          </w:p>
          <w:p>
            <w:pPr>
              <w:adjustRightInd w:val="0"/>
              <w:spacing w:line="360" w:lineRule="auto"/>
              <w:ind w:firstLine="480" w:firstLineChars="200"/>
              <w:rPr>
                <w:color w:val="auto"/>
              </w:rPr>
            </w:pPr>
            <w:r>
              <w:rPr>
                <w:color w:val="auto"/>
              </w:rPr>
              <w:t>本项目总投资为</w:t>
            </w:r>
            <w:r>
              <w:rPr>
                <w:rFonts w:hint="eastAsia"/>
                <w:color w:val="auto"/>
                <w:lang w:val="en-US" w:eastAsia="zh-CN"/>
              </w:rPr>
              <w:t>100万元</w:t>
            </w:r>
            <w:r>
              <w:rPr>
                <w:color w:val="auto"/>
              </w:rPr>
              <w:t>，环保投资</w:t>
            </w:r>
            <w:r>
              <w:rPr>
                <w:rFonts w:hint="eastAsia"/>
                <w:color w:val="auto"/>
                <w:lang w:val="en-US" w:eastAsia="zh-CN"/>
              </w:rPr>
              <w:t>15</w:t>
            </w:r>
            <w:r>
              <w:rPr>
                <w:color w:val="auto"/>
              </w:rPr>
              <w:t>万元，占总投资的</w:t>
            </w:r>
            <w:r>
              <w:rPr>
                <w:rFonts w:hint="eastAsia"/>
                <w:color w:val="auto"/>
                <w:lang w:val="en-US" w:eastAsia="zh-CN"/>
              </w:rPr>
              <w:t>15%</w:t>
            </w:r>
            <w:r>
              <w:rPr>
                <w:color w:val="auto"/>
              </w:rPr>
              <w:t>，环保投资明细见下表。</w:t>
            </w:r>
          </w:p>
          <w:p>
            <w:pPr>
              <w:pStyle w:val="83"/>
              <w:bidi w:val="0"/>
              <w:rPr>
                <w:rFonts w:hint="eastAsia"/>
                <w:color w:val="auto"/>
                <w:lang w:val="en-US" w:eastAsia="zh-CN"/>
              </w:rPr>
            </w:pPr>
            <w:r>
              <w:rPr>
                <w:rFonts w:hint="eastAsia"/>
                <w:color w:val="auto"/>
                <w:lang w:val="en-US" w:eastAsia="zh-CN"/>
              </w:rPr>
              <w:t>表4-28  环保投资一览表</w:t>
            </w:r>
          </w:p>
          <w:tbl>
            <w:tblPr>
              <w:tblStyle w:val="29"/>
              <w:tblW w:w="74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1741"/>
              <w:gridCol w:w="3559"/>
              <w:gridCol w:w="12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blHeader/>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序号</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sz w:val="21"/>
                      <w:szCs w:val="21"/>
                      <w:lang w:eastAsia="zh-CN"/>
                    </w:rPr>
                  </w:pPr>
                  <w:r>
                    <w:rPr>
                      <w:rFonts w:hint="eastAsia"/>
                      <w:b/>
                      <w:bCs/>
                      <w:color w:val="auto"/>
                      <w:sz w:val="21"/>
                      <w:szCs w:val="21"/>
                      <w:lang w:val="en-US" w:eastAsia="zh-CN"/>
                    </w:rPr>
                    <w:t>项目</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color w:val="auto"/>
                      <w:sz w:val="21"/>
                      <w:szCs w:val="21"/>
                      <w:lang w:val="en-US" w:eastAsia="zh-CN"/>
                    </w:rPr>
                  </w:pPr>
                  <w:r>
                    <w:rPr>
                      <w:rFonts w:hint="eastAsia"/>
                      <w:b/>
                      <w:bCs/>
                      <w:color w:val="auto"/>
                      <w:sz w:val="21"/>
                      <w:szCs w:val="21"/>
                      <w:lang w:val="en-US" w:eastAsia="zh-CN"/>
                    </w:rPr>
                    <w:t>内容</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color w:val="auto"/>
                      <w:sz w:val="21"/>
                      <w:szCs w:val="21"/>
                    </w:rPr>
                  </w:pPr>
                  <w:r>
                    <w:rPr>
                      <w:b/>
                      <w:bCs/>
                      <w:color w:val="auto"/>
                      <w:sz w:val="21"/>
                      <w:szCs w:val="21"/>
                    </w:rPr>
                    <w:t>金额（万元）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color w:val="auto"/>
                      <w:sz w:val="21"/>
                      <w:szCs w:val="21"/>
                    </w:rPr>
                  </w:pPr>
                  <w:r>
                    <w:rPr>
                      <w:color w:val="auto"/>
                      <w:sz w:val="21"/>
                      <w:szCs w:val="21"/>
                    </w:rPr>
                    <w:t>1</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废气治理措施</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活性炭吸附装置、1根排气筒等</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2</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噪声治理措施</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风机软管连接，安装隔声罩</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color w:val="auto"/>
                      <w:sz w:val="21"/>
                      <w:szCs w:val="21"/>
                    </w:rPr>
                    <w:t>3</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color w:val="auto"/>
                      <w:sz w:val="21"/>
                      <w:szCs w:val="21"/>
                    </w:rPr>
                    <w:t>排污口规范化</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废气、废水、固体废物排污口规范化</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 w:val="21"/>
                      <w:szCs w:val="21"/>
                    </w:rPr>
                  </w:pPr>
                  <w:r>
                    <w:rPr>
                      <w:color w:val="auto"/>
                      <w:sz w:val="21"/>
                      <w:szCs w:val="21"/>
                    </w:rPr>
                    <w:t>4</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固废治理措施</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危废暂存间、一般固废暂存间</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5</w:t>
                  </w:r>
                </w:p>
              </w:tc>
              <w:tc>
                <w:tcPr>
                  <w:tcW w:w="174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风险防范及应急措施</w:t>
                  </w:r>
                </w:p>
              </w:tc>
              <w:tc>
                <w:tcPr>
                  <w:tcW w:w="355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地面防渗、消防措施</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6125"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olor w:val="auto"/>
                      <w:sz w:val="21"/>
                      <w:szCs w:val="21"/>
                      <w:lang w:val="en-US" w:eastAsia="zh-CN"/>
                    </w:rPr>
                  </w:pPr>
                  <w:r>
                    <w:rPr>
                      <w:rFonts w:hint="eastAsia"/>
                      <w:color w:val="auto"/>
                      <w:sz w:val="21"/>
                      <w:szCs w:val="21"/>
                      <w:lang w:val="en-US" w:eastAsia="zh-CN"/>
                    </w:rPr>
                    <w:t>合计</w:t>
                  </w:r>
                </w:p>
              </w:tc>
              <w:tc>
                <w:tcPr>
                  <w:tcW w:w="129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color w:val="auto"/>
                      <w:sz w:val="21"/>
                      <w:szCs w:val="21"/>
                      <w:lang w:val="en-US" w:eastAsia="zh-CN"/>
                    </w:rPr>
                  </w:pPr>
                  <w:r>
                    <w:rPr>
                      <w:rFonts w:hint="eastAsia"/>
                      <w:color w:val="auto"/>
                      <w:sz w:val="21"/>
                      <w:szCs w:val="21"/>
                      <w:lang w:val="en-US" w:eastAsia="zh-CN"/>
                    </w:rPr>
                    <w:t>15</w:t>
                  </w:r>
                </w:p>
              </w:tc>
            </w:tr>
          </w:tbl>
          <w:p>
            <w:pPr>
              <w:pStyle w:val="9"/>
              <w:rPr>
                <w:rFonts w:hint="default"/>
                <w:color w:val="auto"/>
              </w:rPr>
            </w:pPr>
          </w:p>
        </w:tc>
      </w:tr>
    </w:tbl>
    <w:p>
      <w:pPr>
        <w:pStyle w:val="26"/>
        <w:keepNext w:val="0"/>
        <w:keepLines w:val="0"/>
        <w:pageBreakBefore w:val="0"/>
        <w:widowControl/>
        <w:kinsoku/>
        <w:wordWrap/>
        <w:overflowPunct/>
        <w:topLinePunct w:val="0"/>
        <w:autoSpaceDE/>
        <w:autoSpaceDN/>
        <w:bidi w:val="0"/>
        <w:adjustRightInd/>
        <w:snapToGrid/>
        <w:spacing w:before="313" w:beforeLines="100" w:beforeAutospacing="0" w:after="313" w:afterLines="100" w:afterAutospacing="0" w:line="240" w:lineRule="auto"/>
        <w:ind w:firstLine="480" w:firstLineChars="200"/>
        <w:jc w:val="both"/>
        <w:textAlignment w:val="auto"/>
        <w:outlineLvl w:val="0"/>
        <w:rPr>
          <w:rFonts w:ascii="黑体" w:hAnsi="黑体" w:eastAsia="黑体"/>
          <w:snapToGrid w:val="0"/>
          <w:color w:val="auto"/>
          <w:sz w:val="30"/>
          <w:szCs w:val="30"/>
        </w:rPr>
      </w:pPr>
      <w:r>
        <w:rPr>
          <w:snapToGrid w:val="0"/>
          <w:color w:val="auto"/>
        </w:rPr>
        <w:br w:type="page"/>
      </w:r>
      <w:r>
        <w:rPr>
          <w:rFonts w:hint="eastAsia" w:ascii="黑体" w:hAnsi="黑体" w:eastAsia="黑体"/>
          <w:snapToGrid w:val="0"/>
          <w:color w:val="auto"/>
          <w:sz w:val="30"/>
          <w:szCs w:val="30"/>
        </w:rPr>
        <w:t>六、结论</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cs="宋体"/>
                <w:color w:val="auto"/>
                <w:sz w:val="24"/>
              </w:rPr>
            </w:pPr>
            <w:r>
              <w:rPr>
                <w:rFonts w:hint="eastAsia"/>
                <w:color w:val="auto"/>
                <w:szCs w:val="24"/>
                <w:lang w:eastAsia="zh-CN"/>
              </w:rPr>
              <w:t>天津津科生物科技有限责任公司津科生物新建实验室</w:t>
            </w:r>
            <w:r>
              <w:rPr>
                <w:rFonts w:hint="default" w:ascii="Times New Roman" w:hAnsi="Times New Roman" w:eastAsia="宋体" w:cs="Times New Roman"/>
                <w:color w:val="auto"/>
                <w:kern w:val="0"/>
                <w:sz w:val="24"/>
                <w:szCs w:val="24"/>
              </w:rPr>
              <w:t>项目</w:t>
            </w:r>
            <w:r>
              <w:rPr>
                <w:rFonts w:hint="default" w:ascii="Times New Roman" w:hAnsi="Times New Roman" w:eastAsia="宋体" w:cs="Times New Roman"/>
                <w:color w:val="auto"/>
                <w:sz w:val="24"/>
                <w:lang w:val="en-US" w:eastAsia="zh-CN"/>
              </w:rPr>
              <w:t>符合国家及地方有关政策要求，厂址选择合理。</w:t>
            </w:r>
            <w:r>
              <w:rPr>
                <w:rFonts w:hint="eastAsia" w:cs="Times New Roman"/>
                <w:color w:val="auto"/>
                <w:sz w:val="24"/>
                <w:lang w:val="en-US" w:eastAsia="zh-CN"/>
              </w:rPr>
              <w:t>本项目本项目实验过程、溶液配制产生的废气非甲烷总烃、TRVOC、甲醇、二甲苯、氯化氢、氨、臭气浓度，通过病理实验室通风橱全部收集，动物饲养间消毒、饲养过程产生的非甲烷总烃、TRVOC、氨、硫化氢、臭气浓度，通过洁净车间整体收集，经1套活性炭设施处理后通过1根20m高排气筒P1排放。本项目动物房清洗废水、手术器具清洁废水、第三次实验清洗废水、实验服清洗废水经过滤、消毒处理，生活污水经化粪池静置沉淀，同净水机浓水混合通过园区总排口排入市政污水管网，最终排入咸阳路污水处理厂处理。本项目室外噪声源运行噪声采取合理布局、基础减振、软管连接、洁净车间风机安装隔声罩等措施，室内噪声源采取墙体隔声、距离衰减等措施。</w:t>
            </w:r>
            <w:r>
              <w:rPr>
                <w:rFonts w:hint="eastAsia"/>
                <w:color w:val="auto"/>
                <w:lang w:val="en-US" w:eastAsia="zh-CN"/>
              </w:rPr>
              <w:t>本项目产生的废气、废水、噪声经治理后满足相关排放标准要求。固体废物合理收集，处置去向合理，不会产生二次污染，针对可能的环境风险采取有效的事故防范措施和应急措施，项目建成后不会对其产生明显不利影响。</w:t>
            </w:r>
            <w:r>
              <w:rPr>
                <w:rFonts w:ascii="Times New Roman" w:hAnsi="Times New Roman" w:eastAsia="宋体" w:cs="Times New Roman"/>
                <w:bCs/>
                <w:color w:val="auto"/>
                <w:sz w:val="24"/>
                <w:szCs w:val="24"/>
              </w:rPr>
              <w:t>本项目总投资为</w:t>
            </w:r>
            <w:r>
              <w:rPr>
                <w:rFonts w:hint="eastAsia" w:cs="Times New Roman"/>
                <w:bCs/>
                <w:color w:val="auto"/>
                <w:sz w:val="24"/>
                <w:szCs w:val="24"/>
                <w:lang w:val="en-US" w:eastAsia="zh-CN"/>
              </w:rPr>
              <w:t>100万元</w:t>
            </w:r>
            <w:r>
              <w:rPr>
                <w:rFonts w:ascii="Times New Roman" w:hAnsi="Times New Roman" w:eastAsia="宋体" w:cs="Times New Roman"/>
                <w:bCs/>
                <w:color w:val="auto"/>
                <w:sz w:val="24"/>
                <w:szCs w:val="24"/>
              </w:rPr>
              <w:t>，环保投资</w:t>
            </w:r>
            <w:r>
              <w:rPr>
                <w:rFonts w:hint="eastAsia" w:cs="Times New Roman"/>
                <w:bCs/>
                <w:color w:val="auto"/>
                <w:sz w:val="24"/>
                <w:szCs w:val="24"/>
                <w:lang w:val="en-US" w:eastAsia="zh-CN"/>
              </w:rPr>
              <w:t>15</w:t>
            </w:r>
            <w:r>
              <w:rPr>
                <w:rFonts w:ascii="Times New Roman" w:hAnsi="Times New Roman" w:eastAsia="宋体" w:cs="Times New Roman"/>
                <w:bCs/>
                <w:color w:val="auto"/>
                <w:sz w:val="24"/>
                <w:szCs w:val="24"/>
              </w:rPr>
              <w:t>万元，占总投资的</w:t>
            </w:r>
            <w:r>
              <w:rPr>
                <w:rFonts w:hint="eastAsia" w:cs="Times New Roman"/>
                <w:bCs/>
                <w:color w:val="auto"/>
                <w:sz w:val="24"/>
                <w:szCs w:val="24"/>
                <w:lang w:val="en-US" w:eastAsia="zh-CN"/>
              </w:rPr>
              <w:t>15</w:t>
            </w:r>
            <w:r>
              <w:rPr>
                <w:rFonts w:hint="eastAsia"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w:t>
            </w:r>
            <w:r>
              <w:rPr>
                <w:rFonts w:hint="default" w:ascii="Times New Roman" w:hAnsi="Times New Roman" w:eastAsia="宋体" w:cs="Times New Roman"/>
                <w:color w:val="auto"/>
                <w:sz w:val="24"/>
                <w:lang w:val="en-US" w:eastAsia="zh-CN"/>
              </w:rPr>
              <w:t>项目要在建设过程中认真执行“三同时”制度，严格落实并合理使用环保投资</w:t>
            </w:r>
            <w:r>
              <w:rPr>
                <w:rFonts w:hint="eastAsia" w:cs="Times New Roman"/>
                <w:color w:val="auto"/>
                <w:sz w:val="24"/>
                <w:lang w:val="en-US" w:eastAsia="zh-CN"/>
              </w:rPr>
              <w:t>，</w:t>
            </w:r>
            <w:r>
              <w:rPr>
                <w:rFonts w:hint="default" w:ascii="Times New Roman" w:hAnsi="Times New Roman" w:eastAsia="宋体" w:cs="Times New Roman"/>
                <w:color w:val="auto"/>
                <w:sz w:val="24"/>
                <w:lang w:val="en-US" w:eastAsia="zh-CN"/>
              </w:rPr>
              <w:t xml:space="preserve">工程运营后，加强环境管理，确保各项污染治理设施长期稳定运行，实现污染物的达标排放并满足国家总量控制目标要求，从环境保护角度认为，该项目建设可行。 </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24"/>
          <w:szCs w:val="24"/>
        </w:rPr>
      </w:pPr>
      <w:r>
        <w:rPr>
          <w:rFonts w:hint="eastAsia" w:ascii="黑体" w:hAnsi="黑体" w:eastAsia="黑体"/>
          <w:snapToGrid w:val="0"/>
          <w:color w:val="auto"/>
          <w:sz w:val="24"/>
          <w:szCs w:val="24"/>
        </w:rPr>
        <w:t>附表</w:t>
      </w:r>
    </w:p>
    <w:p>
      <w:pPr>
        <w:pStyle w:val="26"/>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方正小标宋_GBK" w:hAnsi="黑体" w:eastAsia="方正小标宋_GBK"/>
          <w:snapToGrid w:val="0"/>
          <w:color w:val="auto"/>
          <w:sz w:val="38"/>
          <w:szCs w:val="38"/>
        </w:rPr>
      </w:pPr>
      <w:r>
        <w:rPr>
          <w:rFonts w:hint="eastAsia" w:ascii="方正小标宋_GBK" w:hAnsi="黑体" w:eastAsia="方正小标宋_GBK"/>
          <w:snapToGrid w:val="0"/>
          <w:color w:val="auto"/>
          <w:sz w:val="38"/>
          <w:szCs w:val="38"/>
        </w:rPr>
        <w:t>建设项目污染物排放量汇总表</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113"/>
        <w:gridCol w:w="1604"/>
        <w:gridCol w:w="1246"/>
        <w:gridCol w:w="1823"/>
        <w:gridCol w:w="1511"/>
        <w:gridCol w:w="1627"/>
        <w:gridCol w:w="2054"/>
        <w:gridCol w:w="122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588" w:type="dxa"/>
            <w:tcBorders>
              <w:tl2br w:val="single" w:color="auto" w:sz="4" w:space="0"/>
            </w:tcBorders>
            <w:noWrap w:val="0"/>
            <w:tcMar>
              <w:left w:w="28" w:type="dxa"/>
              <w:right w:w="28" w:type="dxa"/>
            </w:tcMar>
            <w:vAlign w:val="center"/>
          </w:tcPr>
          <w:p>
            <w:pPr>
              <w:pStyle w:val="56"/>
              <w:spacing w:beforeLines="0" w:afterLines="0" w:line="240" w:lineRule="auto"/>
              <w:jc w:val="righ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pPr>
              <w:pStyle w:val="56"/>
              <w:spacing w:beforeLines="0" w:afterLines="0" w:line="240" w:lineRule="auto"/>
              <w:jc w:val="left"/>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1113"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604"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46"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现有工程许可排放量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823"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511"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本项目排放量（固体废物产生量）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627"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以新带老削减量（新建项目不填）</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2054"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本项目建成后全厂排放量（固体废物产生量）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222" w:type="dxa"/>
            <w:noWrap w:val="0"/>
            <w:tcMar>
              <w:left w:w="28" w:type="dxa"/>
              <w:right w:w="28" w:type="dxa"/>
            </w:tcMar>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0"/>
            <w:vAlign w:val="center"/>
          </w:tcPr>
          <w:p>
            <w:pPr>
              <w:pStyle w:val="56"/>
              <w:spacing w:beforeLines="0" w:afterLines="0" w:line="240" w:lineRule="auto"/>
              <w:jc w:val="both"/>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1113" w:type="dxa"/>
            <w:noWrap w:val="0"/>
            <w:vAlign w:val="center"/>
          </w:tcPr>
          <w:p>
            <w:pPr>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VOCs</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84"/>
              <w:bidi w:val="0"/>
              <w:ind w:firstLine="0" w:firstLineChars="0"/>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2"/>
                <w:sz w:val="21"/>
                <w:szCs w:val="21"/>
                <w:lang w:val="en-US" w:eastAsia="zh-CN" w:bidi="ar-SA"/>
              </w:rPr>
              <w:t>0.1981</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84"/>
              <w:bidi w:val="0"/>
              <w:ind w:firstLine="0" w:firstLineChars="0"/>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kern w:val="2"/>
                <w:sz w:val="21"/>
                <w:szCs w:val="21"/>
                <w:lang w:val="en-US" w:eastAsia="zh-CN" w:bidi="ar-SA"/>
              </w:rPr>
              <w:t>0.1981</w:t>
            </w:r>
            <w:r>
              <w:rPr>
                <w:rFonts w:hint="default" w:ascii="Times New Roman" w:hAnsi="Times New Roman" w:cs="Times New Roman"/>
                <w:color w:val="auto"/>
                <w:sz w:val="21"/>
                <w:szCs w:val="21"/>
                <w:lang w:val="en-US" w:eastAsia="zh-CN"/>
              </w:rPr>
              <w:t>t/a</w:t>
            </w:r>
          </w:p>
        </w:tc>
        <w:tc>
          <w:tcPr>
            <w:tcW w:w="1222" w:type="dxa"/>
            <w:noWrap w:val="0"/>
            <w:vAlign w:val="center"/>
          </w:tcPr>
          <w:p>
            <w:pPr>
              <w:pStyle w:val="84"/>
              <w:bidi w:val="0"/>
              <w:ind w:firstLine="0" w:firstLineChars="0"/>
              <w:rPr>
                <w:rFonts w:hint="default" w:ascii="Times New Roman" w:hAnsi="Times New Roman" w:eastAsia="宋体" w:cs="Times New Roman"/>
                <w:snapToGrid w:val="0"/>
                <w:color w:val="auto"/>
                <w:kern w:val="21"/>
                <w:sz w:val="21"/>
                <w:szCs w:val="21"/>
              </w:rPr>
            </w:pPr>
            <w:r>
              <w:rPr>
                <w:rFonts w:hint="eastAsia" w:cs="Times New Roman"/>
                <w:color w:val="auto"/>
                <w:kern w:val="2"/>
                <w:sz w:val="21"/>
                <w:szCs w:val="21"/>
                <w:lang w:val="en-US" w:eastAsia="zh-CN" w:bidi="ar-SA"/>
              </w:rPr>
              <w:t>+0.1981</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588" w:type="dxa"/>
            <w:vMerge w:val="restart"/>
            <w:noWrap w:val="0"/>
            <w:vAlign w:val="center"/>
          </w:tcPr>
          <w:p>
            <w:pPr>
              <w:pStyle w:val="56"/>
              <w:spacing w:beforeLines="0" w:afterLines="0" w:line="240" w:lineRule="auto"/>
              <w:jc w:val="both"/>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11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lang w:val="en-US" w:eastAsia="zh-CN" w:bidi="ar-SA"/>
              </w:rPr>
              <w:t>CODcr</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0.12</w:t>
            </w:r>
            <w:r>
              <w:rPr>
                <w:rFonts w:hint="eastAsia" w:cs="Times New Roman"/>
                <w:color w:val="auto"/>
                <w:sz w:val="21"/>
                <w:szCs w:val="21"/>
                <w:lang w:val="en-US" w:eastAsia="zh-CN"/>
              </w:rPr>
              <w:t>46</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0.12</w:t>
            </w:r>
            <w:r>
              <w:rPr>
                <w:rFonts w:hint="eastAsia" w:cs="Times New Roman"/>
                <w:color w:val="auto"/>
                <w:sz w:val="21"/>
                <w:szCs w:val="21"/>
                <w:lang w:val="en-US" w:eastAsia="zh-CN"/>
              </w:rPr>
              <w:t>46</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222" w:type="dxa"/>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0.12</w:t>
            </w:r>
            <w:r>
              <w:rPr>
                <w:rFonts w:hint="eastAsia" w:cs="Times New Roman"/>
                <w:color w:val="auto"/>
                <w:sz w:val="21"/>
                <w:szCs w:val="21"/>
                <w:lang w:val="en-US" w:eastAsia="zh-CN"/>
              </w:rPr>
              <w:t>46</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jc w:val="both"/>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氨氮</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0.0125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0.0125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222" w:type="dxa"/>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0.0125</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jc w:val="both"/>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总磷</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0.001</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0.001</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222" w:type="dxa"/>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0.001</w:t>
            </w:r>
            <w:r>
              <w:rPr>
                <w:rFonts w:hint="eastAsia" w:cs="Times New Roman"/>
                <w:color w:val="auto"/>
                <w:sz w:val="21"/>
                <w:szCs w:val="21"/>
                <w:lang w:val="en-US" w:eastAsia="zh-CN"/>
              </w:rPr>
              <w:t>4</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jc w:val="both"/>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总氮</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spacing w:line="240" w:lineRule="auto"/>
              <w:ind w:firstLine="0" w:firstLineChars="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0.0183</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CN"/>
              </w:rPr>
              <w:t>0.0183</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c>
          <w:tcPr>
            <w:tcW w:w="1222" w:type="dxa"/>
            <w:noWrap w:val="0"/>
            <w:vAlign w:val="center"/>
          </w:tcPr>
          <w:p>
            <w:pPr>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0.0183</w:t>
            </w:r>
            <w:r>
              <w:rPr>
                <w:rFonts w:hint="default" w:ascii="Times New Roman" w:hAnsi="Times New Roman" w:cs="Times New Roman"/>
                <w:color w:val="auto"/>
                <w:sz w:val="21"/>
                <w:szCs w:val="21"/>
                <w:lang w:val="en-US" w:eastAsia="zh-CN"/>
              </w:rPr>
              <w:t>t/a</w:t>
            </w:r>
            <w:r>
              <w:rPr>
                <w:rFonts w:hint="eastAsia" w:ascii="Times New Roman" w:hAnsi="Times New Roman" w:cs="Times New Roman"/>
                <w:color w:val="auto"/>
                <w:sz w:val="21"/>
                <w:szCs w:val="21"/>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一般工业固体废物</w:t>
            </w:r>
          </w:p>
        </w:tc>
        <w:tc>
          <w:tcPr>
            <w:tcW w:w="1113" w:type="dxa"/>
            <w:noWrap w:val="0"/>
            <w:vAlign w:val="center"/>
          </w:tcPr>
          <w:p>
            <w:pPr>
              <w:pStyle w:val="91"/>
              <w:bidi w:val="0"/>
              <w:rPr>
                <w:rFonts w:hint="default" w:ascii="Times New Roman" w:hAnsi="Times New Roman" w:eastAsia="宋体" w:cs="Times New Roman"/>
                <w:snapToGrid w:val="0"/>
                <w:color w:val="auto"/>
                <w:kern w:val="21"/>
                <w:sz w:val="21"/>
                <w:szCs w:val="21"/>
              </w:rPr>
            </w:pPr>
            <w:r>
              <w:rPr>
                <w:rFonts w:hint="eastAsia"/>
                <w:color w:val="auto"/>
                <w:lang w:val="en-US" w:eastAsia="zh-CN"/>
              </w:rPr>
              <w:t>废包装物</w:t>
            </w:r>
          </w:p>
        </w:tc>
        <w:tc>
          <w:tcPr>
            <w:tcW w:w="1604"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22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hAnsi="Times New Roman" w:eastAsia="宋体" w:cs="Times New Roman"/>
                <w:snapToGrid w:val="0"/>
                <w:color w:val="auto"/>
                <w:kern w:val="21"/>
                <w:sz w:val="21"/>
                <w:szCs w:val="21"/>
                <w:lang w:val="en-US" w:eastAsia="zh-CN"/>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pStyle w:val="91"/>
              <w:bidi w:val="0"/>
              <w:rPr>
                <w:rFonts w:hint="eastAsia"/>
                <w:b w:val="0"/>
                <w:bCs w:val="0"/>
                <w:color w:val="auto"/>
                <w:sz w:val="21"/>
                <w:szCs w:val="21"/>
                <w:lang w:val="en-US" w:eastAsia="zh-CN"/>
              </w:rPr>
            </w:pPr>
            <w:r>
              <w:rPr>
                <w:rFonts w:hint="eastAsia"/>
                <w:color w:val="auto"/>
                <w:lang w:val="en-US" w:eastAsia="zh-CN"/>
              </w:rPr>
              <w:t>废培养基</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t/a</w:t>
            </w:r>
          </w:p>
        </w:tc>
        <w:tc>
          <w:tcPr>
            <w:tcW w:w="122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+0.1</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pStyle w:val="91"/>
              <w:bidi w:val="0"/>
              <w:rPr>
                <w:rFonts w:hint="eastAsia"/>
                <w:b w:val="0"/>
                <w:bCs w:val="0"/>
                <w:color w:val="auto"/>
                <w:sz w:val="21"/>
                <w:szCs w:val="21"/>
                <w:lang w:val="en-US" w:eastAsia="zh-CN"/>
              </w:rPr>
            </w:pPr>
            <w:r>
              <w:rPr>
                <w:rFonts w:hint="eastAsia" w:cs="Times New Roman"/>
                <w:color w:val="auto"/>
                <w:lang w:val="en-US" w:eastAsia="zh-CN"/>
              </w:rPr>
              <w:t>净水设备废弃物</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22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pStyle w:val="91"/>
              <w:bidi w:val="0"/>
              <w:rPr>
                <w:rFonts w:hint="eastAsia"/>
                <w:b w:val="0"/>
                <w:bCs w:val="0"/>
                <w:color w:val="auto"/>
                <w:sz w:val="21"/>
                <w:szCs w:val="21"/>
                <w:lang w:val="en-US" w:eastAsia="zh-CN"/>
              </w:rPr>
            </w:pPr>
            <w:r>
              <w:rPr>
                <w:rFonts w:hint="eastAsia"/>
                <w:color w:val="auto"/>
                <w:lang w:val="en-US" w:eastAsia="zh-CN"/>
              </w:rPr>
              <w:t>动物粪便</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lang w:val="en-US" w:eastAsia="zh-CN"/>
              </w:rPr>
            </w:pPr>
            <w:r>
              <w:rPr>
                <w:rFonts w:hint="eastAsia" w:ascii="Times New Roman" w:cs="Times New Roman"/>
                <w:color w:val="auto"/>
                <w:sz w:val="21"/>
                <w:szCs w:val="21"/>
                <w:lang w:val="en-US" w:eastAsia="zh-CN"/>
              </w:rPr>
              <w:t>1.7</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1.7</w:t>
            </w:r>
            <w:r>
              <w:rPr>
                <w:rFonts w:hint="default" w:ascii="Times New Roman" w:hAnsi="Times New Roman" w:cs="Times New Roman"/>
                <w:color w:val="auto"/>
                <w:sz w:val="21"/>
                <w:szCs w:val="21"/>
                <w:lang w:val="en-US" w:eastAsia="zh-CN"/>
              </w:rPr>
              <w:t>t/a</w:t>
            </w:r>
          </w:p>
        </w:tc>
        <w:tc>
          <w:tcPr>
            <w:tcW w:w="122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+1.7</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生活垃圾</w:t>
            </w:r>
          </w:p>
        </w:tc>
        <w:tc>
          <w:tcPr>
            <w:tcW w:w="1113" w:type="dxa"/>
            <w:noWrap w:val="0"/>
            <w:vAlign w:val="center"/>
          </w:tcPr>
          <w:p>
            <w:pPr>
              <w:pStyle w:val="91"/>
              <w:bidi w:val="0"/>
              <w:rPr>
                <w:rFonts w:hint="eastAsia"/>
                <w:b w:val="0"/>
                <w:bCs w:val="0"/>
                <w:color w:val="auto"/>
                <w:sz w:val="21"/>
                <w:szCs w:val="21"/>
                <w:lang w:val="en-US" w:eastAsia="zh-CN"/>
              </w:rPr>
            </w:pPr>
            <w:r>
              <w:rPr>
                <w:rFonts w:hint="eastAsia" w:ascii="Times New Roman" w:cs="Times New Roman"/>
                <w:snapToGrid w:val="0"/>
                <w:color w:val="auto"/>
                <w:kern w:val="21"/>
                <w:sz w:val="21"/>
                <w:szCs w:val="21"/>
                <w:lang w:val="en-US" w:eastAsia="zh-CN"/>
              </w:rPr>
              <w:t>生活垃圾</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default" w:asci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2.375t/a</w:t>
            </w:r>
          </w:p>
        </w:tc>
        <w:tc>
          <w:tcPr>
            <w:tcW w:w="1627" w:type="dxa"/>
            <w:noWrap w:val="0"/>
            <w:vAlign w:val="center"/>
          </w:tcPr>
          <w:p>
            <w:pPr>
              <w:pStyle w:val="56"/>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2.375t/a</w:t>
            </w:r>
          </w:p>
        </w:tc>
        <w:tc>
          <w:tcPr>
            <w:tcW w:w="1222"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jc w:val="center"/>
              <w:textAlignment w:val="auto"/>
              <w:rPr>
                <w:rFonts w:hint="eastAsia" w:ascii="Times New Roman" w:cs="Times New Roman"/>
                <w:color w:val="auto"/>
                <w:sz w:val="21"/>
                <w:szCs w:val="21"/>
                <w:lang w:val="en-US" w:eastAsia="zh-CN"/>
              </w:rPr>
            </w:pPr>
            <w:r>
              <w:rPr>
                <w:rFonts w:hint="eastAsia" w:asci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2.375t/a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restart"/>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snapToGrid w:val="0"/>
                <w:color w:val="auto"/>
                <w:kern w:val="21"/>
                <w:sz w:val="21"/>
                <w:szCs w:val="21"/>
                <w:lang w:val="en-US" w:eastAsia="zh-CN"/>
              </w:rPr>
            </w:pPr>
            <w:r>
              <w:rPr>
                <w:rFonts w:hint="eastAsia"/>
                <w:color w:val="auto"/>
                <w:sz w:val="21"/>
                <w:szCs w:val="21"/>
                <w:lang w:val="en-US" w:eastAsia="zh-CN"/>
              </w:rPr>
              <w:t>废活性炭</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3.4381</w:t>
            </w:r>
            <w:r>
              <w:rPr>
                <w:rFonts w:hint="default" w:ascii="Times New Roman" w:hAnsi="Times New Roman" w:eastAsia="宋体" w:cs="Times New Roman"/>
                <w:color w:val="auto"/>
                <w:sz w:val="21"/>
                <w:szCs w:val="21"/>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3.4381</w:t>
            </w:r>
            <w:r>
              <w:rPr>
                <w:rFonts w:hint="default" w:ascii="Times New Roman" w:hAnsi="Times New Roman" w:eastAsia="宋体" w:cs="Times New Roman"/>
                <w:color w:val="auto"/>
                <w:sz w:val="21"/>
                <w:szCs w:val="21"/>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cs="Times New Roman"/>
                <w:snapToGrid w:val="0"/>
                <w:color w:val="auto"/>
                <w:kern w:val="21"/>
                <w:sz w:val="21"/>
                <w:szCs w:val="21"/>
                <w:lang w:val="en-US" w:eastAsia="zh-CN"/>
              </w:rPr>
            </w:pPr>
            <w:r>
              <w:rPr>
                <w:rFonts w:hint="eastAsia" w:cs="Times New Roman"/>
                <w:color w:val="auto"/>
                <w:sz w:val="21"/>
                <w:szCs w:val="21"/>
                <w:lang w:val="en-US" w:eastAsia="zh-CN"/>
              </w:rPr>
              <w:t>+3.4381</w:t>
            </w:r>
            <w:r>
              <w:rPr>
                <w:rFonts w:hint="default" w:ascii="Times New Roman" w:hAnsi="Times New Roman" w:eastAsia="宋体"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val="0"/>
                <w:bCs w:val="0"/>
                <w:color w:val="auto"/>
                <w:sz w:val="21"/>
                <w:szCs w:val="21"/>
                <w:lang w:val="en-US" w:eastAsia="zh-CN"/>
              </w:rPr>
            </w:pPr>
            <w:r>
              <w:rPr>
                <w:rFonts w:hint="eastAsia"/>
                <w:color w:val="auto"/>
                <w:sz w:val="21"/>
                <w:szCs w:val="21"/>
                <w:lang w:val="en-US" w:eastAsia="zh-CN"/>
              </w:rPr>
              <w:t>实验废液</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1.02</w:t>
            </w:r>
            <w:r>
              <w:rPr>
                <w:rFonts w:hint="default" w:ascii="Times New Roman" w:hAnsi="Times New Roman" w:eastAsia="宋体" w:cs="Times New Roman"/>
                <w:color w:val="auto"/>
                <w:sz w:val="21"/>
                <w:szCs w:val="21"/>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1.02</w:t>
            </w:r>
            <w:r>
              <w:rPr>
                <w:rFonts w:hint="default" w:ascii="Times New Roman" w:hAnsi="Times New Roman" w:eastAsia="宋体" w:cs="Times New Roman"/>
                <w:color w:val="auto"/>
                <w:sz w:val="21"/>
                <w:szCs w:val="21"/>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+1.02</w:t>
            </w:r>
            <w:r>
              <w:rPr>
                <w:rFonts w:hint="default" w:ascii="Times New Roman" w:hAnsi="Times New Roman" w:eastAsia="宋体"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b w:val="0"/>
                <w:bCs w:val="0"/>
                <w:color w:val="auto"/>
                <w:sz w:val="21"/>
                <w:szCs w:val="21"/>
                <w:lang w:val="en-US" w:eastAsia="zh-CN"/>
              </w:rPr>
            </w:pPr>
            <w:r>
              <w:rPr>
                <w:rFonts w:hint="eastAsia"/>
                <w:color w:val="auto"/>
                <w:sz w:val="21"/>
                <w:szCs w:val="21"/>
                <w:lang w:val="en-US" w:eastAsia="zh-CN"/>
              </w:rPr>
              <w:t>实验废物</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+0.01</w:t>
            </w:r>
            <w:r>
              <w:rPr>
                <w:rFonts w:hint="default" w:ascii="Times New Roman" w:hAnsi="Times New Roman" w:cs="Times New Roman"/>
                <w:color w:val="auto"/>
                <w:sz w:val="21"/>
                <w:szCs w:val="21"/>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b w:val="0"/>
                <w:bCs w:val="0"/>
                <w:color w:val="auto"/>
                <w:sz w:val="21"/>
                <w:szCs w:val="21"/>
                <w:lang w:val="en-US" w:eastAsia="zh-CN"/>
              </w:rPr>
            </w:pPr>
            <w:r>
              <w:rPr>
                <w:rFonts w:hint="eastAsia"/>
                <w:color w:val="auto"/>
                <w:sz w:val="21"/>
                <w:szCs w:val="21"/>
                <w:lang w:val="en-US" w:eastAsia="zh-CN"/>
              </w:rPr>
              <w:t>废UV灯管</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0.008</w:t>
            </w:r>
            <w:r>
              <w:rPr>
                <w:rFonts w:hint="default" w:ascii="Times New Roman" w:hAnsi="Times New Roman" w:eastAsia="宋体" w:cs="Times New Roman"/>
                <w:color w:val="auto"/>
                <w:sz w:val="21"/>
                <w:szCs w:val="21"/>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eastAsia="宋体" w:cs="Times New Roman"/>
                <w:snapToGrid w:val="0"/>
                <w:color w:val="auto"/>
                <w:kern w:val="21"/>
                <w:sz w:val="21"/>
                <w:szCs w:val="21"/>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0.008</w:t>
            </w:r>
            <w:r>
              <w:rPr>
                <w:rFonts w:hint="default" w:ascii="Times New Roman" w:hAnsi="Times New Roman" w:eastAsia="宋体" w:cs="Times New Roman"/>
                <w:color w:val="auto"/>
                <w:sz w:val="21"/>
                <w:szCs w:val="21"/>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+0.008</w:t>
            </w:r>
            <w:r>
              <w:rPr>
                <w:rFonts w:hint="default" w:ascii="Times New Roman" w:hAnsi="Times New Roman" w:eastAsia="宋体"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vMerge w:val="continue"/>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b w:val="0"/>
                <w:bCs w:val="0"/>
                <w:color w:val="auto"/>
                <w:sz w:val="21"/>
                <w:szCs w:val="21"/>
                <w:lang w:val="en-US" w:eastAsia="zh-CN"/>
              </w:rPr>
            </w:pPr>
            <w:r>
              <w:rPr>
                <w:rFonts w:hint="eastAsia"/>
                <w:color w:val="auto"/>
                <w:sz w:val="21"/>
                <w:szCs w:val="21"/>
                <w:lang w:val="en-US" w:eastAsia="zh-CN"/>
              </w:rPr>
              <w:t>动物尸体</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0.35</w:t>
            </w:r>
            <w:r>
              <w:rPr>
                <w:rFonts w:hint="default" w:ascii="Times New Roman" w:hAnsi="Times New Roman" w:eastAsia="宋体" w:cs="Times New Roman"/>
                <w:color w:val="auto"/>
                <w:sz w:val="21"/>
                <w:szCs w:val="21"/>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 w:val="21"/>
                <w:szCs w:val="21"/>
                <w:lang w:val="en-US" w:eastAsia="zh-CN"/>
              </w:rPr>
            </w:pPr>
            <w:r>
              <w:rPr>
                <w:rFonts w:hint="default" w:ascii="Times New Roman" w:hAns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0.35</w:t>
            </w:r>
            <w:r>
              <w:rPr>
                <w:rFonts w:hint="default" w:ascii="Times New Roman" w:hAnsi="Times New Roman" w:eastAsia="宋体" w:cs="Times New Roman"/>
                <w:color w:val="auto"/>
                <w:sz w:val="21"/>
                <w:szCs w:val="21"/>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+0.35</w:t>
            </w:r>
            <w:r>
              <w:rPr>
                <w:rFonts w:hint="default" w:ascii="Times New Roman" w:hAnsi="Times New Roman" w:eastAsia="宋体" w:cs="Times New Roman"/>
                <w:color w:val="auto"/>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88" w:type="dxa"/>
            <w:noWrap w:val="0"/>
            <w:vAlign w:val="center"/>
          </w:tcPr>
          <w:p>
            <w:pPr>
              <w:pStyle w:val="56"/>
              <w:spacing w:beforeLines="0" w:afterLines="0" w:line="240" w:lineRule="auto"/>
              <w:ind w:left="0" w:leftChars="0" w:firstLine="0" w:firstLineChars="0"/>
              <w:jc w:val="center"/>
              <w:rPr>
                <w:rFonts w:hint="default" w:ascii="Times New Roman" w:hAnsi="Times New Roman" w:eastAsia="宋体" w:cs="Times New Roman"/>
                <w:snapToGrid w:val="0"/>
                <w:color w:val="auto"/>
                <w:kern w:val="21"/>
                <w:sz w:val="21"/>
                <w:szCs w:val="21"/>
              </w:rPr>
            </w:pPr>
          </w:p>
        </w:tc>
        <w:tc>
          <w:tcPr>
            <w:tcW w:w="1113"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滤渣</w:t>
            </w:r>
          </w:p>
        </w:tc>
        <w:tc>
          <w:tcPr>
            <w:tcW w:w="1604"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246"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823" w:type="dxa"/>
            <w:noWrap w:val="0"/>
            <w:vAlign w:val="center"/>
          </w:tcPr>
          <w:p>
            <w:pPr>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1511"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0.005</w:t>
            </w:r>
            <w:r>
              <w:rPr>
                <w:rFonts w:hint="default" w:ascii="Times New Roman" w:hAnsi="Times New Roman" w:eastAsia="宋体" w:cs="Times New Roman"/>
                <w:color w:val="auto"/>
                <w:sz w:val="21"/>
                <w:szCs w:val="21"/>
              </w:rPr>
              <w:t>t/a</w:t>
            </w:r>
          </w:p>
        </w:tc>
        <w:tc>
          <w:tcPr>
            <w:tcW w:w="1627" w:type="dxa"/>
            <w:noWrap w:val="0"/>
            <w:vAlign w:val="center"/>
          </w:tcPr>
          <w:p>
            <w:pPr>
              <w:pStyle w:val="56"/>
              <w:keepNext w:val="0"/>
              <w:keepLines w:val="0"/>
              <w:pageBreakBefore w:val="0"/>
              <w:widowControl w:val="0"/>
              <w:kinsoku/>
              <w:wordWrap/>
              <w:overflowPunct/>
              <w:topLinePunct w:val="0"/>
              <w:autoSpaceDE/>
              <w:autoSpaceDN/>
              <w:bidi w:val="0"/>
              <w:adjustRightInd w:val="0"/>
              <w:snapToGrid w:val="0"/>
              <w:spacing w:beforeLines="0" w:afterLines="0" w:line="240" w:lineRule="auto"/>
              <w:ind w:firstLine="0" w:firstLineChars="0"/>
              <w:textAlignment w:val="auto"/>
              <w:rPr>
                <w:rFonts w:hint="default" w:ascii="Times New Roman" w:hAnsi="Times New Roman" w:cs="Times New Roman"/>
                <w:snapToGrid w:val="0"/>
                <w:color w:val="auto"/>
                <w:kern w:val="21"/>
                <w:sz w:val="21"/>
                <w:szCs w:val="21"/>
                <w:lang w:val="en-US" w:eastAsia="zh-CN"/>
              </w:rPr>
            </w:pPr>
            <w:r>
              <w:rPr>
                <w:rFonts w:hint="eastAsia" w:ascii="Times New Roman" w:cs="Times New Roman"/>
                <w:snapToGrid w:val="0"/>
                <w:color w:val="auto"/>
                <w:kern w:val="21"/>
                <w:sz w:val="21"/>
                <w:szCs w:val="21"/>
                <w:lang w:val="en-US" w:eastAsia="zh-CN"/>
              </w:rPr>
              <w:t>0</w:t>
            </w:r>
          </w:p>
        </w:tc>
        <w:tc>
          <w:tcPr>
            <w:tcW w:w="2054"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0.005</w:t>
            </w:r>
            <w:r>
              <w:rPr>
                <w:rFonts w:hint="default" w:ascii="Times New Roman" w:hAnsi="Times New Roman" w:eastAsia="宋体" w:cs="Times New Roman"/>
                <w:color w:val="auto"/>
                <w:sz w:val="21"/>
                <w:szCs w:val="21"/>
              </w:rPr>
              <w:t>t/a</w:t>
            </w:r>
          </w:p>
        </w:tc>
        <w:tc>
          <w:tcPr>
            <w:tcW w:w="1222" w:type="dxa"/>
            <w:noWrap w:val="0"/>
            <w:vAlign w:val="center"/>
          </w:tcPr>
          <w:p>
            <w:pPr>
              <w:keepNext w:val="0"/>
              <w:keepLines w:val="0"/>
              <w:pageBreakBefore w:val="0"/>
              <w:widowControl w:val="0"/>
              <w:tabs>
                <w:tab w:val="left" w:pos="3390"/>
              </w:tabs>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+0.005</w:t>
            </w:r>
            <w:r>
              <w:rPr>
                <w:rFonts w:hint="default" w:ascii="Times New Roman" w:hAnsi="Times New Roman" w:eastAsia="宋体" w:cs="Times New Roman"/>
                <w:color w:val="auto"/>
                <w:sz w:val="21"/>
                <w:szCs w:val="21"/>
              </w:rPr>
              <w:t>t/a</w:t>
            </w:r>
          </w:p>
        </w:tc>
      </w:tr>
    </w:tbl>
    <w:p>
      <w:pPr>
        <w:pStyle w:val="56"/>
        <w:spacing w:before="192" w:beforeLines="80" w:after="24"/>
        <w:jc w:val="left"/>
        <w:rPr>
          <w:rFonts w:hint="eastAsia"/>
          <w:color w:val="auto"/>
        </w:rPr>
        <w:sectPr>
          <w:footerReference r:id="rId8"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spacing w:line="240" w:lineRule="auto"/>
        <w:rPr>
          <w:rFonts w:hint="default" w:ascii="宋体" w:hAnsi="宋体" w:eastAsia="黑体"/>
          <w:color w:val="auto"/>
          <w:lang w:val="en-US" w:eastAsia="zh-CN"/>
        </w:rPr>
      </w:pPr>
    </w:p>
    <w:p>
      <w:pPr>
        <w:rPr>
          <w:color w:val="auto"/>
        </w:rPr>
      </w:pPr>
    </w:p>
    <w:p>
      <w:pPr>
        <w:rPr>
          <w:color w:val="auto"/>
        </w:rPr>
      </w:pPr>
    </w:p>
    <w:p>
      <w:pPr>
        <w:rPr>
          <w:color w:val="auto"/>
        </w:rPr>
      </w:pPr>
    </w:p>
    <w:p>
      <w:pPr>
        <w:rPr>
          <w:color w:val="auto"/>
        </w:rPr>
      </w:pPr>
    </w:p>
    <w:p>
      <w:pPr>
        <w:rPr>
          <w:color w:val="auto"/>
        </w:rPr>
      </w:pPr>
    </w:p>
    <w:p>
      <w:pPr>
        <w:rPr>
          <w:color w:val="auto"/>
        </w:rPr>
      </w:pPr>
    </w:p>
    <w:bookmarkEnd w:id="6"/>
    <w:sectPr>
      <w:footerReference r:id="rId9"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ngLiU">
    <w:panose1 w:val="02020509000000000000"/>
    <w:charset w:val="88"/>
    <w:family w:val="modern"/>
    <w:pitch w:val="default"/>
    <w:sig w:usb0="A00002FF" w:usb1="28CFFCFA" w:usb2="00000016" w:usb3="00000000" w:csb0="00100001"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
    <w:altName w:val="Arial Unicode MS"/>
    <w:panose1 w:val="02010609060101010101"/>
    <w:charset w:val="86"/>
    <w:family w:val="auto"/>
    <w:pitch w:val="default"/>
    <w:sig w:usb0="00000000" w:usb1="00000000"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auto"/>
    <w:pitch w:val="default"/>
    <w:sig w:usb0="00000000" w:usb1="00000000" w:usb2="00000000" w:usb3="00000000" w:csb0="80000000" w:csb1="00000000"/>
  </w:font>
  <w:font w:name="Helvetica">
    <w:altName w:val="Arial"/>
    <w:panose1 w:val="020B0604020202020204"/>
    <w:charset w:val="00"/>
    <w:family w:val="auto"/>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3"/>
      </w:rPr>
    </w:pPr>
    <w:r>
      <w:fldChar w:fldCharType="begin"/>
    </w:r>
    <w:r>
      <w:rPr>
        <w:rStyle w:val="33"/>
      </w:rPr>
      <w:instrText xml:space="preserve">PAGE  </w:instrText>
    </w:r>
    <w:r>
      <w:fldChar w:fldCharType="end"/>
    </w:r>
  </w:p>
  <w:p>
    <w:pPr>
      <w:pStyle w:val="2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posOffset>2541270</wp:posOffset>
              </wp:positionH>
              <wp:positionV relativeFrom="paragraph">
                <wp:posOffset>50165</wp:posOffset>
              </wp:positionV>
              <wp:extent cx="1828800" cy="1828800"/>
              <wp:effectExtent l="0" t="0" r="0" b="0"/>
              <wp:wrapNone/>
              <wp:docPr id="1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3"/>
                              <w:rFonts w:ascii="宋体" w:hAnsi="宋体"/>
                              <w:sz w:val="24"/>
                              <w:szCs w:val="24"/>
                            </w:rPr>
                          </w:pPr>
                          <w:r>
                            <w:rPr>
                              <w:rStyle w:val="33"/>
                              <w:rFonts w:hint="default" w:ascii="Times New Roman" w:hAnsi="Times New Roman" w:cs="Times New Roman"/>
                              <w:sz w:val="24"/>
                              <w:szCs w:val="24"/>
                            </w:rPr>
                            <w:t xml:space="preserve">第 </w:t>
                          </w:r>
                          <w:r>
                            <w:rPr>
                              <w:rStyle w:val="33"/>
                              <w:rFonts w:hint="default" w:ascii="Times New Roman" w:hAnsi="Times New Roman" w:cs="Times New Roman"/>
                              <w:sz w:val="24"/>
                              <w:szCs w:val="24"/>
                            </w:rPr>
                            <w:fldChar w:fldCharType="begin"/>
                          </w:r>
                          <w:r>
                            <w:rPr>
                              <w:rStyle w:val="33"/>
                              <w:rFonts w:hint="default" w:ascii="Times New Roman" w:hAnsi="Times New Roman" w:cs="Times New Roman"/>
                              <w:sz w:val="24"/>
                              <w:szCs w:val="24"/>
                            </w:rPr>
                            <w:instrText xml:space="preserve"> PAGE  \* MERGEFORMAT </w:instrText>
                          </w:r>
                          <w:r>
                            <w:rPr>
                              <w:rStyle w:val="33"/>
                              <w:rFonts w:hint="default" w:ascii="Times New Roman" w:hAnsi="Times New Roman" w:cs="Times New Roman"/>
                              <w:sz w:val="24"/>
                              <w:szCs w:val="24"/>
                            </w:rPr>
                            <w:fldChar w:fldCharType="separate"/>
                          </w:r>
                          <w:r>
                            <w:rPr>
                              <w:rStyle w:val="33"/>
                              <w:rFonts w:hint="default" w:ascii="Times New Roman" w:hAnsi="Times New Roman" w:cs="Times New Roman"/>
                              <w:sz w:val="24"/>
                              <w:szCs w:val="24"/>
                            </w:rPr>
                            <w:t>1</w:t>
                          </w:r>
                          <w:r>
                            <w:rPr>
                              <w:rStyle w:val="33"/>
                              <w:rFonts w:hint="default" w:ascii="Times New Roman" w:hAnsi="Times New Roman" w:cs="Times New Roman"/>
                              <w:sz w:val="24"/>
                              <w:szCs w:val="24"/>
                            </w:rPr>
                            <w:fldChar w:fldCharType="end"/>
                          </w:r>
                          <w:r>
                            <w:rPr>
                              <w:rStyle w:val="33"/>
                              <w:rFonts w:hint="default" w:ascii="Times New Roman" w:hAnsi="Times New Roman" w:cs="Times New Roman"/>
                              <w:sz w:val="24"/>
                              <w:szCs w:val="24"/>
                            </w:rPr>
                            <w:t xml:space="preserve"> </w:t>
                          </w:r>
                          <w:r>
                            <w:rPr>
                              <w:rStyle w:val="33"/>
                              <w:rFonts w:ascii="宋体" w:hAnsi="宋体"/>
                              <w:sz w:val="24"/>
                              <w:szCs w:val="24"/>
                            </w:rPr>
                            <w:t>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left:200.1pt;margin-top:3.95pt;height:144pt;width:144pt;mso-position-horizontal-relative:margin;mso-wrap-style:none;z-index:251659264;mso-width-relative:page;mso-height-relative:page;" filled="f" stroked="f" coordsize="21600,21600" o:gfxdata="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CMU2mPVAAAACQEAAA8AAAAA&#10;AAAAAQAgAAAAIgAAAGRycy9kb3ducmV2LnhtbFBLAQIUABQAAAAIAIdO4kBc9ANC3gEAAL8DAAAO&#10;AAAAAAAAAAEAIAAAACQBAABkcnMvZTJvRG9jLnhtbFBLBQYAAAAABgAGAFkBAAB0BQAAAAA=&#10;">
              <v:fill on="f" focussize="0,0"/>
              <v:stroke on="f"/>
              <v:imagedata o:title=""/>
              <o:lock v:ext="edit" aspectratio="f"/>
              <v:textbox inset="0mm,0mm,0mm,0mm" style="mso-fit-shape-to-text:t;">
                <w:txbxContent>
                  <w:p>
                    <w:pPr>
                      <w:pStyle w:val="22"/>
                      <w:rPr>
                        <w:rStyle w:val="33"/>
                        <w:rFonts w:ascii="宋体" w:hAnsi="宋体"/>
                        <w:sz w:val="24"/>
                        <w:szCs w:val="24"/>
                      </w:rPr>
                    </w:pPr>
                    <w:r>
                      <w:rPr>
                        <w:rStyle w:val="33"/>
                        <w:rFonts w:hint="default" w:ascii="Times New Roman" w:hAnsi="Times New Roman" w:cs="Times New Roman"/>
                        <w:sz w:val="24"/>
                        <w:szCs w:val="24"/>
                      </w:rPr>
                      <w:t xml:space="preserve">第 </w:t>
                    </w:r>
                    <w:r>
                      <w:rPr>
                        <w:rStyle w:val="33"/>
                        <w:rFonts w:hint="default" w:ascii="Times New Roman" w:hAnsi="Times New Roman" w:cs="Times New Roman"/>
                        <w:sz w:val="24"/>
                        <w:szCs w:val="24"/>
                      </w:rPr>
                      <w:fldChar w:fldCharType="begin"/>
                    </w:r>
                    <w:r>
                      <w:rPr>
                        <w:rStyle w:val="33"/>
                        <w:rFonts w:hint="default" w:ascii="Times New Roman" w:hAnsi="Times New Roman" w:cs="Times New Roman"/>
                        <w:sz w:val="24"/>
                        <w:szCs w:val="24"/>
                      </w:rPr>
                      <w:instrText xml:space="preserve"> PAGE  \* MERGEFORMAT </w:instrText>
                    </w:r>
                    <w:r>
                      <w:rPr>
                        <w:rStyle w:val="33"/>
                        <w:rFonts w:hint="default" w:ascii="Times New Roman" w:hAnsi="Times New Roman" w:cs="Times New Roman"/>
                        <w:sz w:val="24"/>
                        <w:szCs w:val="24"/>
                      </w:rPr>
                      <w:fldChar w:fldCharType="separate"/>
                    </w:r>
                    <w:r>
                      <w:rPr>
                        <w:rStyle w:val="33"/>
                        <w:rFonts w:hint="default" w:ascii="Times New Roman" w:hAnsi="Times New Roman" w:cs="Times New Roman"/>
                        <w:sz w:val="24"/>
                        <w:szCs w:val="24"/>
                      </w:rPr>
                      <w:t>1</w:t>
                    </w:r>
                    <w:r>
                      <w:rPr>
                        <w:rStyle w:val="33"/>
                        <w:rFonts w:hint="default" w:ascii="Times New Roman" w:hAnsi="Times New Roman" w:cs="Times New Roman"/>
                        <w:sz w:val="24"/>
                        <w:szCs w:val="24"/>
                      </w:rPr>
                      <w:fldChar w:fldCharType="end"/>
                    </w:r>
                    <w:r>
                      <w:rPr>
                        <w:rStyle w:val="33"/>
                        <w:rFonts w:hint="default" w:ascii="Times New Roman" w:hAnsi="Times New Roman" w:cs="Times New Roman"/>
                        <w:sz w:val="24"/>
                        <w:szCs w:val="24"/>
                      </w:rPr>
                      <w:t xml:space="preserve"> </w:t>
                    </w:r>
                    <w:r>
                      <w:rPr>
                        <w:rStyle w:val="33"/>
                        <w:rFonts w:ascii="宋体" w:hAnsi="宋体"/>
                        <w:sz w:val="24"/>
                        <w:szCs w:val="24"/>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-411480</wp:posOffset>
              </wp:positionV>
              <wp:extent cx="1828800" cy="1828800"/>
              <wp:effectExtent l="0" t="0" r="0" b="0"/>
              <wp:wrapNone/>
              <wp:docPr id="15"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3"/>
                              <w:rFonts w:ascii="宋体" w:hAnsi="宋体"/>
                              <w:sz w:val="28"/>
                              <w:szCs w:val="28"/>
                            </w:rPr>
                          </w:pPr>
                          <w:r>
                            <w:rPr>
                              <w:rStyle w:val="33"/>
                              <w:rFonts w:ascii="宋体" w:hAnsi="宋体"/>
                              <w:sz w:val="28"/>
                              <w:szCs w:val="28"/>
                            </w:rPr>
                            <w:t xml:space="preserve">第 </w:t>
                          </w:r>
                          <w:r>
                            <w:rPr>
                              <w:rStyle w:val="33"/>
                              <w:rFonts w:ascii="宋体" w:hAnsi="宋体"/>
                              <w:sz w:val="28"/>
                              <w:szCs w:val="28"/>
                            </w:rPr>
                            <w:fldChar w:fldCharType="begin"/>
                          </w:r>
                          <w:r>
                            <w:rPr>
                              <w:rStyle w:val="33"/>
                              <w:rFonts w:ascii="宋体" w:hAnsi="宋体"/>
                              <w:sz w:val="28"/>
                              <w:szCs w:val="28"/>
                            </w:rPr>
                            <w:instrText xml:space="preserve"> PAGE  \* MERGEFORMAT </w:instrText>
                          </w:r>
                          <w:r>
                            <w:rPr>
                              <w:rStyle w:val="33"/>
                              <w:rFonts w:ascii="宋体" w:hAnsi="宋体"/>
                              <w:sz w:val="28"/>
                              <w:szCs w:val="28"/>
                            </w:rPr>
                            <w:fldChar w:fldCharType="separate"/>
                          </w:r>
                          <w:r>
                            <w:rPr>
                              <w:rStyle w:val="33"/>
                              <w:rFonts w:ascii="宋体" w:hAnsi="宋体"/>
                              <w:sz w:val="28"/>
                              <w:szCs w:val="28"/>
                            </w:rPr>
                            <w:t>79</w:t>
                          </w:r>
                          <w:r>
                            <w:rPr>
                              <w:rStyle w:val="33"/>
                              <w:rFonts w:ascii="宋体" w:hAnsi="宋体"/>
                              <w:sz w:val="28"/>
                              <w:szCs w:val="28"/>
                            </w:rPr>
                            <w:fldChar w:fldCharType="end"/>
                          </w:r>
                          <w:r>
                            <w:rPr>
                              <w:rStyle w:val="33"/>
                              <w:rFonts w:ascii="宋体" w:hAnsi="宋体"/>
                              <w:sz w:val="28"/>
                              <w:szCs w:val="28"/>
                            </w:rPr>
                            <w:t xml:space="preserve"> 页</w:t>
                          </w:r>
                        </w:p>
                      </w:txbxContent>
                    </wps:txbx>
                    <wps:bodyPr vert="horz" wrap="none" lIns="0" tIns="0" rIns="0" bIns="0" anchor="t" anchorCtr="0" upright="0">
                      <a:spAutoFit/>
                    </wps:bodyPr>
                  </wps:wsp>
                </a:graphicData>
              </a:graphic>
            </wp:anchor>
          </w:drawing>
        </mc:Choice>
        <mc:Fallback>
          <w:pict>
            <v:shape id="文本框 3" o:spid="_x0000_s1026" o:spt="202" type="#_x0000_t202" style="position:absolute;left:0pt;margin-top:-32.4pt;height:144pt;width:144pt;mso-position-horizontal:center;mso-position-horizontal-relative:margin;mso-wrap-style:none;z-index:251660288;mso-width-relative:page;mso-height-relative:page;" filled="f" stroked="f" coordsize="21600,21600" o:gfxdata="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OjG/dQAAAAIAQAADwAAAAAA&#10;AAABACAAAAAiAAAAZHJzL2Rvd25yZXYueG1sUEsBAhQAFAAAAAgAh07iQCkoQKPeAQAAvwMAAA4A&#10;AAAAAAAAAQAgAAAAIwEAAGRycy9lMm9Eb2MueG1sUEsFBgAAAAAGAAYAWQEAAHMFAAAAAA==&#10;">
              <v:fill on="f" focussize="0,0"/>
              <v:stroke on="f"/>
              <v:imagedata o:title=""/>
              <o:lock v:ext="edit" aspectratio="f"/>
              <v:textbox inset="0mm,0mm,0mm,0mm" style="mso-fit-shape-to-text:t;">
                <w:txbxContent>
                  <w:p>
                    <w:pPr>
                      <w:pStyle w:val="22"/>
                      <w:rPr>
                        <w:rStyle w:val="33"/>
                        <w:rFonts w:ascii="宋体" w:hAnsi="宋体"/>
                        <w:sz w:val="28"/>
                        <w:szCs w:val="28"/>
                      </w:rPr>
                    </w:pPr>
                    <w:r>
                      <w:rPr>
                        <w:rStyle w:val="33"/>
                        <w:rFonts w:ascii="宋体" w:hAnsi="宋体"/>
                        <w:sz w:val="28"/>
                        <w:szCs w:val="28"/>
                      </w:rPr>
                      <w:t xml:space="preserve">第 </w:t>
                    </w:r>
                    <w:r>
                      <w:rPr>
                        <w:rStyle w:val="33"/>
                        <w:rFonts w:ascii="宋体" w:hAnsi="宋体"/>
                        <w:sz w:val="28"/>
                        <w:szCs w:val="28"/>
                      </w:rPr>
                      <w:fldChar w:fldCharType="begin"/>
                    </w:r>
                    <w:r>
                      <w:rPr>
                        <w:rStyle w:val="33"/>
                        <w:rFonts w:ascii="宋体" w:hAnsi="宋体"/>
                        <w:sz w:val="28"/>
                        <w:szCs w:val="28"/>
                      </w:rPr>
                      <w:instrText xml:space="preserve"> PAGE  \* MERGEFORMAT </w:instrText>
                    </w:r>
                    <w:r>
                      <w:rPr>
                        <w:rStyle w:val="33"/>
                        <w:rFonts w:ascii="宋体" w:hAnsi="宋体"/>
                        <w:sz w:val="28"/>
                        <w:szCs w:val="28"/>
                      </w:rPr>
                      <w:fldChar w:fldCharType="separate"/>
                    </w:r>
                    <w:r>
                      <w:rPr>
                        <w:rStyle w:val="33"/>
                        <w:rFonts w:ascii="宋体" w:hAnsi="宋体"/>
                        <w:sz w:val="28"/>
                        <w:szCs w:val="28"/>
                      </w:rPr>
                      <w:t>79</w:t>
                    </w:r>
                    <w:r>
                      <w:rPr>
                        <w:rStyle w:val="33"/>
                        <w:rFonts w:ascii="宋体" w:hAnsi="宋体"/>
                        <w:sz w:val="28"/>
                        <w:szCs w:val="28"/>
                      </w:rPr>
                      <w:fldChar w:fldCharType="end"/>
                    </w:r>
                    <w:r>
                      <w:rPr>
                        <w:rStyle w:val="33"/>
                        <w:rFonts w:ascii="宋体" w:hAnsi="宋体"/>
                        <w:sz w:val="28"/>
                        <w:szCs w:val="28"/>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-411480</wp:posOffset>
              </wp:positionV>
              <wp:extent cx="1828800" cy="1828800"/>
              <wp:effectExtent l="0" t="0" r="0" b="0"/>
              <wp:wrapNone/>
              <wp:docPr id="16"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2"/>
                            <w:rPr>
                              <w:rStyle w:val="33"/>
                              <w:rFonts w:ascii="宋体" w:hAnsi="宋体"/>
                              <w:sz w:val="28"/>
                              <w:szCs w:val="28"/>
                            </w:rPr>
                          </w:pPr>
                          <w:r>
                            <w:rPr>
                              <w:rStyle w:val="33"/>
                              <w:rFonts w:ascii="宋体" w:hAnsi="宋体"/>
                              <w:sz w:val="28"/>
                              <w:szCs w:val="28"/>
                            </w:rPr>
                            <w:t xml:space="preserve">第 </w:t>
                          </w:r>
                          <w:r>
                            <w:rPr>
                              <w:rStyle w:val="33"/>
                              <w:rFonts w:ascii="宋体" w:hAnsi="宋体"/>
                              <w:sz w:val="28"/>
                              <w:szCs w:val="28"/>
                            </w:rPr>
                            <w:fldChar w:fldCharType="begin"/>
                          </w:r>
                          <w:r>
                            <w:rPr>
                              <w:rStyle w:val="33"/>
                              <w:rFonts w:ascii="宋体" w:hAnsi="宋体"/>
                              <w:sz w:val="28"/>
                              <w:szCs w:val="28"/>
                            </w:rPr>
                            <w:instrText xml:space="preserve"> PAGE  \* MERGEFORMAT </w:instrText>
                          </w:r>
                          <w:r>
                            <w:rPr>
                              <w:rStyle w:val="33"/>
                              <w:rFonts w:ascii="宋体" w:hAnsi="宋体"/>
                              <w:sz w:val="28"/>
                              <w:szCs w:val="28"/>
                            </w:rPr>
                            <w:fldChar w:fldCharType="separate"/>
                          </w:r>
                          <w:r>
                            <w:rPr>
                              <w:rStyle w:val="33"/>
                              <w:rFonts w:ascii="宋体" w:hAnsi="宋体"/>
                              <w:sz w:val="28"/>
                              <w:szCs w:val="28"/>
                            </w:rPr>
                            <w:t>81</w:t>
                          </w:r>
                          <w:r>
                            <w:rPr>
                              <w:rStyle w:val="33"/>
                              <w:rFonts w:ascii="宋体" w:hAnsi="宋体"/>
                              <w:sz w:val="28"/>
                              <w:szCs w:val="28"/>
                            </w:rPr>
                            <w:fldChar w:fldCharType="end"/>
                          </w:r>
                          <w:r>
                            <w:rPr>
                              <w:rStyle w:val="33"/>
                              <w:rFonts w:ascii="宋体" w:hAnsi="宋体"/>
                              <w:sz w:val="28"/>
                              <w:szCs w:val="28"/>
                            </w:rPr>
                            <w:t xml:space="preserve"> 页</w:t>
                          </w:r>
                        </w:p>
                      </w:txbxContent>
                    </wps:txbx>
                    <wps:bodyPr vert="horz" wrap="none" lIns="0" tIns="0" rIns="0" bIns="0" anchor="t" anchorCtr="0" upright="0">
                      <a:spAutoFit/>
                    </wps:bodyPr>
                  </wps:wsp>
                </a:graphicData>
              </a:graphic>
            </wp:anchor>
          </w:drawing>
        </mc:Choice>
        <mc:Fallback>
          <w:pict>
            <v:shape id="文本框 4" o:spid="_x0000_s1026" o:spt="202" type="#_x0000_t202" style="position:absolute;left:0pt;margin-top:-32.4pt;height:144pt;width:144pt;mso-position-horizontal:center;mso-position-horizontal-relative:margin;mso-wrap-style:none;z-index:251661312;mso-width-relative:page;mso-height-relative:page;" filled="f" stroked="f" coordsize="21600,21600" o:gfxdata="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OjG/dQAAAAIAQAADwAAAAAA&#10;AAABACAAAAAiAAAAZHJzL2Rvd25yZXYueG1sUEsBAhQAFAAAAAgAh07iQFQbMhHeAQAAvwMAAA4A&#10;AAAAAAAAAQAgAAAAIwEAAGRycy9lMm9Eb2MueG1sUEsFBgAAAAAGAAYAWQEAAHMFAAAAAA==&#10;">
              <v:fill on="f" focussize="0,0"/>
              <v:stroke on="f"/>
              <v:imagedata o:title=""/>
              <o:lock v:ext="edit" aspectratio="f"/>
              <v:textbox inset="0mm,0mm,0mm,0mm" style="mso-fit-shape-to-text:t;">
                <w:txbxContent>
                  <w:p>
                    <w:pPr>
                      <w:pStyle w:val="22"/>
                      <w:rPr>
                        <w:rStyle w:val="33"/>
                        <w:rFonts w:ascii="宋体" w:hAnsi="宋体"/>
                        <w:sz w:val="28"/>
                        <w:szCs w:val="28"/>
                      </w:rPr>
                    </w:pPr>
                    <w:r>
                      <w:rPr>
                        <w:rStyle w:val="33"/>
                        <w:rFonts w:ascii="宋体" w:hAnsi="宋体"/>
                        <w:sz w:val="28"/>
                        <w:szCs w:val="28"/>
                      </w:rPr>
                      <w:t xml:space="preserve">第 </w:t>
                    </w:r>
                    <w:r>
                      <w:rPr>
                        <w:rStyle w:val="33"/>
                        <w:rFonts w:ascii="宋体" w:hAnsi="宋体"/>
                        <w:sz w:val="28"/>
                        <w:szCs w:val="28"/>
                      </w:rPr>
                      <w:fldChar w:fldCharType="begin"/>
                    </w:r>
                    <w:r>
                      <w:rPr>
                        <w:rStyle w:val="33"/>
                        <w:rFonts w:ascii="宋体" w:hAnsi="宋体"/>
                        <w:sz w:val="28"/>
                        <w:szCs w:val="28"/>
                      </w:rPr>
                      <w:instrText xml:space="preserve"> PAGE  \* MERGEFORMAT </w:instrText>
                    </w:r>
                    <w:r>
                      <w:rPr>
                        <w:rStyle w:val="33"/>
                        <w:rFonts w:ascii="宋体" w:hAnsi="宋体"/>
                        <w:sz w:val="28"/>
                        <w:szCs w:val="28"/>
                      </w:rPr>
                      <w:fldChar w:fldCharType="separate"/>
                    </w:r>
                    <w:r>
                      <w:rPr>
                        <w:rStyle w:val="33"/>
                        <w:rFonts w:ascii="宋体" w:hAnsi="宋体"/>
                        <w:sz w:val="28"/>
                        <w:szCs w:val="28"/>
                      </w:rPr>
                      <w:t>81</w:t>
                    </w:r>
                    <w:r>
                      <w:rPr>
                        <w:rStyle w:val="33"/>
                        <w:rFonts w:ascii="宋体" w:hAnsi="宋体"/>
                        <w:sz w:val="28"/>
                        <w:szCs w:val="28"/>
                      </w:rPr>
                      <w:fldChar w:fldCharType="end"/>
                    </w:r>
                    <w:r>
                      <w:rPr>
                        <w:rStyle w:val="33"/>
                        <w:rFonts w:ascii="宋体" w:hAnsi="宋体"/>
                        <w:sz w:val="28"/>
                        <w:szCs w:val="28"/>
                      </w:rP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07BB0"/>
    <w:multiLevelType w:val="singleLevel"/>
    <w:tmpl w:val="98E07BB0"/>
    <w:lvl w:ilvl="0" w:tentative="0">
      <w:start w:val="1"/>
      <w:numFmt w:val="decimal"/>
      <w:suff w:val="nothing"/>
      <w:lvlText w:val="（%1）"/>
      <w:lvlJc w:val="left"/>
    </w:lvl>
  </w:abstractNum>
  <w:abstractNum w:abstractNumId="1">
    <w:nsid w:val="C5A67342"/>
    <w:multiLevelType w:val="singleLevel"/>
    <w:tmpl w:val="C5A67342"/>
    <w:lvl w:ilvl="0" w:tentative="0">
      <w:start w:val="1"/>
      <w:numFmt w:val="upperLetter"/>
      <w:lvlText w:val="%1."/>
      <w:lvlJc w:val="left"/>
      <w:pPr>
        <w:tabs>
          <w:tab w:val="left" w:pos="312"/>
        </w:tabs>
      </w:pPr>
    </w:lvl>
  </w:abstractNum>
  <w:abstractNum w:abstractNumId="2">
    <w:nsid w:val="DB74D173"/>
    <w:multiLevelType w:val="singleLevel"/>
    <w:tmpl w:val="DB74D173"/>
    <w:lvl w:ilvl="0" w:tentative="0">
      <w:start w:val="1"/>
      <w:numFmt w:val="chineseCounting"/>
      <w:suff w:val="nothing"/>
      <w:lvlText w:val="%1、"/>
      <w:lvlJc w:val="left"/>
      <w:rPr>
        <w:rFonts w:hint="eastAsia"/>
      </w:rPr>
    </w:lvl>
  </w:abstractNum>
  <w:abstractNum w:abstractNumId="3">
    <w:nsid w:val="E46A6E1C"/>
    <w:multiLevelType w:val="singleLevel"/>
    <w:tmpl w:val="E46A6E1C"/>
    <w:lvl w:ilvl="0" w:tentative="0">
      <w:start w:val="1"/>
      <w:numFmt w:val="decimal"/>
      <w:lvlText w:val="%1."/>
      <w:lvlJc w:val="left"/>
      <w:pPr>
        <w:tabs>
          <w:tab w:val="left" w:pos="312"/>
        </w:tabs>
      </w:pPr>
    </w:lvl>
  </w:abstractNum>
  <w:abstractNum w:abstractNumId="4">
    <w:nsid w:val="FDDAA30B"/>
    <w:multiLevelType w:val="singleLevel"/>
    <w:tmpl w:val="FDDAA30B"/>
    <w:lvl w:ilvl="0" w:tentative="0">
      <w:start w:val="8"/>
      <w:numFmt w:val="upperLetter"/>
      <w:lvlText w:val="%1."/>
      <w:lvlJc w:val="left"/>
      <w:pPr>
        <w:tabs>
          <w:tab w:val="left" w:pos="312"/>
        </w:tabs>
      </w:pPr>
    </w:lvl>
  </w:abstractNum>
  <w:abstractNum w:abstractNumId="5">
    <w:nsid w:val="3BCF3913"/>
    <w:multiLevelType w:val="singleLevel"/>
    <w:tmpl w:val="3BCF3913"/>
    <w:lvl w:ilvl="0" w:tentative="0">
      <w:start w:val="1"/>
      <w:numFmt w:val="chineseCounting"/>
      <w:suff w:val="nothing"/>
      <w:lvlText w:val="%1、"/>
      <w:lvlJc w:val="left"/>
      <w:pPr>
        <w:ind w:left="0" w:firstLine="420"/>
      </w:pPr>
      <w:rPr>
        <w:rFonts w:hint="eastAsia"/>
      </w:rPr>
    </w:lvl>
  </w:abstractNum>
  <w:abstractNum w:abstractNumId="6">
    <w:nsid w:val="5D1BE52D"/>
    <w:multiLevelType w:val="singleLevel"/>
    <w:tmpl w:val="5D1BE52D"/>
    <w:lvl w:ilvl="0" w:tentative="0">
      <w:start w:val="6"/>
      <w:numFmt w:val="decimal"/>
      <w:suff w:val="nothing"/>
      <w:lvlText w:val="（%1）"/>
      <w:lvlJc w:val="left"/>
    </w:lvl>
  </w:abstractNum>
  <w:abstractNum w:abstractNumId="7">
    <w:nsid w:val="6392E472"/>
    <w:multiLevelType w:val="singleLevel"/>
    <w:tmpl w:val="6392E472"/>
    <w:lvl w:ilvl="0" w:tentative="0">
      <w:start w:val="1"/>
      <w:numFmt w:val="decimal"/>
      <w:suff w:val="nothing"/>
      <w:lvlText w:val="（%1）"/>
      <w:lvlJc w:val="left"/>
    </w:lvl>
  </w:abstractNum>
  <w:abstractNum w:abstractNumId="8">
    <w:nsid w:val="706CE1E0"/>
    <w:multiLevelType w:val="multilevel"/>
    <w:tmpl w:val="706CE1E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71B668E3"/>
    <w:multiLevelType w:val="singleLevel"/>
    <w:tmpl w:val="71B668E3"/>
    <w:lvl w:ilvl="0" w:tentative="0">
      <w:start w:val="1"/>
      <w:numFmt w:val="bullet"/>
      <w:pStyle w:val="16"/>
      <w:lvlText w:val=""/>
      <w:lvlJc w:val="left"/>
      <w:pPr>
        <w:tabs>
          <w:tab w:val="left" w:pos="2040"/>
        </w:tabs>
        <w:ind w:left="2040" w:hanging="360"/>
      </w:pPr>
      <w:rPr>
        <w:rFonts w:hint="default" w:ascii="Wingdings" w:hAnsi="Wingdings"/>
      </w:rPr>
    </w:lvl>
  </w:abstractNum>
  <w:num w:numId="1">
    <w:abstractNumId w:val="9"/>
  </w:num>
  <w:num w:numId="2">
    <w:abstractNumId w:val="5"/>
  </w:num>
  <w:num w:numId="3">
    <w:abstractNumId w:val="3"/>
  </w:num>
  <w:num w:numId="4">
    <w:abstractNumId w:val="1"/>
  </w:num>
  <w:num w:numId="5">
    <w:abstractNumId w:val="4"/>
  </w:num>
  <w:num w:numId="6">
    <w:abstractNumId w:val="2"/>
  </w:num>
  <w:num w:numId="7">
    <w:abstractNumId w:val="8"/>
  </w:num>
  <w:num w:numId="8">
    <w:abstractNumId w:val="0"/>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A0YmY4NjE4NzYxMjQ3YjIyNWZiMjMwYjU3NzhjODQifQ=="/>
  </w:docVars>
  <w:rsids>
    <w:rsidRoot w:val="00172A27"/>
    <w:rsid w:val="000060B3"/>
    <w:rsid w:val="00012E1C"/>
    <w:rsid w:val="0004364B"/>
    <w:rsid w:val="00061B1F"/>
    <w:rsid w:val="000733C4"/>
    <w:rsid w:val="00074783"/>
    <w:rsid w:val="0008070B"/>
    <w:rsid w:val="000810AC"/>
    <w:rsid w:val="00081A02"/>
    <w:rsid w:val="00082231"/>
    <w:rsid w:val="00092D38"/>
    <w:rsid w:val="0009377B"/>
    <w:rsid w:val="000A20C9"/>
    <w:rsid w:val="000A7AFE"/>
    <w:rsid w:val="000B058F"/>
    <w:rsid w:val="000B4467"/>
    <w:rsid w:val="000B4DB9"/>
    <w:rsid w:val="000C09AC"/>
    <w:rsid w:val="000C767F"/>
    <w:rsid w:val="000D5A44"/>
    <w:rsid w:val="000E3ED2"/>
    <w:rsid w:val="000F17DE"/>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C7A6A"/>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5E606C"/>
    <w:rsid w:val="00617CC3"/>
    <w:rsid w:val="00623047"/>
    <w:rsid w:val="006377A6"/>
    <w:rsid w:val="00637A3D"/>
    <w:rsid w:val="006411EF"/>
    <w:rsid w:val="006748B8"/>
    <w:rsid w:val="006775C3"/>
    <w:rsid w:val="0069290A"/>
    <w:rsid w:val="0069775A"/>
    <w:rsid w:val="00697813"/>
    <w:rsid w:val="006A3EE8"/>
    <w:rsid w:val="006A72BF"/>
    <w:rsid w:val="006B03F2"/>
    <w:rsid w:val="006B37DC"/>
    <w:rsid w:val="006B4F68"/>
    <w:rsid w:val="006B7FAF"/>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14BA"/>
    <w:rsid w:val="007836EA"/>
    <w:rsid w:val="00784CDA"/>
    <w:rsid w:val="007906C4"/>
    <w:rsid w:val="007940EA"/>
    <w:rsid w:val="007967E8"/>
    <w:rsid w:val="007A2170"/>
    <w:rsid w:val="007A22BF"/>
    <w:rsid w:val="007A3323"/>
    <w:rsid w:val="007B378E"/>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2FCE"/>
    <w:rsid w:val="0091736D"/>
    <w:rsid w:val="00924527"/>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48C1"/>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0D82"/>
    <w:rsid w:val="00BB237C"/>
    <w:rsid w:val="00BB41A3"/>
    <w:rsid w:val="00BC32DC"/>
    <w:rsid w:val="00BC35B6"/>
    <w:rsid w:val="00BD1B51"/>
    <w:rsid w:val="00BD4596"/>
    <w:rsid w:val="00BE1405"/>
    <w:rsid w:val="00BE312D"/>
    <w:rsid w:val="00BF1C20"/>
    <w:rsid w:val="00C10578"/>
    <w:rsid w:val="00C135BC"/>
    <w:rsid w:val="00C15C95"/>
    <w:rsid w:val="00C24CD8"/>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1070"/>
    <w:rsid w:val="00FB503A"/>
    <w:rsid w:val="00FB516C"/>
    <w:rsid w:val="00FD0236"/>
    <w:rsid w:val="00FD18F4"/>
    <w:rsid w:val="00FD54DB"/>
    <w:rsid w:val="00FD619F"/>
    <w:rsid w:val="012162DC"/>
    <w:rsid w:val="01290F7E"/>
    <w:rsid w:val="012C0060"/>
    <w:rsid w:val="01374B51"/>
    <w:rsid w:val="015634D6"/>
    <w:rsid w:val="015977C8"/>
    <w:rsid w:val="015D1E09"/>
    <w:rsid w:val="016A221E"/>
    <w:rsid w:val="018E0198"/>
    <w:rsid w:val="019D14DD"/>
    <w:rsid w:val="01A029D1"/>
    <w:rsid w:val="01A32AED"/>
    <w:rsid w:val="01B75EB1"/>
    <w:rsid w:val="01B847D0"/>
    <w:rsid w:val="01BA442D"/>
    <w:rsid w:val="01BC0D1C"/>
    <w:rsid w:val="01BF4AA2"/>
    <w:rsid w:val="01C76A95"/>
    <w:rsid w:val="01F25116"/>
    <w:rsid w:val="020013C4"/>
    <w:rsid w:val="020143D2"/>
    <w:rsid w:val="02142A4F"/>
    <w:rsid w:val="02201447"/>
    <w:rsid w:val="02215E04"/>
    <w:rsid w:val="022D0CF3"/>
    <w:rsid w:val="02336E01"/>
    <w:rsid w:val="024711F0"/>
    <w:rsid w:val="02634CCE"/>
    <w:rsid w:val="02697903"/>
    <w:rsid w:val="026D5A2C"/>
    <w:rsid w:val="02830D01"/>
    <w:rsid w:val="02883CB7"/>
    <w:rsid w:val="028B0B81"/>
    <w:rsid w:val="028C49E8"/>
    <w:rsid w:val="029A5B80"/>
    <w:rsid w:val="02B56350"/>
    <w:rsid w:val="02CC682B"/>
    <w:rsid w:val="02D221C3"/>
    <w:rsid w:val="02F27275"/>
    <w:rsid w:val="02F96569"/>
    <w:rsid w:val="032A63A4"/>
    <w:rsid w:val="032B1519"/>
    <w:rsid w:val="03412113"/>
    <w:rsid w:val="036D12B2"/>
    <w:rsid w:val="037541D9"/>
    <w:rsid w:val="039D51F4"/>
    <w:rsid w:val="03AB640F"/>
    <w:rsid w:val="03B95EC6"/>
    <w:rsid w:val="03E7198A"/>
    <w:rsid w:val="03EA7B21"/>
    <w:rsid w:val="03F504DC"/>
    <w:rsid w:val="040B411F"/>
    <w:rsid w:val="04205F86"/>
    <w:rsid w:val="04842D10"/>
    <w:rsid w:val="048E75E1"/>
    <w:rsid w:val="049B329C"/>
    <w:rsid w:val="04A37EB2"/>
    <w:rsid w:val="04AE75AC"/>
    <w:rsid w:val="04C05C4D"/>
    <w:rsid w:val="04CF10E7"/>
    <w:rsid w:val="04DF0891"/>
    <w:rsid w:val="04EA06EA"/>
    <w:rsid w:val="04EA725B"/>
    <w:rsid w:val="051F5C62"/>
    <w:rsid w:val="054F431A"/>
    <w:rsid w:val="055C6FAC"/>
    <w:rsid w:val="055E77B7"/>
    <w:rsid w:val="056823B8"/>
    <w:rsid w:val="05801C20"/>
    <w:rsid w:val="05967018"/>
    <w:rsid w:val="05C67477"/>
    <w:rsid w:val="05DE22B3"/>
    <w:rsid w:val="05E875D6"/>
    <w:rsid w:val="05F83EAE"/>
    <w:rsid w:val="0634090B"/>
    <w:rsid w:val="063572FF"/>
    <w:rsid w:val="063A5B40"/>
    <w:rsid w:val="063E7D85"/>
    <w:rsid w:val="063F5136"/>
    <w:rsid w:val="06484851"/>
    <w:rsid w:val="0656308E"/>
    <w:rsid w:val="06623F0E"/>
    <w:rsid w:val="06676CDD"/>
    <w:rsid w:val="066939B9"/>
    <w:rsid w:val="066F749E"/>
    <w:rsid w:val="067B3A34"/>
    <w:rsid w:val="06890A35"/>
    <w:rsid w:val="06902CE1"/>
    <w:rsid w:val="06973535"/>
    <w:rsid w:val="06A94099"/>
    <w:rsid w:val="06B21D6F"/>
    <w:rsid w:val="06BA66EA"/>
    <w:rsid w:val="06E90BCE"/>
    <w:rsid w:val="06F739A5"/>
    <w:rsid w:val="06F947CC"/>
    <w:rsid w:val="06FC67E8"/>
    <w:rsid w:val="070D4F93"/>
    <w:rsid w:val="07183DF1"/>
    <w:rsid w:val="0722523A"/>
    <w:rsid w:val="07293586"/>
    <w:rsid w:val="07295285"/>
    <w:rsid w:val="075234A7"/>
    <w:rsid w:val="075E313A"/>
    <w:rsid w:val="07636392"/>
    <w:rsid w:val="077655A6"/>
    <w:rsid w:val="07770C56"/>
    <w:rsid w:val="0788005C"/>
    <w:rsid w:val="0793797D"/>
    <w:rsid w:val="079E7CDA"/>
    <w:rsid w:val="07A1571D"/>
    <w:rsid w:val="07A36CC9"/>
    <w:rsid w:val="07D04C3B"/>
    <w:rsid w:val="07F0298E"/>
    <w:rsid w:val="07F63A44"/>
    <w:rsid w:val="0804427D"/>
    <w:rsid w:val="080563D9"/>
    <w:rsid w:val="08335C09"/>
    <w:rsid w:val="083C4C11"/>
    <w:rsid w:val="08536863"/>
    <w:rsid w:val="08543246"/>
    <w:rsid w:val="085E7304"/>
    <w:rsid w:val="086029E1"/>
    <w:rsid w:val="086E3851"/>
    <w:rsid w:val="0877007A"/>
    <w:rsid w:val="08916C21"/>
    <w:rsid w:val="08A65430"/>
    <w:rsid w:val="08CB2A38"/>
    <w:rsid w:val="08D14CF8"/>
    <w:rsid w:val="08D613F6"/>
    <w:rsid w:val="08DE6654"/>
    <w:rsid w:val="08F73335"/>
    <w:rsid w:val="09045E8F"/>
    <w:rsid w:val="090D2664"/>
    <w:rsid w:val="090F1DF6"/>
    <w:rsid w:val="092217DD"/>
    <w:rsid w:val="093A7294"/>
    <w:rsid w:val="0940337E"/>
    <w:rsid w:val="094176E3"/>
    <w:rsid w:val="09550169"/>
    <w:rsid w:val="096133B5"/>
    <w:rsid w:val="096229E7"/>
    <w:rsid w:val="096A0AF1"/>
    <w:rsid w:val="09A02994"/>
    <w:rsid w:val="09A86862"/>
    <w:rsid w:val="09BC2344"/>
    <w:rsid w:val="09C2312A"/>
    <w:rsid w:val="09C66AB3"/>
    <w:rsid w:val="09CF27A3"/>
    <w:rsid w:val="0A0249CA"/>
    <w:rsid w:val="0A1B6590"/>
    <w:rsid w:val="0A2154C7"/>
    <w:rsid w:val="0A263993"/>
    <w:rsid w:val="0A2D3AC2"/>
    <w:rsid w:val="0A326FD5"/>
    <w:rsid w:val="0A7212E2"/>
    <w:rsid w:val="0A8266CE"/>
    <w:rsid w:val="0A886999"/>
    <w:rsid w:val="0A9D1E5B"/>
    <w:rsid w:val="0AA755DF"/>
    <w:rsid w:val="0AA8389D"/>
    <w:rsid w:val="0AAF08E4"/>
    <w:rsid w:val="0AB42E91"/>
    <w:rsid w:val="0ABB50BC"/>
    <w:rsid w:val="0AC04114"/>
    <w:rsid w:val="0AC17D68"/>
    <w:rsid w:val="0AC83F8C"/>
    <w:rsid w:val="0AD02B56"/>
    <w:rsid w:val="0AF44E52"/>
    <w:rsid w:val="0AFA62E5"/>
    <w:rsid w:val="0AFB0780"/>
    <w:rsid w:val="0B0263EC"/>
    <w:rsid w:val="0B0545AA"/>
    <w:rsid w:val="0B083C49"/>
    <w:rsid w:val="0B120D44"/>
    <w:rsid w:val="0B12592E"/>
    <w:rsid w:val="0B1879EE"/>
    <w:rsid w:val="0B2061A4"/>
    <w:rsid w:val="0B2E00FC"/>
    <w:rsid w:val="0B494558"/>
    <w:rsid w:val="0B5D3E81"/>
    <w:rsid w:val="0B671E77"/>
    <w:rsid w:val="0B8027D3"/>
    <w:rsid w:val="0B832F5B"/>
    <w:rsid w:val="0B8E420A"/>
    <w:rsid w:val="0BA656E1"/>
    <w:rsid w:val="0BA82E4B"/>
    <w:rsid w:val="0BB94A75"/>
    <w:rsid w:val="0BBD192E"/>
    <w:rsid w:val="0BCC6948"/>
    <w:rsid w:val="0BD13351"/>
    <w:rsid w:val="0BD27BF6"/>
    <w:rsid w:val="0BD534E7"/>
    <w:rsid w:val="0BDD01BA"/>
    <w:rsid w:val="0BE94723"/>
    <w:rsid w:val="0BF31F77"/>
    <w:rsid w:val="0BF76F15"/>
    <w:rsid w:val="0BF920F9"/>
    <w:rsid w:val="0C0A4569"/>
    <w:rsid w:val="0C192763"/>
    <w:rsid w:val="0C2024AD"/>
    <w:rsid w:val="0C2D3A23"/>
    <w:rsid w:val="0C3B213F"/>
    <w:rsid w:val="0C3B3C7D"/>
    <w:rsid w:val="0C3E628C"/>
    <w:rsid w:val="0C4D1AFF"/>
    <w:rsid w:val="0C5A20FF"/>
    <w:rsid w:val="0C61405C"/>
    <w:rsid w:val="0C615C45"/>
    <w:rsid w:val="0C6A7C34"/>
    <w:rsid w:val="0C963DC8"/>
    <w:rsid w:val="0C9F3642"/>
    <w:rsid w:val="0CA15A80"/>
    <w:rsid w:val="0CAB2EAE"/>
    <w:rsid w:val="0CB02BC1"/>
    <w:rsid w:val="0CBF52C6"/>
    <w:rsid w:val="0CC0720E"/>
    <w:rsid w:val="0CC92A8D"/>
    <w:rsid w:val="0CD667B0"/>
    <w:rsid w:val="0D04219F"/>
    <w:rsid w:val="0D082C33"/>
    <w:rsid w:val="0D134771"/>
    <w:rsid w:val="0D391F85"/>
    <w:rsid w:val="0D621C7D"/>
    <w:rsid w:val="0D7B7026"/>
    <w:rsid w:val="0DAE39D3"/>
    <w:rsid w:val="0DB6005D"/>
    <w:rsid w:val="0DBE0870"/>
    <w:rsid w:val="0DCA4D93"/>
    <w:rsid w:val="0DD4167D"/>
    <w:rsid w:val="0DE702ED"/>
    <w:rsid w:val="0DEB5F58"/>
    <w:rsid w:val="0DF070E8"/>
    <w:rsid w:val="0DF40043"/>
    <w:rsid w:val="0E0465E3"/>
    <w:rsid w:val="0E0713C6"/>
    <w:rsid w:val="0E0D0980"/>
    <w:rsid w:val="0E237BCD"/>
    <w:rsid w:val="0E36138D"/>
    <w:rsid w:val="0E3C78B0"/>
    <w:rsid w:val="0E3E143E"/>
    <w:rsid w:val="0E3F7719"/>
    <w:rsid w:val="0E410ED5"/>
    <w:rsid w:val="0E44766D"/>
    <w:rsid w:val="0E643E6F"/>
    <w:rsid w:val="0E6B3BB1"/>
    <w:rsid w:val="0E73034D"/>
    <w:rsid w:val="0E7C4DA5"/>
    <w:rsid w:val="0E9613AF"/>
    <w:rsid w:val="0EA3627D"/>
    <w:rsid w:val="0EA85BD4"/>
    <w:rsid w:val="0EC53962"/>
    <w:rsid w:val="0EDD1A84"/>
    <w:rsid w:val="0EE268E6"/>
    <w:rsid w:val="0EF81D8A"/>
    <w:rsid w:val="0EFD2C87"/>
    <w:rsid w:val="0F007C5E"/>
    <w:rsid w:val="0F0E239E"/>
    <w:rsid w:val="0F13775A"/>
    <w:rsid w:val="0F1B6A64"/>
    <w:rsid w:val="0F225395"/>
    <w:rsid w:val="0F2D399B"/>
    <w:rsid w:val="0F377734"/>
    <w:rsid w:val="0F3B4109"/>
    <w:rsid w:val="0F5F45FE"/>
    <w:rsid w:val="0F6A1FB1"/>
    <w:rsid w:val="0F8D579D"/>
    <w:rsid w:val="0F9A112B"/>
    <w:rsid w:val="0F9C7CA5"/>
    <w:rsid w:val="0FAA342C"/>
    <w:rsid w:val="0FB93388"/>
    <w:rsid w:val="0FBB71E9"/>
    <w:rsid w:val="0FBF79CB"/>
    <w:rsid w:val="0FC123F8"/>
    <w:rsid w:val="0FCD42D2"/>
    <w:rsid w:val="0FD209CF"/>
    <w:rsid w:val="0FD61A03"/>
    <w:rsid w:val="0FDB461A"/>
    <w:rsid w:val="100B7BD7"/>
    <w:rsid w:val="101029A4"/>
    <w:rsid w:val="1018374F"/>
    <w:rsid w:val="101A4747"/>
    <w:rsid w:val="10390CE5"/>
    <w:rsid w:val="104B3262"/>
    <w:rsid w:val="105A2447"/>
    <w:rsid w:val="106D2F64"/>
    <w:rsid w:val="10703553"/>
    <w:rsid w:val="1076214E"/>
    <w:rsid w:val="10B63710"/>
    <w:rsid w:val="10BB1BD7"/>
    <w:rsid w:val="10BD2B27"/>
    <w:rsid w:val="10C012DF"/>
    <w:rsid w:val="10D94BED"/>
    <w:rsid w:val="10F10820"/>
    <w:rsid w:val="10F72C84"/>
    <w:rsid w:val="111C2F7A"/>
    <w:rsid w:val="112315F5"/>
    <w:rsid w:val="11566931"/>
    <w:rsid w:val="11650733"/>
    <w:rsid w:val="11665CA1"/>
    <w:rsid w:val="11744191"/>
    <w:rsid w:val="11763CDE"/>
    <w:rsid w:val="1193538F"/>
    <w:rsid w:val="119C07F3"/>
    <w:rsid w:val="11A86713"/>
    <w:rsid w:val="11B71AE1"/>
    <w:rsid w:val="11F0257D"/>
    <w:rsid w:val="11F30035"/>
    <w:rsid w:val="122A20D5"/>
    <w:rsid w:val="122B329B"/>
    <w:rsid w:val="127E6D3B"/>
    <w:rsid w:val="12867D88"/>
    <w:rsid w:val="12990B2C"/>
    <w:rsid w:val="12A55DF6"/>
    <w:rsid w:val="12B436C9"/>
    <w:rsid w:val="12CD19E8"/>
    <w:rsid w:val="12F91959"/>
    <w:rsid w:val="12FB40D3"/>
    <w:rsid w:val="13076D7C"/>
    <w:rsid w:val="130B7F89"/>
    <w:rsid w:val="130C2A2C"/>
    <w:rsid w:val="13136EB0"/>
    <w:rsid w:val="131E0060"/>
    <w:rsid w:val="132B2D90"/>
    <w:rsid w:val="134A0D0C"/>
    <w:rsid w:val="13685836"/>
    <w:rsid w:val="136D1B30"/>
    <w:rsid w:val="13951726"/>
    <w:rsid w:val="13961FF1"/>
    <w:rsid w:val="13C61F6C"/>
    <w:rsid w:val="13C821BD"/>
    <w:rsid w:val="13D350A5"/>
    <w:rsid w:val="13E32F39"/>
    <w:rsid w:val="13FE476E"/>
    <w:rsid w:val="14396509"/>
    <w:rsid w:val="14671716"/>
    <w:rsid w:val="146B1517"/>
    <w:rsid w:val="1479693F"/>
    <w:rsid w:val="147B46F0"/>
    <w:rsid w:val="149A04EB"/>
    <w:rsid w:val="149A0554"/>
    <w:rsid w:val="14A01D31"/>
    <w:rsid w:val="14B31781"/>
    <w:rsid w:val="14C84B96"/>
    <w:rsid w:val="14DD2C3C"/>
    <w:rsid w:val="14E25DB2"/>
    <w:rsid w:val="14E5600D"/>
    <w:rsid w:val="15050804"/>
    <w:rsid w:val="15383BBC"/>
    <w:rsid w:val="158F6AEF"/>
    <w:rsid w:val="159F11E4"/>
    <w:rsid w:val="15A969F7"/>
    <w:rsid w:val="15C264B9"/>
    <w:rsid w:val="15CB7307"/>
    <w:rsid w:val="15CC56FD"/>
    <w:rsid w:val="15DB4559"/>
    <w:rsid w:val="15E2293C"/>
    <w:rsid w:val="15E36E98"/>
    <w:rsid w:val="15F114F2"/>
    <w:rsid w:val="16076BC3"/>
    <w:rsid w:val="16087E1D"/>
    <w:rsid w:val="16383E2D"/>
    <w:rsid w:val="1656442B"/>
    <w:rsid w:val="167E13FA"/>
    <w:rsid w:val="1680342B"/>
    <w:rsid w:val="1682460C"/>
    <w:rsid w:val="16900586"/>
    <w:rsid w:val="169B3F7C"/>
    <w:rsid w:val="169E17A5"/>
    <w:rsid w:val="169E5E80"/>
    <w:rsid w:val="16A511A0"/>
    <w:rsid w:val="16CB6312"/>
    <w:rsid w:val="16DD4C95"/>
    <w:rsid w:val="16F76F14"/>
    <w:rsid w:val="17332AA7"/>
    <w:rsid w:val="174B62D7"/>
    <w:rsid w:val="174C65D6"/>
    <w:rsid w:val="175D6864"/>
    <w:rsid w:val="17604918"/>
    <w:rsid w:val="17634E75"/>
    <w:rsid w:val="176373F2"/>
    <w:rsid w:val="17701D14"/>
    <w:rsid w:val="17735226"/>
    <w:rsid w:val="17760503"/>
    <w:rsid w:val="17843E11"/>
    <w:rsid w:val="178A7BF4"/>
    <w:rsid w:val="178C5650"/>
    <w:rsid w:val="178F5A13"/>
    <w:rsid w:val="179360FF"/>
    <w:rsid w:val="17976832"/>
    <w:rsid w:val="17B0744F"/>
    <w:rsid w:val="17B6102C"/>
    <w:rsid w:val="17B6497A"/>
    <w:rsid w:val="17C76305"/>
    <w:rsid w:val="17CE7D87"/>
    <w:rsid w:val="17D26F85"/>
    <w:rsid w:val="17D319A6"/>
    <w:rsid w:val="17DE4CC0"/>
    <w:rsid w:val="17E539EF"/>
    <w:rsid w:val="18102914"/>
    <w:rsid w:val="18320C9D"/>
    <w:rsid w:val="1837333B"/>
    <w:rsid w:val="183B523C"/>
    <w:rsid w:val="18562920"/>
    <w:rsid w:val="186B5A6F"/>
    <w:rsid w:val="188D3BBA"/>
    <w:rsid w:val="18931D85"/>
    <w:rsid w:val="18992048"/>
    <w:rsid w:val="189F624C"/>
    <w:rsid w:val="18A3774D"/>
    <w:rsid w:val="18D41807"/>
    <w:rsid w:val="18E76C70"/>
    <w:rsid w:val="18EF35B9"/>
    <w:rsid w:val="18FE156A"/>
    <w:rsid w:val="19044600"/>
    <w:rsid w:val="190D4A86"/>
    <w:rsid w:val="19103BF0"/>
    <w:rsid w:val="19322D86"/>
    <w:rsid w:val="19447979"/>
    <w:rsid w:val="194B455F"/>
    <w:rsid w:val="19591061"/>
    <w:rsid w:val="195A6F83"/>
    <w:rsid w:val="19614357"/>
    <w:rsid w:val="19771F14"/>
    <w:rsid w:val="198F571B"/>
    <w:rsid w:val="1990645D"/>
    <w:rsid w:val="19914A96"/>
    <w:rsid w:val="199B503E"/>
    <w:rsid w:val="19B0054C"/>
    <w:rsid w:val="19B30FBA"/>
    <w:rsid w:val="19B84A2A"/>
    <w:rsid w:val="19BE409C"/>
    <w:rsid w:val="19C863EB"/>
    <w:rsid w:val="19E66E20"/>
    <w:rsid w:val="19E859E4"/>
    <w:rsid w:val="19F20331"/>
    <w:rsid w:val="1A143E8C"/>
    <w:rsid w:val="1A1C66C0"/>
    <w:rsid w:val="1A2906E6"/>
    <w:rsid w:val="1A36575C"/>
    <w:rsid w:val="1A3F1112"/>
    <w:rsid w:val="1A42393B"/>
    <w:rsid w:val="1A462050"/>
    <w:rsid w:val="1A682461"/>
    <w:rsid w:val="1A692A86"/>
    <w:rsid w:val="1A6D014C"/>
    <w:rsid w:val="1A7445F0"/>
    <w:rsid w:val="1A8405A2"/>
    <w:rsid w:val="1A853058"/>
    <w:rsid w:val="1A854250"/>
    <w:rsid w:val="1A8C7F7B"/>
    <w:rsid w:val="1A9D7FC6"/>
    <w:rsid w:val="1AA57230"/>
    <w:rsid w:val="1AA65C59"/>
    <w:rsid w:val="1AA941B1"/>
    <w:rsid w:val="1AAD45DE"/>
    <w:rsid w:val="1AB14D14"/>
    <w:rsid w:val="1AD6339F"/>
    <w:rsid w:val="1AE97817"/>
    <w:rsid w:val="1B046F80"/>
    <w:rsid w:val="1B076B69"/>
    <w:rsid w:val="1B24032D"/>
    <w:rsid w:val="1B3267B5"/>
    <w:rsid w:val="1B3C6D12"/>
    <w:rsid w:val="1B40161D"/>
    <w:rsid w:val="1B441859"/>
    <w:rsid w:val="1B475E7E"/>
    <w:rsid w:val="1B514FFD"/>
    <w:rsid w:val="1B6606B1"/>
    <w:rsid w:val="1B707F45"/>
    <w:rsid w:val="1B776CAF"/>
    <w:rsid w:val="1B806BD7"/>
    <w:rsid w:val="1B811105"/>
    <w:rsid w:val="1B8829C3"/>
    <w:rsid w:val="1BA0536A"/>
    <w:rsid w:val="1BBA13E8"/>
    <w:rsid w:val="1C0E6963"/>
    <w:rsid w:val="1C111E41"/>
    <w:rsid w:val="1C2F637F"/>
    <w:rsid w:val="1C5D09CD"/>
    <w:rsid w:val="1C5E7925"/>
    <w:rsid w:val="1C5F2CD0"/>
    <w:rsid w:val="1C8526DE"/>
    <w:rsid w:val="1CAB66B8"/>
    <w:rsid w:val="1CB3075B"/>
    <w:rsid w:val="1CC169D4"/>
    <w:rsid w:val="1CCD34F7"/>
    <w:rsid w:val="1CCF2EDF"/>
    <w:rsid w:val="1CE33C90"/>
    <w:rsid w:val="1CE67250"/>
    <w:rsid w:val="1CFD070F"/>
    <w:rsid w:val="1D2C6C34"/>
    <w:rsid w:val="1D453D0E"/>
    <w:rsid w:val="1D475BD5"/>
    <w:rsid w:val="1D53069B"/>
    <w:rsid w:val="1D5F6196"/>
    <w:rsid w:val="1D6132A5"/>
    <w:rsid w:val="1D687588"/>
    <w:rsid w:val="1D8E56D5"/>
    <w:rsid w:val="1D90321E"/>
    <w:rsid w:val="1D965739"/>
    <w:rsid w:val="1DB03E33"/>
    <w:rsid w:val="1DC14274"/>
    <w:rsid w:val="1E1218B8"/>
    <w:rsid w:val="1E1C72EB"/>
    <w:rsid w:val="1E3E5A22"/>
    <w:rsid w:val="1E4513DB"/>
    <w:rsid w:val="1E4F2EAF"/>
    <w:rsid w:val="1E7A43DA"/>
    <w:rsid w:val="1E9E34F5"/>
    <w:rsid w:val="1EA011F0"/>
    <w:rsid w:val="1EA54B97"/>
    <w:rsid w:val="1EB15CC1"/>
    <w:rsid w:val="1EBD4B57"/>
    <w:rsid w:val="1EC2012F"/>
    <w:rsid w:val="1EC61F56"/>
    <w:rsid w:val="1EEE101F"/>
    <w:rsid w:val="1EF902EF"/>
    <w:rsid w:val="1F01577D"/>
    <w:rsid w:val="1F240354"/>
    <w:rsid w:val="1F4A00D2"/>
    <w:rsid w:val="1F51483A"/>
    <w:rsid w:val="1F5165D7"/>
    <w:rsid w:val="1F5717D0"/>
    <w:rsid w:val="1F60296D"/>
    <w:rsid w:val="1F68403B"/>
    <w:rsid w:val="1F871290"/>
    <w:rsid w:val="1F892EAF"/>
    <w:rsid w:val="1F8C0280"/>
    <w:rsid w:val="1F8E21EC"/>
    <w:rsid w:val="1FA137E2"/>
    <w:rsid w:val="1FA76D2A"/>
    <w:rsid w:val="1FA773FD"/>
    <w:rsid w:val="1FBB7D91"/>
    <w:rsid w:val="1FBF0939"/>
    <w:rsid w:val="1FC02564"/>
    <w:rsid w:val="1FE32B0F"/>
    <w:rsid w:val="1FE7539E"/>
    <w:rsid w:val="1FF05FDD"/>
    <w:rsid w:val="20074BDA"/>
    <w:rsid w:val="201351AA"/>
    <w:rsid w:val="202701C7"/>
    <w:rsid w:val="20353B28"/>
    <w:rsid w:val="20671BE0"/>
    <w:rsid w:val="20757C11"/>
    <w:rsid w:val="20867371"/>
    <w:rsid w:val="208D3C85"/>
    <w:rsid w:val="208E0969"/>
    <w:rsid w:val="20963CB8"/>
    <w:rsid w:val="209C40E2"/>
    <w:rsid w:val="20A81A1B"/>
    <w:rsid w:val="20B07FB6"/>
    <w:rsid w:val="20B21B0E"/>
    <w:rsid w:val="20B646FB"/>
    <w:rsid w:val="20C2773C"/>
    <w:rsid w:val="20F14604"/>
    <w:rsid w:val="20F77D4D"/>
    <w:rsid w:val="21013F02"/>
    <w:rsid w:val="210523E0"/>
    <w:rsid w:val="211C02AA"/>
    <w:rsid w:val="21231C3C"/>
    <w:rsid w:val="213B74B1"/>
    <w:rsid w:val="215A2310"/>
    <w:rsid w:val="21641724"/>
    <w:rsid w:val="21740C10"/>
    <w:rsid w:val="21773A5C"/>
    <w:rsid w:val="217B1E67"/>
    <w:rsid w:val="2194535C"/>
    <w:rsid w:val="21AC7818"/>
    <w:rsid w:val="21C634B1"/>
    <w:rsid w:val="21DE318A"/>
    <w:rsid w:val="21EF5B80"/>
    <w:rsid w:val="21F743A7"/>
    <w:rsid w:val="22173C81"/>
    <w:rsid w:val="221970D3"/>
    <w:rsid w:val="221E7E05"/>
    <w:rsid w:val="22270BB1"/>
    <w:rsid w:val="2235475A"/>
    <w:rsid w:val="223F5922"/>
    <w:rsid w:val="224D3A50"/>
    <w:rsid w:val="22536EA3"/>
    <w:rsid w:val="22576990"/>
    <w:rsid w:val="227778C0"/>
    <w:rsid w:val="228E42D0"/>
    <w:rsid w:val="22A04696"/>
    <w:rsid w:val="22A97C65"/>
    <w:rsid w:val="22E15169"/>
    <w:rsid w:val="22F41696"/>
    <w:rsid w:val="22F47480"/>
    <w:rsid w:val="230C00EF"/>
    <w:rsid w:val="230D0643"/>
    <w:rsid w:val="23126B22"/>
    <w:rsid w:val="23465DCF"/>
    <w:rsid w:val="235A0437"/>
    <w:rsid w:val="238873CF"/>
    <w:rsid w:val="238C7AE4"/>
    <w:rsid w:val="23974385"/>
    <w:rsid w:val="23A33EE4"/>
    <w:rsid w:val="23A71589"/>
    <w:rsid w:val="23B50738"/>
    <w:rsid w:val="23BD3C4B"/>
    <w:rsid w:val="23DC2D77"/>
    <w:rsid w:val="23DE1C48"/>
    <w:rsid w:val="23E46C9D"/>
    <w:rsid w:val="23F25E6E"/>
    <w:rsid w:val="240010B9"/>
    <w:rsid w:val="240210CD"/>
    <w:rsid w:val="2419626F"/>
    <w:rsid w:val="241B4D9D"/>
    <w:rsid w:val="241D26AD"/>
    <w:rsid w:val="241F164B"/>
    <w:rsid w:val="242A59A6"/>
    <w:rsid w:val="243C5AB2"/>
    <w:rsid w:val="243C5FCA"/>
    <w:rsid w:val="245055C8"/>
    <w:rsid w:val="245870BA"/>
    <w:rsid w:val="24597F3F"/>
    <w:rsid w:val="245B38A1"/>
    <w:rsid w:val="24983610"/>
    <w:rsid w:val="24A768ED"/>
    <w:rsid w:val="24B44830"/>
    <w:rsid w:val="24B60F63"/>
    <w:rsid w:val="24BB5DA1"/>
    <w:rsid w:val="24BF09F7"/>
    <w:rsid w:val="252D53FE"/>
    <w:rsid w:val="25354932"/>
    <w:rsid w:val="254123E8"/>
    <w:rsid w:val="25507FF0"/>
    <w:rsid w:val="25554206"/>
    <w:rsid w:val="256D2827"/>
    <w:rsid w:val="25792D66"/>
    <w:rsid w:val="259F33A8"/>
    <w:rsid w:val="25A31460"/>
    <w:rsid w:val="25A8047D"/>
    <w:rsid w:val="25B62A61"/>
    <w:rsid w:val="25B72180"/>
    <w:rsid w:val="25BB40C1"/>
    <w:rsid w:val="25DE3A3A"/>
    <w:rsid w:val="25EC2D81"/>
    <w:rsid w:val="25F03B5F"/>
    <w:rsid w:val="260B1958"/>
    <w:rsid w:val="26112B91"/>
    <w:rsid w:val="2644571B"/>
    <w:rsid w:val="26470BB5"/>
    <w:rsid w:val="264958CC"/>
    <w:rsid w:val="26631FAB"/>
    <w:rsid w:val="26647A1D"/>
    <w:rsid w:val="26652635"/>
    <w:rsid w:val="26656B03"/>
    <w:rsid w:val="267062EF"/>
    <w:rsid w:val="26820162"/>
    <w:rsid w:val="268339D0"/>
    <w:rsid w:val="26871121"/>
    <w:rsid w:val="268A734B"/>
    <w:rsid w:val="269A0AA0"/>
    <w:rsid w:val="269F0F8A"/>
    <w:rsid w:val="26C10197"/>
    <w:rsid w:val="26C365FA"/>
    <w:rsid w:val="26CD12DC"/>
    <w:rsid w:val="26D96B0A"/>
    <w:rsid w:val="26DC7221"/>
    <w:rsid w:val="26EA3C05"/>
    <w:rsid w:val="26EC20B9"/>
    <w:rsid w:val="26F709A6"/>
    <w:rsid w:val="26FF46D2"/>
    <w:rsid w:val="2714193E"/>
    <w:rsid w:val="271A286C"/>
    <w:rsid w:val="2721081E"/>
    <w:rsid w:val="27335B2F"/>
    <w:rsid w:val="274F3AEE"/>
    <w:rsid w:val="27563C8B"/>
    <w:rsid w:val="275D5E29"/>
    <w:rsid w:val="275F1D29"/>
    <w:rsid w:val="275F6FCB"/>
    <w:rsid w:val="2760481B"/>
    <w:rsid w:val="277057A2"/>
    <w:rsid w:val="277D46CA"/>
    <w:rsid w:val="27966D6E"/>
    <w:rsid w:val="279E3402"/>
    <w:rsid w:val="27AB5C5C"/>
    <w:rsid w:val="27AF3C1B"/>
    <w:rsid w:val="27B82C06"/>
    <w:rsid w:val="27BE6C37"/>
    <w:rsid w:val="27C240A6"/>
    <w:rsid w:val="27D0778A"/>
    <w:rsid w:val="27DA4506"/>
    <w:rsid w:val="27EC1AE4"/>
    <w:rsid w:val="27F76CF5"/>
    <w:rsid w:val="280125B5"/>
    <w:rsid w:val="281E73A1"/>
    <w:rsid w:val="2835520B"/>
    <w:rsid w:val="28394AB8"/>
    <w:rsid w:val="284524DE"/>
    <w:rsid w:val="28747C31"/>
    <w:rsid w:val="2895791C"/>
    <w:rsid w:val="28C9399C"/>
    <w:rsid w:val="28CD7E1D"/>
    <w:rsid w:val="28D6009A"/>
    <w:rsid w:val="28E05D5A"/>
    <w:rsid w:val="28E33D7F"/>
    <w:rsid w:val="29121905"/>
    <w:rsid w:val="29121B7F"/>
    <w:rsid w:val="29206EB8"/>
    <w:rsid w:val="29286B92"/>
    <w:rsid w:val="29446AB7"/>
    <w:rsid w:val="294A370E"/>
    <w:rsid w:val="29595666"/>
    <w:rsid w:val="29624C4F"/>
    <w:rsid w:val="296919AB"/>
    <w:rsid w:val="296F0F7B"/>
    <w:rsid w:val="29855CF3"/>
    <w:rsid w:val="29874881"/>
    <w:rsid w:val="29930735"/>
    <w:rsid w:val="29A36925"/>
    <w:rsid w:val="29D405A0"/>
    <w:rsid w:val="29E325E0"/>
    <w:rsid w:val="29ED014D"/>
    <w:rsid w:val="29FA2874"/>
    <w:rsid w:val="29FB35E9"/>
    <w:rsid w:val="29FC452C"/>
    <w:rsid w:val="29FD68CA"/>
    <w:rsid w:val="2A0046E1"/>
    <w:rsid w:val="2A1F24E3"/>
    <w:rsid w:val="2A313F63"/>
    <w:rsid w:val="2A3F52DC"/>
    <w:rsid w:val="2A452503"/>
    <w:rsid w:val="2A804964"/>
    <w:rsid w:val="2A8A6869"/>
    <w:rsid w:val="2A8B493C"/>
    <w:rsid w:val="2A8F7D38"/>
    <w:rsid w:val="2A912D5A"/>
    <w:rsid w:val="2AA77F50"/>
    <w:rsid w:val="2AC7296E"/>
    <w:rsid w:val="2ACD559F"/>
    <w:rsid w:val="2AD0584D"/>
    <w:rsid w:val="2AEC0035"/>
    <w:rsid w:val="2B072770"/>
    <w:rsid w:val="2B2D2862"/>
    <w:rsid w:val="2B5F5FB9"/>
    <w:rsid w:val="2B6B0D5D"/>
    <w:rsid w:val="2B6E2120"/>
    <w:rsid w:val="2BA90737"/>
    <w:rsid w:val="2BA936A8"/>
    <w:rsid w:val="2BAE57DB"/>
    <w:rsid w:val="2BC25293"/>
    <w:rsid w:val="2BD76100"/>
    <w:rsid w:val="2BF24F7F"/>
    <w:rsid w:val="2C030CEF"/>
    <w:rsid w:val="2C103BB5"/>
    <w:rsid w:val="2C11766D"/>
    <w:rsid w:val="2C2A2C0E"/>
    <w:rsid w:val="2C315A5A"/>
    <w:rsid w:val="2C3469DC"/>
    <w:rsid w:val="2C485E46"/>
    <w:rsid w:val="2C4B1C25"/>
    <w:rsid w:val="2C5E4E5E"/>
    <w:rsid w:val="2C6705DD"/>
    <w:rsid w:val="2C732201"/>
    <w:rsid w:val="2C8259E7"/>
    <w:rsid w:val="2C9251AD"/>
    <w:rsid w:val="2CA31E7F"/>
    <w:rsid w:val="2CAE562C"/>
    <w:rsid w:val="2CCE08E4"/>
    <w:rsid w:val="2CD45AC9"/>
    <w:rsid w:val="2CDC0270"/>
    <w:rsid w:val="2CF43DD3"/>
    <w:rsid w:val="2CFB56AE"/>
    <w:rsid w:val="2D053DB8"/>
    <w:rsid w:val="2D10405F"/>
    <w:rsid w:val="2D3E3A70"/>
    <w:rsid w:val="2D5D36CC"/>
    <w:rsid w:val="2D617E1D"/>
    <w:rsid w:val="2D923B0D"/>
    <w:rsid w:val="2D9610AC"/>
    <w:rsid w:val="2D9B673F"/>
    <w:rsid w:val="2D9E56F5"/>
    <w:rsid w:val="2DA502AD"/>
    <w:rsid w:val="2DC1788B"/>
    <w:rsid w:val="2DC42FC0"/>
    <w:rsid w:val="2DCC1BC3"/>
    <w:rsid w:val="2DD259A7"/>
    <w:rsid w:val="2DD37C27"/>
    <w:rsid w:val="2DEC3D42"/>
    <w:rsid w:val="2DED05E5"/>
    <w:rsid w:val="2DF2753D"/>
    <w:rsid w:val="2DF37900"/>
    <w:rsid w:val="2E1D7AB2"/>
    <w:rsid w:val="2E460D8A"/>
    <w:rsid w:val="2E50052A"/>
    <w:rsid w:val="2E667F96"/>
    <w:rsid w:val="2E6B5E9F"/>
    <w:rsid w:val="2E787DA1"/>
    <w:rsid w:val="2E7E0EF2"/>
    <w:rsid w:val="2E8125AF"/>
    <w:rsid w:val="2E8226AB"/>
    <w:rsid w:val="2E870399"/>
    <w:rsid w:val="2E884B7F"/>
    <w:rsid w:val="2E9B237D"/>
    <w:rsid w:val="2E9B55DF"/>
    <w:rsid w:val="2EA34861"/>
    <w:rsid w:val="2EBB44D9"/>
    <w:rsid w:val="2EC13C68"/>
    <w:rsid w:val="2EC14626"/>
    <w:rsid w:val="2ECA0227"/>
    <w:rsid w:val="2EDD2F48"/>
    <w:rsid w:val="2EF71FEB"/>
    <w:rsid w:val="2EF97F5D"/>
    <w:rsid w:val="2F0C0F44"/>
    <w:rsid w:val="2F22137A"/>
    <w:rsid w:val="2F2D261C"/>
    <w:rsid w:val="2F2D349D"/>
    <w:rsid w:val="2F386C89"/>
    <w:rsid w:val="2F414F6C"/>
    <w:rsid w:val="2F4A0779"/>
    <w:rsid w:val="2F7E2086"/>
    <w:rsid w:val="2FAA0080"/>
    <w:rsid w:val="2FB449B2"/>
    <w:rsid w:val="2FBA3AEB"/>
    <w:rsid w:val="2FC20F3B"/>
    <w:rsid w:val="2FD065E6"/>
    <w:rsid w:val="2FD96870"/>
    <w:rsid w:val="2FDF16EF"/>
    <w:rsid w:val="2FE260F4"/>
    <w:rsid w:val="2FE31C7A"/>
    <w:rsid w:val="2FE4231A"/>
    <w:rsid w:val="2FE43150"/>
    <w:rsid w:val="300D34F1"/>
    <w:rsid w:val="301A39F8"/>
    <w:rsid w:val="301F678F"/>
    <w:rsid w:val="302B3702"/>
    <w:rsid w:val="302F5814"/>
    <w:rsid w:val="304211CA"/>
    <w:rsid w:val="304A1495"/>
    <w:rsid w:val="30580BC9"/>
    <w:rsid w:val="30742F8E"/>
    <w:rsid w:val="307E7DC8"/>
    <w:rsid w:val="30931155"/>
    <w:rsid w:val="30A142E9"/>
    <w:rsid w:val="30A36624"/>
    <w:rsid w:val="30C418B6"/>
    <w:rsid w:val="30DA203B"/>
    <w:rsid w:val="30E366D2"/>
    <w:rsid w:val="30FB427A"/>
    <w:rsid w:val="311714C1"/>
    <w:rsid w:val="311E2ED7"/>
    <w:rsid w:val="31352968"/>
    <w:rsid w:val="31480D82"/>
    <w:rsid w:val="315619EE"/>
    <w:rsid w:val="315C449C"/>
    <w:rsid w:val="317050DC"/>
    <w:rsid w:val="3199215A"/>
    <w:rsid w:val="319D368C"/>
    <w:rsid w:val="31AC3369"/>
    <w:rsid w:val="31B032F8"/>
    <w:rsid w:val="31B82709"/>
    <w:rsid w:val="31C81816"/>
    <w:rsid w:val="31D05482"/>
    <w:rsid w:val="31D2453B"/>
    <w:rsid w:val="31DB1A05"/>
    <w:rsid w:val="3220337D"/>
    <w:rsid w:val="32400B34"/>
    <w:rsid w:val="32442321"/>
    <w:rsid w:val="324C352C"/>
    <w:rsid w:val="325D3E6B"/>
    <w:rsid w:val="32736E48"/>
    <w:rsid w:val="327B6B2C"/>
    <w:rsid w:val="328343BA"/>
    <w:rsid w:val="3288028F"/>
    <w:rsid w:val="328D5216"/>
    <w:rsid w:val="328D67E4"/>
    <w:rsid w:val="329E6876"/>
    <w:rsid w:val="32A825D3"/>
    <w:rsid w:val="32B21023"/>
    <w:rsid w:val="32B26B85"/>
    <w:rsid w:val="32E155F2"/>
    <w:rsid w:val="32E52379"/>
    <w:rsid w:val="32FB6410"/>
    <w:rsid w:val="331105F6"/>
    <w:rsid w:val="33161446"/>
    <w:rsid w:val="33192188"/>
    <w:rsid w:val="333015F2"/>
    <w:rsid w:val="333C6E03"/>
    <w:rsid w:val="33492641"/>
    <w:rsid w:val="334B6320"/>
    <w:rsid w:val="335A268C"/>
    <w:rsid w:val="3382420E"/>
    <w:rsid w:val="33891EC5"/>
    <w:rsid w:val="33B00199"/>
    <w:rsid w:val="33B72687"/>
    <w:rsid w:val="33D570D2"/>
    <w:rsid w:val="33D77C4D"/>
    <w:rsid w:val="33D934D4"/>
    <w:rsid w:val="33E72F0B"/>
    <w:rsid w:val="33F054E1"/>
    <w:rsid w:val="33FE2F6A"/>
    <w:rsid w:val="33FE76EF"/>
    <w:rsid w:val="340E07E5"/>
    <w:rsid w:val="34235BF7"/>
    <w:rsid w:val="346F23A6"/>
    <w:rsid w:val="3492595A"/>
    <w:rsid w:val="34B007C2"/>
    <w:rsid w:val="34B5486E"/>
    <w:rsid w:val="3508002F"/>
    <w:rsid w:val="3522787A"/>
    <w:rsid w:val="352C5950"/>
    <w:rsid w:val="352D0498"/>
    <w:rsid w:val="355035D2"/>
    <w:rsid w:val="356165A4"/>
    <w:rsid w:val="356A136E"/>
    <w:rsid w:val="35720726"/>
    <w:rsid w:val="35742FD9"/>
    <w:rsid w:val="358C5FA8"/>
    <w:rsid w:val="35920DD6"/>
    <w:rsid w:val="359A7184"/>
    <w:rsid w:val="35B1413A"/>
    <w:rsid w:val="35C15DF1"/>
    <w:rsid w:val="35CC4CF4"/>
    <w:rsid w:val="35D24EC2"/>
    <w:rsid w:val="35D51E84"/>
    <w:rsid w:val="35D7772A"/>
    <w:rsid w:val="35FC013C"/>
    <w:rsid w:val="3604294F"/>
    <w:rsid w:val="36074A7F"/>
    <w:rsid w:val="360C58AD"/>
    <w:rsid w:val="360F2569"/>
    <w:rsid w:val="361E11E0"/>
    <w:rsid w:val="36210223"/>
    <w:rsid w:val="36361F19"/>
    <w:rsid w:val="36721CF8"/>
    <w:rsid w:val="3674314B"/>
    <w:rsid w:val="367F050E"/>
    <w:rsid w:val="368536A7"/>
    <w:rsid w:val="36923549"/>
    <w:rsid w:val="36927F8E"/>
    <w:rsid w:val="36B75FBF"/>
    <w:rsid w:val="36BD0C45"/>
    <w:rsid w:val="36C83E50"/>
    <w:rsid w:val="36C96156"/>
    <w:rsid w:val="36D13F54"/>
    <w:rsid w:val="36D42F69"/>
    <w:rsid w:val="36E6776B"/>
    <w:rsid w:val="37014E10"/>
    <w:rsid w:val="3705148F"/>
    <w:rsid w:val="372F3E21"/>
    <w:rsid w:val="372F77BE"/>
    <w:rsid w:val="37323BB6"/>
    <w:rsid w:val="374D32BD"/>
    <w:rsid w:val="37600963"/>
    <w:rsid w:val="3763472E"/>
    <w:rsid w:val="377B09A4"/>
    <w:rsid w:val="37A67CC9"/>
    <w:rsid w:val="37AA13FC"/>
    <w:rsid w:val="37BE2FB4"/>
    <w:rsid w:val="37CD34DE"/>
    <w:rsid w:val="37CE25EF"/>
    <w:rsid w:val="37D47275"/>
    <w:rsid w:val="37DE58E9"/>
    <w:rsid w:val="37E00298"/>
    <w:rsid w:val="37FD55CD"/>
    <w:rsid w:val="38073753"/>
    <w:rsid w:val="38140D02"/>
    <w:rsid w:val="3841226B"/>
    <w:rsid w:val="385C1631"/>
    <w:rsid w:val="38623AF0"/>
    <w:rsid w:val="386A3760"/>
    <w:rsid w:val="386F20D7"/>
    <w:rsid w:val="3888646E"/>
    <w:rsid w:val="38A13877"/>
    <w:rsid w:val="38A46DF0"/>
    <w:rsid w:val="38B302F9"/>
    <w:rsid w:val="38B61C37"/>
    <w:rsid w:val="38D51C7C"/>
    <w:rsid w:val="38E53B22"/>
    <w:rsid w:val="38E72437"/>
    <w:rsid w:val="38F12CD3"/>
    <w:rsid w:val="38F12D55"/>
    <w:rsid w:val="38F335D3"/>
    <w:rsid w:val="38F94775"/>
    <w:rsid w:val="390A623C"/>
    <w:rsid w:val="391E3582"/>
    <w:rsid w:val="392971ED"/>
    <w:rsid w:val="393179FB"/>
    <w:rsid w:val="39325651"/>
    <w:rsid w:val="39385FF4"/>
    <w:rsid w:val="39472294"/>
    <w:rsid w:val="394848DC"/>
    <w:rsid w:val="394B3648"/>
    <w:rsid w:val="395849DC"/>
    <w:rsid w:val="395B04F9"/>
    <w:rsid w:val="39633163"/>
    <w:rsid w:val="398C2834"/>
    <w:rsid w:val="398E6F75"/>
    <w:rsid w:val="39AD0E85"/>
    <w:rsid w:val="39BC4DEB"/>
    <w:rsid w:val="39C1438C"/>
    <w:rsid w:val="39D26E62"/>
    <w:rsid w:val="39ED2D6A"/>
    <w:rsid w:val="39F12020"/>
    <w:rsid w:val="39F60115"/>
    <w:rsid w:val="39FD369C"/>
    <w:rsid w:val="3A191F35"/>
    <w:rsid w:val="3A282C13"/>
    <w:rsid w:val="3A54739E"/>
    <w:rsid w:val="3A636012"/>
    <w:rsid w:val="3A7021D5"/>
    <w:rsid w:val="3A770E19"/>
    <w:rsid w:val="3A772600"/>
    <w:rsid w:val="3A814594"/>
    <w:rsid w:val="3A822B5A"/>
    <w:rsid w:val="3A847B58"/>
    <w:rsid w:val="3A872856"/>
    <w:rsid w:val="3A8770B5"/>
    <w:rsid w:val="3A9768F1"/>
    <w:rsid w:val="3AF02A7E"/>
    <w:rsid w:val="3AF6688D"/>
    <w:rsid w:val="3AF84B2F"/>
    <w:rsid w:val="3AFC4DE7"/>
    <w:rsid w:val="3B05332F"/>
    <w:rsid w:val="3B0653BF"/>
    <w:rsid w:val="3B196F6D"/>
    <w:rsid w:val="3B3763D1"/>
    <w:rsid w:val="3B3A65B0"/>
    <w:rsid w:val="3B474262"/>
    <w:rsid w:val="3B4D438E"/>
    <w:rsid w:val="3B514576"/>
    <w:rsid w:val="3B524733"/>
    <w:rsid w:val="3B7D6D8C"/>
    <w:rsid w:val="3B83405E"/>
    <w:rsid w:val="3B86269A"/>
    <w:rsid w:val="3B9162E7"/>
    <w:rsid w:val="3BCC7FD6"/>
    <w:rsid w:val="3BCE6E88"/>
    <w:rsid w:val="3BD173BE"/>
    <w:rsid w:val="3BD86335"/>
    <w:rsid w:val="3BDD73F1"/>
    <w:rsid w:val="3C0122C1"/>
    <w:rsid w:val="3C1C01CB"/>
    <w:rsid w:val="3C24273E"/>
    <w:rsid w:val="3C2F6E1E"/>
    <w:rsid w:val="3C3F674B"/>
    <w:rsid w:val="3C4F64BA"/>
    <w:rsid w:val="3C5B4E46"/>
    <w:rsid w:val="3C7D61AA"/>
    <w:rsid w:val="3C8D0158"/>
    <w:rsid w:val="3C951B6B"/>
    <w:rsid w:val="3C98437C"/>
    <w:rsid w:val="3CC278EC"/>
    <w:rsid w:val="3CDA245A"/>
    <w:rsid w:val="3D021644"/>
    <w:rsid w:val="3D143CBB"/>
    <w:rsid w:val="3D1E06B7"/>
    <w:rsid w:val="3D212A6B"/>
    <w:rsid w:val="3D2672FF"/>
    <w:rsid w:val="3D396543"/>
    <w:rsid w:val="3D3D500A"/>
    <w:rsid w:val="3D410599"/>
    <w:rsid w:val="3D487BE3"/>
    <w:rsid w:val="3D4F1BA9"/>
    <w:rsid w:val="3D6850A6"/>
    <w:rsid w:val="3D7058E6"/>
    <w:rsid w:val="3D7277B6"/>
    <w:rsid w:val="3D824C2F"/>
    <w:rsid w:val="3D962B8D"/>
    <w:rsid w:val="3D9A3FFC"/>
    <w:rsid w:val="3D9C659F"/>
    <w:rsid w:val="3DA54F03"/>
    <w:rsid w:val="3DA615D4"/>
    <w:rsid w:val="3DB25D3C"/>
    <w:rsid w:val="3DC7479B"/>
    <w:rsid w:val="3DD00E67"/>
    <w:rsid w:val="3DD865CA"/>
    <w:rsid w:val="3DFF2D46"/>
    <w:rsid w:val="3E286043"/>
    <w:rsid w:val="3E3612B1"/>
    <w:rsid w:val="3E535BCF"/>
    <w:rsid w:val="3E5C6203"/>
    <w:rsid w:val="3E6E3030"/>
    <w:rsid w:val="3E8E5781"/>
    <w:rsid w:val="3E8F5255"/>
    <w:rsid w:val="3EAB5124"/>
    <w:rsid w:val="3EC93D6A"/>
    <w:rsid w:val="3ED174A1"/>
    <w:rsid w:val="3ED26AFE"/>
    <w:rsid w:val="3ED8774E"/>
    <w:rsid w:val="3EDA0523"/>
    <w:rsid w:val="3EF71354"/>
    <w:rsid w:val="3EFD68FA"/>
    <w:rsid w:val="3F073CF2"/>
    <w:rsid w:val="3F0E046E"/>
    <w:rsid w:val="3F1F6BD2"/>
    <w:rsid w:val="3F2C0F9F"/>
    <w:rsid w:val="3F322041"/>
    <w:rsid w:val="3F322C4F"/>
    <w:rsid w:val="3F3A001F"/>
    <w:rsid w:val="3F5C2679"/>
    <w:rsid w:val="3F6A1A89"/>
    <w:rsid w:val="3F8120EB"/>
    <w:rsid w:val="3F8958BB"/>
    <w:rsid w:val="3F92292D"/>
    <w:rsid w:val="3F933F5E"/>
    <w:rsid w:val="3F981A43"/>
    <w:rsid w:val="3FA02712"/>
    <w:rsid w:val="3FB56BA2"/>
    <w:rsid w:val="3FCC7022"/>
    <w:rsid w:val="3FE912ED"/>
    <w:rsid w:val="402908FA"/>
    <w:rsid w:val="402B0CB6"/>
    <w:rsid w:val="40315E68"/>
    <w:rsid w:val="4054723D"/>
    <w:rsid w:val="406100C9"/>
    <w:rsid w:val="406460BB"/>
    <w:rsid w:val="40694E89"/>
    <w:rsid w:val="407A6407"/>
    <w:rsid w:val="408A38BC"/>
    <w:rsid w:val="408B3B4B"/>
    <w:rsid w:val="40A83D8E"/>
    <w:rsid w:val="40B345CE"/>
    <w:rsid w:val="40B370E4"/>
    <w:rsid w:val="40B66DB5"/>
    <w:rsid w:val="40C12798"/>
    <w:rsid w:val="40E5489F"/>
    <w:rsid w:val="40EB272F"/>
    <w:rsid w:val="40EF5332"/>
    <w:rsid w:val="40FB0C64"/>
    <w:rsid w:val="40FD2BE9"/>
    <w:rsid w:val="410067D8"/>
    <w:rsid w:val="410D0520"/>
    <w:rsid w:val="41116353"/>
    <w:rsid w:val="4112033F"/>
    <w:rsid w:val="412F7F59"/>
    <w:rsid w:val="4156776A"/>
    <w:rsid w:val="41596B05"/>
    <w:rsid w:val="416E0050"/>
    <w:rsid w:val="41785E1A"/>
    <w:rsid w:val="418332D0"/>
    <w:rsid w:val="41886F2E"/>
    <w:rsid w:val="41A6669B"/>
    <w:rsid w:val="41A958A5"/>
    <w:rsid w:val="41BC71FF"/>
    <w:rsid w:val="41C85C66"/>
    <w:rsid w:val="41DE6FFD"/>
    <w:rsid w:val="41F93AFF"/>
    <w:rsid w:val="41FD4D22"/>
    <w:rsid w:val="42000EB7"/>
    <w:rsid w:val="4200449D"/>
    <w:rsid w:val="42106556"/>
    <w:rsid w:val="421C7C67"/>
    <w:rsid w:val="4220457D"/>
    <w:rsid w:val="423A3BCC"/>
    <w:rsid w:val="424111DC"/>
    <w:rsid w:val="424D1CB4"/>
    <w:rsid w:val="424E57D2"/>
    <w:rsid w:val="424F6839"/>
    <w:rsid w:val="42752FA8"/>
    <w:rsid w:val="4279427C"/>
    <w:rsid w:val="42930F2C"/>
    <w:rsid w:val="42960A9A"/>
    <w:rsid w:val="429B1DB3"/>
    <w:rsid w:val="42AE6AD6"/>
    <w:rsid w:val="42B26C49"/>
    <w:rsid w:val="42E727E8"/>
    <w:rsid w:val="42F21ED7"/>
    <w:rsid w:val="432D6D83"/>
    <w:rsid w:val="433A6FE6"/>
    <w:rsid w:val="433F52B4"/>
    <w:rsid w:val="43480868"/>
    <w:rsid w:val="4350713C"/>
    <w:rsid w:val="4357125C"/>
    <w:rsid w:val="43572B58"/>
    <w:rsid w:val="435F0B2A"/>
    <w:rsid w:val="436653E0"/>
    <w:rsid w:val="43670C0E"/>
    <w:rsid w:val="43751D55"/>
    <w:rsid w:val="4389792D"/>
    <w:rsid w:val="43993647"/>
    <w:rsid w:val="439B6B91"/>
    <w:rsid w:val="43A11432"/>
    <w:rsid w:val="43A52D82"/>
    <w:rsid w:val="43C4431A"/>
    <w:rsid w:val="43D2700B"/>
    <w:rsid w:val="43DE3E4E"/>
    <w:rsid w:val="43FE58B0"/>
    <w:rsid w:val="440706E9"/>
    <w:rsid w:val="44426644"/>
    <w:rsid w:val="44861D31"/>
    <w:rsid w:val="44900BDB"/>
    <w:rsid w:val="449B0A1E"/>
    <w:rsid w:val="449F777A"/>
    <w:rsid w:val="44AB3CAD"/>
    <w:rsid w:val="44B06604"/>
    <w:rsid w:val="44B21378"/>
    <w:rsid w:val="44B951CC"/>
    <w:rsid w:val="44CD14E0"/>
    <w:rsid w:val="44D81A76"/>
    <w:rsid w:val="44DB336B"/>
    <w:rsid w:val="44E03C77"/>
    <w:rsid w:val="44F20B0B"/>
    <w:rsid w:val="44F54637"/>
    <w:rsid w:val="44F72253"/>
    <w:rsid w:val="450133DD"/>
    <w:rsid w:val="45095099"/>
    <w:rsid w:val="452E5F4C"/>
    <w:rsid w:val="453A0A5B"/>
    <w:rsid w:val="454C7840"/>
    <w:rsid w:val="45510CB8"/>
    <w:rsid w:val="455F1FA2"/>
    <w:rsid w:val="45612018"/>
    <w:rsid w:val="45804AFF"/>
    <w:rsid w:val="45813692"/>
    <w:rsid w:val="45827D0F"/>
    <w:rsid w:val="458946E9"/>
    <w:rsid w:val="45A47C0E"/>
    <w:rsid w:val="45AD4534"/>
    <w:rsid w:val="45BC0C00"/>
    <w:rsid w:val="45CA11A3"/>
    <w:rsid w:val="45EB3C3E"/>
    <w:rsid w:val="45F8491C"/>
    <w:rsid w:val="45FB5E21"/>
    <w:rsid w:val="461D2384"/>
    <w:rsid w:val="462349A0"/>
    <w:rsid w:val="46236E90"/>
    <w:rsid w:val="46260ED0"/>
    <w:rsid w:val="463434E7"/>
    <w:rsid w:val="463645C2"/>
    <w:rsid w:val="463D6053"/>
    <w:rsid w:val="46577FD6"/>
    <w:rsid w:val="46704FD0"/>
    <w:rsid w:val="4675371F"/>
    <w:rsid w:val="467B66CA"/>
    <w:rsid w:val="46894842"/>
    <w:rsid w:val="46BF340A"/>
    <w:rsid w:val="46CB36E3"/>
    <w:rsid w:val="46D955A7"/>
    <w:rsid w:val="46EC00F5"/>
    <w:rsid w:val="47133957"/>
    <w:rsid w:val="471D6152"/>
    <w:rsid w:val="471F0036"/>
    <w:rsid w:val="47420C62"/>
    <w:rsid w:val="475C4CD8"/>
    <w:rsid w:val="476421B7"/>
    <w:rsid w:val="476A4431"/>
    <w:rsid w:val="476D4446"/>
    <w:rsid w:val="477146FA"/>
    <w:rsid w:val="47720288"/>
    <w:rsid w:val="4772793A"/>
    <w:rsid w:val="47731352"/>
    <w:rsid w:val="47886F89"/>
    <w:rsid w:val="47A07E0C"/>
    <w:rsid w:val="47BC74AE"/>
    <w:rsid w:val="47BF77EE"/>
    <w:rsid w:val="47D26B14"/>
    <w:rsid w:val="4805593F"/>
    <w:rsid w:val="481F4B75"/>
    <w:rsid w:val="48276897"/>
    <w:rsid w:val="482F54DD"/>
    <w:rsid w:val="48366CE4"/>
    <w:rsid w:val="484F663C"/>
    <w:rsid w:val="48550365"/>
    <w:rsid w:val="485A6946"/>
    <w:rsid w:val="48660F1A"/>
    <w:rsid w:val="48694053"/>
    <w:rsid w:val="4870272E"/>
    <w:rsid w:val="48715BA2"/>
    <w:rsid w:val="488461EA"/>
    <w:rsid w:val="4889774F"/>
    <w:rsid w:val="488D4BAD"/>
    <w:rsid w:val="48936700"/>
    <w:rsid w:val="48B265ED"/>
    <w:rsid w:val="48DB0E4E"/>
    <w:rsid w:val="48DF6DC3"/>
    <w:rsid w:val="48E4605A"/>
    <w:rsid w:val="48F6071D"/>
    <w:rsid w:val="49036FAD"/>
    <w:rsid w:val="491628CD"/>
    <w:rsid w:val="49234B7C"/>
    <w:rsid w:val="492D2987"/>
    <w:rsid w:val="49427966"/>
    <w:rsid w:val="495058D2"/>
    <w:rsid w:val="4954032C"/>
    <w:rsid w:val="496256A7"/>
    <w:rsid w:val="49734EE9"/>
    <w:rsid w:val="498B0DFD"/>
    <w:rsid w:val="49953D9A"/>
    <w:rsid w:val="4999589F"/>
    <w:rsid w:val="49C568B6"/>
    <w:rsid w:val="49C66463"/>
    <w:rsid w:val="49CF0D32"/>
    <w:rsid w:val="49DC7715"/>
    <w:rsid w:val="49DD08D7"/>
    <w:rsid w:val="49DF316E"/>
    <w:rsid w:val="49DF6DE5"/>
    <w:rsid w:val="49E20139"/>
    <w:rsid w:val="49F5335F"/>
    <w:rsid w:val="4A023139"/>
    <w:rsid w:val="4A0B7861"/>
    <w:rsid w:val="4A116F0F"/>
    <w:rsid w:val="4A1A342C"/>
    <w:rsid w:val="4A1D362F"/>
    <w:rsid w:val="4A2A58D2"/>
    <w:rsid w:val="4A4C7F15"/>
    <w:rsid w:val="4A5218B8"/>
    <w:rsid w:val="4A7B576F"/>
    <w:rsid w:val="4A990B0B"/>
    <w:rsid w:val="4A9E7B3B"/>
    <w:rsid w:val="4AA81E95"/>
    <w:rsid w:val="4ABC15BE"/>
    <w:rsid w:val="4AC30FEE"/>
    <w:rsid w:val="4AE300AD"/>
    <w:rsid w:val="4AE77161"/>
    <w:rsid w:val="4AF54A85"/>
    <w:rsid w:val="4AF561A9"/>
    <w:rsid w:val="4B055097"/>
    <w:rsid w:val="4B0843B0"/>
    <w:rsid w:val="4B154540"/>
    <w:rsid w:val="4B170431"/>
    <w:rsid w:val="4B223AA8"/>
    <w:rsid w:val="4B241592"/>
    <w:rsid w:val="4B276BEA"/>
    <w:rsid w:val="4B392E9C"/>
    <w:rsid w:val="4B42212B"/>
    <w:rsid w:val="4B523AEE"/>
    <w:rsid w:val="4B6A4091"/>
    <w:rsid w:val="4B7F5CFA"/>
    <w:rsid w:val="4B872B5B"/>
    <w:rsid w:val="4B8D7117"/>
    <w:rsid w:val="4B90609A"/>
    <w:rsid w:val="4BA6642B"/>
    <w:rsid w:val="4BB14954"/>
    <w:rsid w:val="4BB21951"/>
    <w:rsid w:val="4BC25609"/>
    <w:rsid w:val="4BE9760A"/>
    <w:rsid w:val="4C010B10"/>
    <w:rsid w:val="4C024776"/>
    <w:rsid w:val="4C204964"/>
    <w:rsid w:val="4C311752"/>
    <w:rsid w:val="4C343410"/>
    <w:rsid w:val="4C487A48"/>
    <w:rsid w:val="4C4A0649"/>
    <w:rsid w:val="4C6133F1"/>
    <w:rsid w:val="4C613789"/>
    <w:rsid w:val="4C7214F1"/>
    <w:rsid w:val="4C7E5ECA"/>
    <w:rsid w:val="4C8546F5"/>
    <w:rsid w:val="4C876AA5"/>
    <w:rsid w:val="4C991AEB"/>
    <w:rsid w:val="4CAD2184"/>
    <w:rsid w:val="4CAE17A1"/>
    <w:rsid w:val="4CB26086"/>
    <w:rsid w:val="4CB65F54"/>
    <w:rsid w:val="4CC76535"/>
    <w:rsid w:val="4CEA2837"/>
    <w:rsid w:val="4CFB025D"/>
    <w:rsid w:val="4D0E00FB"/>
    <w:rsid w:val="4D14242C"/>
    <w:rsid w:val="4D176606"/>
    <w:rsid w:val="4D4652EA"/>
    <w:rsid w:val="4D545F0C"/>
    <w:rsid w:val="4D566850"/>
    <w:rsid w:val="4D654F3D"/>
    <w:rsid w:val="4D6930F9"/>
    <w:rsid w:val="4D6D0FF7"/>
    <w:rsid w:val="4DA04DF2"/>
    <w:rsid w:val="4DA475B6"/>
    <w:rsid w:val="4DBC1840"/>
    <w:rsid w:val="4DC646D5"/>
    <w:rsid w:val="4DCE053A"/>
    <w:rsid w:val="4DCE2B3E"/>
    <w:rsid w:val="4DCF7B81"/>
    <w:rsid w:val="4DD21759"/>
    <w:rsid w:val="4DEB6F3C"/>
    <w:rsid w:val="4DEC4FB0"/>
    <w:rsid w:val="4E075D8A"/>
    <w:rsid w:val="4E1C3951"/>
    <w:rsid w:val="4E1F691C"/>
    <w:rsid w:val="4E2632D6"/>
    <w:rsid w:val="4E286FF7"/>
    <w:rsid w:val="4E32515F"/>
    <w:rsid w:val="4E59596C"/>
    <w:rsid w:val="4E8F764A"/>
    <w:rsid w:val="4E992BD6"/>
    <w:rsid w:val="4E9D0D8B"/>
    <w:rsid w:val="4EAE7290"/>
    <w:rsid w:val="4EB235DD"/>
    <w:rsid w:val="4EBE4750"/>
    <w:rsid w:val="4EC00FAD"/>
    <w:rsid w:val="4EC046B5"/>
    <w:rsid w:val="4EC20A33"/>
    <w:rsid w:val="4EC332AE"/>
    <w:rsid w:val="4ED402A2"/>
    <w:rsid w:val="4EDF03CD"/>
    <w:rsid w:val="4EE175F1"/>
    <w:rsid w:val="4EE50807"/>
    <w:rsid w:val="4EE8765C"/>
    <w:rsid w:val="4EED71B7"/>
    <w:rsid w:val="4F1B63B4"/>
    <w:rsid w:val="4F296EAD"/>
    <w:rsid w:val="4F3F06CE"/>
    <w:rsid w:val="4F3F39FB"/>
    <w:rsid w:val="4F4B02CA"/>
    <w:rsid w:val="4F5737D2"/>
    <w:rsid w:val="4F73055A"/>
    <w:rsid w:val="4F961363"/>
    <w:rsid w:val="4F971D37"/>
    <w:rsid w:val="4F9843DC"/>
    <w:rsid w:val="4F9E60B7"/>
    <w:rsid w:val="4FBA331B"/>
    <w:rsid w:val="4FC62A8C"/>
    <w:rsid w:val="4FD81621"/>
    <w:rsid w:val="4FE20F0D"/>
    <w:rsid w:val="4FE51552"/>
    <w:rsid w:val="4FED7AFA"/>
    <w:rsid w:val="501047BA"/>
    <w:rsid w:val="50154B6E"/>
    <w:rsid w:val="501705F9"/>
    <w:rsid w:val="50465DB8"/>
    <w:rsid w:val="50483D0A"/>
    <w:rsid w:val="50504C4B"/>
    <w:rsid w:val="506014AD"/>
    <w:rsid w:val="507E5AE1"/>
    <w:rsid w:val="509A549A"/>
    <w:rsid w:val="509C6E7C"/>
    <w:rsid w:val="50A80950"/>
    <w:rsid w:val="50F4094A"/>
    <w:rsid w:val="50F97BFC"/>
    <w:rsid w:val="50FA471B"/>
    <w:rsid w:val="510237C4"/>
    <w:rsid w:val="51033F24"/>
    <w:rsid w:val="51102CAC"/>
    <w:rsid w:val="511E12E8"/>
    <w:rsid w:val="512E5500"/>
    <w:rsid w:val="51500DFF"/>
    <w:rsid w:val="5160145C"/>
    <w:rsid w:val="5162104E"/>
    <w:rsid w:val="51702D3B"/>
    <w:rsid w:val="51727E7E"/>
    <w:rsid w:val="51813064"/>
    <w:rsid w:val="51A2331D"/>
    <w:rsid w:val="51A84E4A"/>
    <w:rsid w:val="51AF51A9"/>
    <w:rsid w:val="51BF3BF0"/>
    <w:rsid w:val="51C169FC"/>
    <w:rsid w:val="51D26A18"/>
    <w:rsid w:val="51D8395D"/>
    <w:rsid w:val="51E05167"/>
    <w:rsid w:val="51FF444F"/>
    <w:rsid w:val="52063076"/>
    <w:rsid w:val="5207760C"/>
    <w:rsid w:val="521C5582"/>
    <w:rsid w:val="52213D1D"/>
    <w:rsid w:val="52345331"/>
    <w:rsid w:val="523A7343"/>
    <w:rsid w:val="52460BCD"/>
    <w:rsid w:val="52473E24"/>
    <w:rsid w:val="524C1323"/>
    <w:rsid w:val="525474CD"/>
    <w:rsid w:val="52950524"/>
    <w:rsid w:val="52AE1A07"/>
    <w:rsid w:val="52C5199B"/>
    <w:rsid w:val="52C859F9"/>
    <w:rsid w:val="52D93C20"/>
    <w:rsid w:val="52DD1E7D"/>
    <w:rsid w:val="52EA0BFC"/>
    <w:rsid w:val="530C78EB"/>
    <w:rsid w:val="531E7033"/>
    <w:rsid w:val="53295EB6"/>
    <w:rsid w:val="532E4B0A"/>
    <w:rsid w:val="533A58A2"/>
    <w:rsid w:val="533B2167"/>
    <w:rsid w:val="53484A42"/>
    <w:rsid w:val="535D049D"/>
    <w:rsid w:val="53733FD7"/>
    <w:rsid w:val="53735A2A"/>
    <w:rsid w:val="53746294"/>
    <w:rsid w:val="537950E4"/>
    <w:rsid w:val="537A673A"/>
    <w:rsid w:val="538071DA"/>
    <w:rsid w:val="53924E45"/>
    <w:rsid w:val="53993539"/>
    <w:rsid w:val="539B7CAB"/>
    <w:rsid w:val="53A039CC"/>
    <w:rsid w:val="53A1505A"/>
    <w:rsid w:val="53A72C79"/>
    <w:rsid w:val="53A775B5"/>
    <w:rsid w:val="53AD33D9"/>
    <w:rsid w:val="53B2505A"/>
    <w:rsid w:val="53C61771"/>
    <w:rsid w:val="53D43A1B"/>
    <w:rsid w:val="53EB7813"/>
    <w:rsid w:val="53F026DB"/>
    <w:rsid w:val="54063E08"/>
    <w:rsid w:val="541B098E"/>
    <w:rsid w:val="542E33C7"/>
    <w:rsid w:val="543437E8"/>
    <w:rsid w:val="543B5682"/>
    <w:rsid w:val="5443661C"/>
    <w:rsid w:val="544F064A"/>
    <w:rsid w:val="547A22E5"/>
    <w:rsid w:val="548E5CAE"/>
    <w:rsid w:val="54A35787"/>
    <w:rsid w:val="54B20243"/>
    <w:rsid w:val="54D55642"/>
    <w:rsid w:val="54E81FCC"/>
    <w:rsid w:val="54F67255"/>
    <w:rsid w:val="54F73313"/>
    <w:rsid w:val="54F80955"/>
    <w:rsid w:val="5508126D"/>
    <w:rsid w:val="552E3A5A"/>
    <w:rsid w:val="55436B5C"/>
    <w:rsid w:val="554C6AFA"/>
    <w:rsid w:val="554F1A72"/>
    <w:rsid w:val="55510E5B"/>
    <w:rsid w:val="555170A7"/>
    <w:rsid w:val="5557290E"/>
    <w:rsid w:val="55843B75"/>
    <w:rsid w:val="5587536D"/>
    <w:rsid w:val="5592106F"/>
    <w:rsid w:val="559464D6"/>
    <w:rsid w:val="5596193D"/>
    <w:rsid w:val="559A1986"/>
    <w:rsid w:val="559B174B"/>
    <w:rsid w:val="55BE319C"/>
    <w:rsid w:val="55CB6822"/>
    <w:rsid w:val="55CE0CF4"/>
    <w:rsid w:val="55D9565E"/>
    <w:rsid w:val="55DA7948"/>
    <w:rsid w:val="55E45E71"/>
    <w:rsid w:val="55EE2FC5"/>
    <w:rsid w:val="55F1263D"/>
    <w:rsid w:val="56093ABF"/>
    <w:rsid w:val="5621220B"/>
    <w:rsid w:val="563A6591"/>
    <w:rsid w:val="56853889"/>
    <w:rsid w:val="568A0608"/>
    <w:rsid w:val="568F5A54"/>
    <w:rsid w:val="56B22A9C"/>
    <w:rsid w:val="56BF5093"/>
    <w:rsid w:val="56E33587"/>
    <w:rsid w:val="56E75C65"/>
    <w:rsid w:val="56FD24BD"/>
    <w:rsid w:val="56FF57F4"/>
    <w:rsid w:val="570029A8"/>
    <w:rsid w:val="570A7310"/>
    <w:rsid w:val="571132F2"/>
    <w:rsid w:val="5717762D"/>
    <w:rsid w:val="572F0A2E"/>
    <w:rsid w:val="5744140E"/>
    <w:rsid w:val="57494D17"/>
    <w:rsid w:val="57A5631D"/>
    <w:rsid w:val="57A8536A"/>
    <w:rsid w:val="57B72A76"/>
    <w:rsid w:val="57BC2B32"/>
    <w:rsid w:val="57C3426C"/>
    <w:rsid w:val="57C75363"/>
    <w:rsid w:val="57CD2331"/>
    <w:rsid w:val="57CE1F93"/>
    <w:rsid w:val="57D03CF3"/>
    <w:rsid w:val="57D4365F"/>
    <w:rsid w:val="57E92632"/>
    <w:rsid w:val="58033610"/>
    <w:rsid w:val="58044DA9"/>
    <w:rsid w:val="58052C27"/>
    <w:rsid w:val="582629BB"/>
    <w:rsid w:val="58405345"/>
    <w:rsid w:val="585110E6"/>
    <w:rsid w:val="58560A98"/>
    <w:rsid w:val="5867073D"/>
    <w:rsid w:val="58837D62"/>
    <w:rsid w:val="588743D1"/>
    <w:rsid w:val="5887701A"/>
    <w:rsid w:val="58886D10"/>
    <w:rsid w:val="58AF24D3"/>
    <w:rsid w:val="58B304B3"/>
    <w:rsid w:val="58BB223B"/>
    <w:rsid w:val="58C8174F"/>
    <w:rsid w:val="58DB1914"/>
    <w:rsid w:val="58E34BE8"/>
    <w:rsid w:val="58EA351B"/>
    <w:rsid w:val="59076F13"/>
    <w:rsid w:val="592225A0"/>
    <w:rsid w:val="5924570D"/>
    <w:rsid w:val="59254481"/>
    <w:rsid w:val="59263FA2"/>
    <w:rsid w:val="593A4C85"/>
    <w:rsid w:val="5955151B"/>
    <w:rsid w:val="59704C96"/>
    <w:rsid w:val="5971501D"/>
    <w:rsid w:val="597F763F"/>
    <w:rsid w:val="59837668"/>
    <w:rsid w:val="59AF7DCA"/>
    <w:rsid w:val="59B60431"/>
    <w:rsid w:val="59C0439F"/>
    <w:rsid w:val="59C433AF"/>
    <w:rsid w:val="59EC44E7"/>
    <w:rsid w:val="59FE1E2B"/>
    <w:rsid w:val="5A0174D9"/>
    <w:rsid w:val="5A077F66"/>
    <w:rsid w:val="5A2C2925"/>
    <w:rsid w:val="5A560BB8"/>
    <w:rsid w:val="5A6231C8"/>
    <w:rsid w:val="5A7B26A2"/>
    <w:rsid w:val="5A7C2DD5"/>
    <w:rsid w:val="5A812961"/>
    <w:rsid w:val="5A83237B"/>
    <w:rsid w:val="5A8D0A21"/>
    <w:rsid w:val="5A9764F6"/>
    <w:rsid w:val="5A9D5093"/>
    <w:rsid w:val="5AAD29A5"/>
    <w:rsid w:val="5AB8344F"/>
    <w:rsid w:val="5ABC02A8"/>
    <w:rsid w:val="5ABE2233"/>
    <w:rsid w:val="5AC63DB7"/>
    <w:rsid w:val="5ADB0670"/>
    <w:rsid w:val="5AE56482"/>
    <w:rsid w:val="5AE5762A"/>
    <w:rsid w:val="5AFA4A61"/>
    <w:rsid w:val="5B2A3980"/>
    <w:rsid w:val="5B2F3988"/>
    <w:rsid w:val="5B3F7A16"/>
    <w:rsid w:val="5B453108"/>
    <w:rsid w:val="5B563367"/>
    <w:rsid w:val="5B584622"/>
    <w:rsid w:val="5B7536CB"/>
    <w:rsid w:val="5B86397B"/>
    <w:rsid w:val="5B890B2C"/>
    <w:rsid w:val="5B8D4433"/>
    <w:rsid w:val="5B947483"/>
    <w:rsid w:val="5BB4433F"/>
    <w:rsid w:val="5BBD1598"/>
    <w:rsid w:val="5BDF5D95"/>
    <w:rsid w:val="5BFE7528"/>
    <w:rsid w:val="5C01312E"/>
    <w:rsid w:val="5C0A59A3"/>
    <w:rsid w:val="5C194CF3"/>
    <w:rsid w:val="5C1A371D"/>
    <w:rsid w:val="5C266AD5"/>
    <w:rsid w:val="5C560335"/>
    <w:rsid w:val="5C6F7EA2"/>
    <w:rsid w:val="5C7867E7"/>
    <w:rsid w:val="5C7A7B91"/>
    <w:rsid w:val="5C833C72"/>
    <w:rsid w:val="5CD0571F"/>
    <w:rsid w:val="5CD25DAD"/>
    <w:rsid w:val="5CD678A8"/>
    <w:rsid w:val="5CE16668"/>
    <w:rsid w:val="5D131312"/>
    <w:rsid w:val="5D184FC5"/>
    <w:rsid w:val="5D2918BA"/>
    <w:rsid w:val="5D411236"/>
    <w:rsid w:val="5D4E6AE6"/>
    <w:rsid w:val="5D652A5A"/>
    <w:rsid w:val="5D754D46"/>
    <w:rsid w:val="5D7D5720"/>
    <w:rsid w:val="5D801085"/>
    <w:rsid w:val="5D852713"/>
    <w:rsid w:val="5D9D0E9A"/>
    <w:rsid w:val="5D9D6063"/>
    <w:rsid w:val="5DA67D6F"/>
    <w:rsid w:val="5DBE69CD"/>
    <w:rsid w:val="5DC63FE5"/>
    <w:rsid w:val="5DD64E69"/>
    <w:rsid w:val="5DE123FA"/>
    <w:rsid w:val="5DE84D27"/>
    <w:rsid w:val="5DE86AC0"/>
    <w:rsid w:val="5DFB74AF"/>
    <w:rsid w:val="5E170487"/>
    <w:rsid w:val="5E20289C"/>
    <w:rsid w:val="5E2467F1"/>
    <w:rsid w:val="5E2C3BAA"/>
    <w:rsid w:val="5E536678"/>
    <w:rsid w:val="5E6524E6"/>
    <w:rsid w:val="5E6A410E"/>
    <w:rsid w:val="5E77014E"/>
    <w:rsid w:val="5E7B72F9"/>
    <w:rsid w:val="5E7C0A07"/>
    <w:rsid w:val="5E9016D2"/>
    <w:rsid w:val="5E93562D"/>
    <w:rsid w:val="5EA3779C"/>
    <w:rsid w:val="5EB0569F"/>
    <w:rsid w:val="5EB654CE"/>
    <w:rsid w:val="5EBC010A"/>
    <w:rsid w:val="5ED81D59"/>
    <w:rsid w:val="5EFB7D72"/>
    <w:rsid w:val="5F034067"/>
    <w:rsid w:val="5F181169"/>
    <w:rsid w:val="5F1A2B43"/>
    <w:rsid w:val="5F2142EE"/>
    <w:rsid w:val="5F2A789B"/>
    <w:rsid w:val="5F3916FD"/>
    <w:rsid w:val="5F7303BC"/>
    <w:rsid w:val="5FA4555C"/>
    <w:rsid w:val="5FA76142"/>
    <w:rsid w:val="5FA95DB1"/>
    <w:rsid w:val="5FB837BB"/>
    <w:rsid w:val="5FEC17E5"/>
    <w:rsid w:val="5FFB2BD9"/>
    <w:rsid w:val="5FFD3877"/>
    <w:rsid w:val="5FFE5D01"/>
    <w:rsid w:val="60054E22"/>
    <w:rsid w:val="602F794D"/>
    <w:rsid w:val="60547220"/>
    <w:rsid w:val="605C381C"/>
    <w:rsid w:val="6061644E"/>
    <w:rsid w:val="606F3983"/>
    <w:rsid w:val="60884D0C"/>
    <w:rsid w:val="609D4115"/>
    <w:rsid w:val="60A05282"/>
    <w:rsid w:val="60A46A20"/>
    <w:rsid w:val="60AA09C5"/>
    <w:rsid w:val="60AB525B"/>
    <w:rsid w:val="60B74988"/>
    <w:rsid w:val="60CC405A"/>
    <w:rsid w:val="60F3376A"/>
    <w:rsid w:val="60FE3BC8"/>
    <w:rsid w:val="61120292"/>
    <w:rsid w:val="611B4CAC"/>
    <w:rsid w:val="611E08DE"/>
    <w:rsid w:val="61272635"/>
    <w:rsid w:val="613D39AC"/>
    <w:rsid w:val="6147680F"/>
    <w:rsid w:val="614C3A7F"/>
    <w:rsid w:val="6161660F"/>
    <w:rsid w:val="619D4AB5"/>
    <w:rsid w:val="61AC3AF3"/>
    <w:rsid w:val="61C423B0"/>
    <w:rsid w:val="61E215D8"/>
    <w:rsid w:val="61E57855"/>
    <w:rsid w:val="61EC69C2"/>
    <w:rsid w:val="61F730E4"/>
    <w:rsid w:val="61FF1A22"/>
    <w:rsid w:val="620C3034"/>
    <w:rsid w:val="62194D63"/>
    <w:rsid w:val="621B3775"/>
    <w:rsid w:val="62334E1E"/>
    <w:rsid w:val="62364782"/>
    <w:rsid w:val="62561380"/>
    <w:rsid w:val="627C4910"/>
    <w:rsid w:val="629672DC"/>
    <w:rsid w:val="62A34A91"/>
    <w:rsid w:val="62A84C37"/>
    <w:rsid w:val="62A86382"/>
    <w:rsid w:val="62D357C0"/>
    <w:rsid w:val="62D66AA3"/>
    <w:rsid w:val="62E200B9"/>
    <w:rsid w:val="62E43E5C"/>
    <w:rsid w:val="62FB0B13"/>
    <w:rsid w:val="632C6236"/>
    <w:rsid w:val="633D698E"/>
    <w:rsid w:val="63417628"/>
    <w:rsid w:val="63573AAF"/>
    <w:rsid w:val="63600672"/>
    <w:rsid w:val="637A0EF7"/>
    <w:rsid w:val="6394356A"/>
    <w:rsid w:val="63962C38"/>
    <w:rsid w:val="639F5F5F"/>
    <w:rsid w:val="63A05D09"/>
    <w:rsid w:val="63B23C8F"/>
    <w:rsid w:val="63C61B2C"/>
    <w:rsid w:val="63C7441A"/>
    <w:rsid w:val="63CF7E06"/>
    <w:rsid w:val="63D21326"/>
    <w:rsid w:val="63D40BE9"/>
    <w:rsid w:val="63D76006"/>
    <w:rsid w:val="63D9022E"/>
    <w:rsid w:val="63DB53D1"/>
    <w:rsid w:val="63DE087A"/>
    <w:rsid w:val="64102431"/>
    <w:rsid w:val="641178DC"/>
    <w:rsid w:val="6412549B"/>
    <w:rsid w:val="641968C2"/>
    <w:rsid w:val="64222EFF"/>
    <w:rsid w:val="6434542A"/>
    <w:rsid w:val="6443293A"/>
    <w:rsid w:val="64522C2B"/>
    <w:rsid w:val="64544553"/>
    <w:rsid w:val="645D4341"/>
    <w:rsid w:val="646A73D5"/>
    <w:rsid w:val="64791440"/>
    <w:rsid w:val="64964E36"/>
    <w:rsid w:val="64A5243A"/>
    <w:rsid w:val="64AA3E41"/>
    <w:rsid w:val="64B017A3"/>
    <w:rsid w:val="64B3328C"/>
    <w:rsid w:val="64EF3181"/>
    <w:rsid w:val="64F531DE"/>
    <w:rsid w:val="65087356"/>
    <w:rsid w:val="65143D6A"/>
    <w:rsid w:val="6516381B"/>
    <w:rsid w:val="65164359"/>
    <w:rsid w:val="65180812"/>
    <w:rsid w:val="651859E7"/>
    <w:rsid w:val="65350492"/>
    <w:rsid w:val="65373578"/>
    <w:rsid w:val="65433E77"/>
    <w:rsid w:val="65445982"/>
    <w:rsid w:val="65451211"/>
    <w:rsid w:val="65661679"/>
    <w:rsid w:val="657D0AFA"/>
    <w:rsid w:val="659361B2"/>
    <w:rsid w:val="65BF43B6"/>
    <w:rsid w:val="65CB445E"/>
    <w:rsid w:val="65E34E8E"/>
    <w:rsid w:val="65E61482"/>
    <w:rsid w:val="65F465D4"/>
    <w:rsid w:val="65F758B1"/>
    <w:rsid w:val="65FA33EE"/>
    <w:rsid w:val="660917F7"/>
    <w:rsid w:val="661279DA"/>
    <w:rsid w:val="66280D21"/>
    <w:rsid w:val="66293A88"/>
    <w:rsid w:val="662C73A6"/>
    <w:rsid w:val="665A0454"/>
    <w:rsid w:val="66641A30"/>
    <w:rsid w:val="666F6744"/>
    <w:rsid w:val="66737704"/>
    <w:rsid w:val="668D7C7F"/>
    <w:rsid w:val="669502BF"/>
    <w:rsid w:val="66960AC3"/>
    <w:rsid w:val="66A6050E"/>
    <w:rsid w:val="66B669D5"/>
    <w:rsid w:val="66BB151B"/>
    <w:rsid w:val="66CE236F"/>
    <w:rsid w:val="66D408A1"/>
    <w:rsid w:val="66D81756"/>
    <w:rsid w:val="66E53B44"/>
    <w:rsid w:val="66F57B0B"/>
    <w:rsid w:val="671B437C"/>
    <w:rsid w:val="671D2A6C"/>
    <w:rsid w:val="671F124A"/>
    <w:rsid w:val="67292614"/>
    <w:rsid w:val="67296270"/>
    <w:rsid w:val="672E75A8"/>
    <w:rsid w:val="67346B89"/>
    <w:rsid w:val="67380427"/>
    <w:rsid w:val="674966D4"/>
    <w:rsid w:val="676B43BA"/>
    <w:rsid w:val="677A33C6"/>
    <w:rsid w:val="67A00BDC"/>
    <w:rsid w:val="67A61AE3"/>
    <w:rsid w:val="67B9660B"/>
    <w:rsid w:val="67CE5CE5"/>
    <w:rsid w:val="67D03C9D"/>
    <w:rsid w:val="67D16484"/>
    <w:rsid w:val="67D65EA6"/>
    <w:rsid w:val="67DE6431"/>
    <w:rsid w:val="67EC61B7"/>
    <w:rsid w:val="67F758E4"/>
    <w:rsid w:val="67FD663D"/>
    <w:rsid w:val="68075108"/>
    <w:rsid w:val="68116208"/>
    <w:rsid w:val="681360C0"/>
    <w:rsid w:val="68164C05"/>
    <w:rsid w:val="681F6961"/>
    <w:rsid w:val="68286367"/>
    <w:rsid w:val="68294662"/>
    <w:rsid w:val="683B5C6D"/>
    <w:rsid w:val="68610A2F"/>
    <w:rsid w:val="687C4359"/>
    <w:rsid w:val="68805514"/>
    <w:rsid w:val="68894FCE"/>
    <w:rsid w:val="68AC1AFC"/>
    <w:rsid w:val="68B22985"/>
    <w:rsid w:val="68B51AFA"/>
    <w:rsid w:val="68B63907"/>
    <w:rsid w:val="68B96A5A"/>
    <w:rsid w:val="68DA3B71"/>
    <w:rsid w:val="68DE733A"/>
    <w:rsid w:val="68E04F27"/>
    <w:rsid w:val="68E55080"/>
    <w:rsid w:val="68EB1EED"/>
    <w:rsid w:val="68EF1D54"/>
    <w:rsid w:val="68F11B41"/>
    <w:rsid w:val="691102A0"/>
    <w:rsid w:val="691B62EB"/>
    <w:rsid w:val="69316E2F"/>
    <w:rsid w:val="694227A4"/>
    <w:rsid w:val="694E2071"/>
    <w:rsid w:val="694E3F32"/>
    <w:rsid w:val="69585C05"/>
    <w:rsid w:val="695D1034"/>
    <w:rsid w:val="69600CA4"/>
    <w:rsid w:val="696038C5"/>
    <w:rsid w:val="6962388F"/>
    <w:rsid w:val="696C27A1"/>
    <w:rsid w:val="696C30CA"/>
    <w:rsid w:val="69707E17"/>
    <w:rsid w:val="69766163"/>
    <w:rsid w:val="697A3B33"/>
    <w:rsid w:val="697C1F0B"/>
    <w:rsid w:val="69963F61"/>
    <w:rsid w:val="69A14406"/>
    <w:rsid w:val="69A32091"/>
    <w:rsid w:val="69B47727"/>
    <w:rsid w:val="69B5445F"/>
    <w:rsid w:val="69BE059D"/>
    <w:rsid w:val="69CA5638"/>
    <w:rsid w:val="69D44760"/>
    <w:rsid w:val="69DA2426"/>
    <w:rsid w:val="69E14AEB"/>
    <w:rsid w:val="6A000808"/>
    <w:rsid w:val="6A0740E0"/>
    <w:rsid w:val="6A13229E"/>
    <w:rsid w:val="6A284FCF"/>
    <w:rsid w:val="6A2A116A"/>
    <w:rsid w:val="6A3A18D9"/>
    <w:rsid w:val="6A3F4B36"/>
    <w:rsid w:val="6A4740DD"/>
    <w:rsid w:val="6A520EC7"/>
    <w:rsid w:val="6A70612A"/>
    <w:rsid w:val="6A940612"/>
    <w:rsid w:val="6AA04931"/>
    <w:rsid w:val="6AA82F17"/>
    <w:rsid w:val="6AD32711"/>
    <w:rsid w:val="6AE13F74"/>
    <w:rsid w:val="6AF6438D"/>
    <w:rsid w:val="6AF87E20"/>
    <w:rsid w:val="6B137166"/>
    <w:rsid w:val="6B1527AA"/>
    <w:rsid w:val="6B322639"/>
    <w:rsid w:val="6B3F0570"/>
    <w:rsid w:val="6B633383"/>
    <w:rsid w:val="6B664A6B"/>
    <w:rsid w:val="6B6C1B02"/>
    <w:rsid w:val="6B81470D"/>
    <w:rsid w:val="6B9D577C"/>
    <w:rsid w:val="6BAB7351"/>
    <w:rsid w:val="6BAE5161"/>
    <w:rsid w:val="6BB542B7"/>
    <w:rsid w:val="6BD24AD7"/>
    <w:rsid w:val="6BD24D23"/>
    <w:rsid w:val="6BD70CE4"/>
    <w:rsid w:val="6BDC6DDB"/>
    <w:rsid w:val="6BDF3C1A"/>
    <w:rsid w:val="6BE0220C"/>
    <w:rsid w:val="6BE1717E"/>
    <w:rsid w:val="6BF3040B"/>
    <w:rsid w:val="6C1E5CFE"/>
    <w:rsid w:val="6C245DF2"/>
    <w:rsid w:val="6C380F7C"/>
    <w:rsid w:val="6C3C4C73"/>
    <w:rsid w:val="6C530FF2"/>
    <w:rsid w:val="6C611024"/>
    <w:rsid w:val="6C636C38"/>
    <w:rsid w:val="6C775F2D"/>
    <w:rsid w:val="6CB5598C"/>
    <w:rsid w:val="6CB574E0"/>
    <w:rsid w:val="6CBD36AB"/>
    <w:rsid w:val="6CBE3F56"/>
    <w:rsid w:val="6CC676B3"/>
    <w:rsid w:val="6CC9203F"/>
    <w:rsid w:val="6CCE0BB0"/>
    <w:rsid w:val="6CDA24F0"/>
    <w:rsid w:val="6CDB5DB1"/>
    <w:rsid w:val="6CDF0F6D"/>
    <w:rsid w:val="6CF7115D"/>
    <w:rsid w:val="6D0D7236"/>
    <w:rsid w:val="6D1008F8"/>
    <w:rsid w:val="6D1B3138"/>
    <w:rsid w:val="6D334802"/>
    <w:rsid w:val="6D637243"/>
    <w:rsid w:val="6D674AA4"/>
    <w:rsid w:val="6D7A4EB1"/>
    <w:rsid w:val="6D8559D9"/>
    <w:rsid w:val="6D957961"/>
    <w:rsid w:val="6D9C5736"/>
    <w:rsid w:val="6DA200D7"/>
    <w:rsid w:val="6DA25542"/>
    <w:rsid w:val="6DB34098"/>
    <w:rsid w:val="6DB545B6"/>
    <w:rsid w:val="6DBA0FF8"/>
    <w:rsid w:val="6DC67221"/>
    <w:rsid w:val="6DE02FB4"/>
    <w:rsid w:val="6E0964E5"/>
    <w:rsid w:val="6E0D180F"/>
    <w:rsid w:val="6E376F3E"/>
    <w:rsid w:val="6E3B7216"/>
    <w:rsid w:val="6E514CED"/>
    <w:rsid w:val="6E5718F2"/>
    <w:rsid w:val="6E7E13E9"/>
    <w:rsid w:val="6E867D07"/>
    <w:rsid w:val="6E8974EA"/>
    <w:rsid w:val="6EA05CFE"/>
    <w:rsid w:val="6EA25F97"/>
    <w:rsid w:val="6EAB4FB6"/>
    <w:rsid w:val="6EB14D9C"/>
    <w:rsid w:val="6EB563D5"/>
    <w:rsid w:val="6EBA0392"/>
    <w:rsid w:val="6EC03517"/>
    <w:rsid w:val="6ECE2A95"/>
    <w:rsid w:val="6ED92677"/>
    <w:rsid w:val="6EE053AE"/>
    <w:rsid w:val="6EE7351C"/>
    <w:rsid w:val="6EF36D21"/>
    <w:rsid w:val="6F0976F4"/>
    <w:rsid w:val="6F123AA2"/>
    <w:rsid w:val="6F225983"/>
    <w:rsid w:val="6F2B7815"/>
    <w:rsid w:val="6F4D5ED1"/>
    <w:rsid w:val="6F7F3DCB"/>
    <w:rsid w:val="6F8A5E96"/>
    <w:rsid w:val="6F9B343E"/>
    <w:rsid w:val="6FA600FE"/>
    <w:rsid w:val="6FB71A96"/>
    <w:rsid w:val="6FBE602C"/>
    <w:rsid w:val="6FDB182C"/>
    <w:rsid w:val="6FF56918"/>
    <w:rsid w:val="6FF70FD9"/>
    <w:rsid w:val="6FFC5590"/>
    <w:rsid w:val="700F3D5B"/>
    <w:rsid w:val="70286C21"/>
    <w:rsid w:val="70363A1A"/>
    <w:rsid w:val="705431DA"/>
    <w:rsid w:val="705A66B1"/>
    <w:rsid w:val="706D1DD0"/>
    <w:rsid w:val="707322F9"/>
    <w:rsid w:val="70856B87"/>
    <w:rsid w:val="70885FE9"/>
    <w:rsid w:val="709A1FF0"/>
    <w:rsid w:val="709B19DF"/>
    <w:rsid w:val="70A63E1C"/>
    <w:rsid w:val="70B12D3E"/>
    <w:rsid w:val="70C16B26"/>
    <w:rsid w:val="70CD7441"/>
    <w:rsid w:val="70CF246F"/>
    <w:rsid w:val="70D23D67"/>
    <w:rsid w:val="70D527EE"/>
    <w:rsid w:val="70D867D7"/>
    <w:rsid w:val="70EF410E"/>
    <w:rsid w:val="71004CA5"/>
    <w:rsid w:val="710B26A4"/>
    <w:rsid w:val="711A01CC"/>
    <w:rsid w:val="71213541"/>
    <w:rsid w:val="71512902"/>
    <w:rsid w:val="71527D97"/>
    <w:rsid w:val="71545124"/>
    <w:rsid w:val="715B5300"/>
    <w:rsid w:val="71633A25"/>
    <w:rsid w:val="716553D8"/>
    <w:rsid w:val="716B3FA5"/>
    <w:rsid w:val="717007F0"/>
    <w:rsid w:val="717765AA"/>
    <w:rsid w:val="7188162D"/>
    <w:rsid w:val="718A3355"/>
    <w:rsid w:val="71951952"/>
    <w:rsid w:val="719B262E"/>
    <w:rsid w:val="71C85EEA"/>
    <w:rsid w:val="71CA1399"/>
    <w:rsid w:val="71D27F8A"/>
    <w:rsid w:val="71D72B1F"/>
    <w:rsid w:val="71E25091"/>
    <w:rsid w:val="71F60D5A"/>
    <w:rsid w:val="71F67E0C"/>
    <w:rsid w:val="71FE7161"/>
    <w:rsid w:val="720722CD"/>
    <w:rsid w:val="72196CC1"/>
    <w:rsid w:val="72294AE4"/>
    <w:rsid w:val="72553024"/>
    <w:rsid w:val="725F5E28"/>
    <w:rsid w:val="72661DA0"/>
    <w:rsid w:val="72682174"/>
    <w:rsid w:val="728C2533"/>
    <w:rsid w:val="72937B09"/>
    <w:rsid w:val="729D11F5"/>
    <w:rsid w:val="72A6179E"/>
    <w:rsid w:val="72AC184D"/>
    <w:rsid w:val="72B7647B"/>
    <w:rsid w:val="72BC38B8"/>
    <w:rsid w:val="72C72C7C"/>
    <w:rsid w:val="72DB696C"/>
    <w:rsid w:val="72DB6D3A"/>
    <w:rsid w:val="72DD4F62"/>
    <w:rsid w:val="72EE0A83"/>
    <w:rsid w:val="72F57F62"/>
    <w:rsid w:val="72F66BC4"/>
    <w:rsid w:val="73122968"/>
    <w:rsid w:val="7314276E"/>
    <w:rsid w:val="731A740F"/>
    <w:rsid w:val="731F5D5E"/>
    <w:rsid w:val="73432B49"/>
    <w:rsid w:val="734E5270"/>
    <w:rsid w:val="73650572"/>
    <w:rsid w:val="73715A2B"/>
    <w:rsid w:val="73831A46"/>
    <w:rsid w:val="73AE07FB"/>
    <w:rsid w:val="73BC3F0F"/>
    <w:rsid w:val="73C16B00"/>
    <w:rsid w:val="73C51AD5"/>
    <w:rsid w:val="73C55015"/>
    <w:rsid w:val="73C85B10"/>
    <w:rsid w:val="73F455D3"/>
    <w:rsid w:val="740056B9"/>
    <w:rsid w:val="7415568B"/>
    <w:rsid w:val="741E793C"/>
    <w:rsid w:val="742266C2"/>
    <w:rsid w:val="743967D0"/>
    <w:rsid w:val="743B57C8"/>
    <w:rsid w:val="74441FC5"/>
    <w:rsid w:val="744727AC"/>
    <w:rsid w:val="74554334"/>
    <w:rsid w:val="745B7503"/>
    <w:rsid w:val="745E3944"/>
    <w:rsid w:val="74633A05"/>
    <w:rsid w:val="7469334D"/>
    <w:rsid w:val="74A01345"/>
    <w:rsid w:val="74A61DDB"/>
    <w:rsid w:val="74D73A2E"/>
    <w:rsid w:val="74D74AB5"/>
    <w:rsid w:val="74E94E88"/>
    <w:rsid w:val="74EF6161"/>
    <w:rsid w:val="74F42C27"/>
    <w:rsid w:val="74FB420B"/>
    <w:rsid w:val="751160A0"/>
    <w:rsid w:val="751D34C3"/>
    <w:rsid w:val="75260023"/>
    <w:rsid w:val="75273752"/>
    <w:rsid w:val="75364FEB"/>
    <w:rsid w:val="756D3E6D"/>
    <w:rsid w:val="756F5ABA"/>
    <w:rsid w:val="757B1986"/>
    <w:rsid w:val="757F1753"/>
    <w:rsid w:val="75826ABC"/>
    <w:rsid w:val="7593293F"/>
    <w:rsid w:val="75B30A4B"/>
    <w:rsid w:val="75CD1A64"/>
    <w:rsid w:val="75E37CE6"/>
    <w:rsid w:val="75F0580D"/>
    <w:rsid w:val="75F84265"/>
    <w:rsid w:val="760664E5"/>
    <w:rsid w:val="761E350A"/>
    <w:rsid w:val="761F1622"/>
    <w:rsid w:val="762E768F"/>
    <w:rsid w:val="7635099D"/>
    <w:rsid w:val="763A446A"/>
    <w:rsid w:val="76402316"/>
    <w:rsid w:val="76514A13"/>
    <w:rsid w:val="765954A9"/>
    <w:rsid w:val="765B1A61"/>
    <w:rsid w:val="76613366"/>
    <w:rsid w:val="766C6F6F"/>
    <w:rsid w:val="7676788C"/>
    <w:rsid w:val="767D5ABE"/>
    <w:rsid w:val="76867E5A"/>
    <w:rsid w:val="76893693"/>
    <w:rsid w:val="769A73AB"/>
    <w:rsid w:val="769B36AE"/>
    <w:rsid w:val="76B72AAB"/>
    <w:rsid w:val="76C02F23"/>
    <w:rsid w:val="76D56A64"/>
    <w:rsid w:val="76DE2BB1"/>
    <w:rsid w:val="76E9486C"/>
    <w:rsid w:val="76EA516E"/>
    <w:rsid w:val="7701654A"/>
    <w:rsid w:val="773C77C5"/>
    <w:rsid w:val="774D1152"/>
    <w:rsid w:val="774D1813"/>
    <w:rsid w:val="774D30E9"/>
    <w:rsid w:val="77704D15"/>
    <w:rsid w:val="77762421"/>
    <w:rsid w:val="77790751"/>
    <w:rsid w:val="777A1B81"/>
    <w:rsid w:val="77815F62"/>
    <w:rsid w:val="778D53B6"/>
    <w:rsid w:val="77905DF7"/>
    <w:rsid w:val="7797595C"/>
    <w:rsid w:val="77A26B00"/>
    <w:rsid w:val="77AB2897"/>
    <w:rsid w:val="77AE1F49"/>
    <w:rsid w:val="77AF0A63"/>
    <w:rsid w:val="77B01AE4"/>
    <w:rsid w:val="77B56B1F"/>
    <w:rsid w:val="77C154F9"/>
    <w:rsid w:val="77C17D02"/>
    <w:rsid w:val="77E42D7E"/>
    <w:rsid w:val="78002153"/>
    <w:rsid w:val="780F09F4"/>
    <w:rsid w:val="78264BDF"/>
    <w:rsid w:val="78295C8A"/>
    <w:rsid w:val="782A2C19"/>
    <w:rsid w:val="78394F34"/>
    <w:rsid w:val="784356E2"/>
    <w:rsid w:val="78493CDA"/>
    <w:rsid w:val="78554B0E"/>
    <w:rsid w:val="78585600"/>
    <w:rsid w:val="78660143"/>
    <w:rsid w:val="78671A0F"/>
    <w:rsid w:val="786765E2"/>
    <w:rsid w:val="78784D2C"/>
    <w:rsid w:val="788113F2"/>
    <w:rsid w:val="788468DD"/>
    <w:rsid w:val="78857153"/>
    <w:rsid w:val="788D7EA7"/>
    <w:rsid w:val="78955BF5"/>
    <w:rsid w:val="789952B5"/>
    <w:rsid w:val="78A53796"/>
    <w:rsid w:val="78A90480"/>
    <w:rsid w:val="78AC6C4C"/>
    <w:rsid w:val="78C1437F"/>
    <w:rsid w:val="78C63C56"/>
    <w:rsid w:val="78D10CC3"/>
    <w:rsid w:val="78E2783D"/>
    <w:rsid w:val="78EF6B7F"/>
    <w:rsid w:val="78F6152B"/>
    <w:rsid w:val="79060E8A"/>
    <w:rsid w:val="79064B47"/>
    <w:rsid w:val="79296347"/>
    <w:rsid w:val="79337697"/>
    <w:rsid w:val="793B7BFC"/>
    <w:rsid w:val="79664028"/>
    <w:rsid w:val="796719D5"/>
    <w:rsid w:val="796D3484"/>
    <w:rsid w:val="796D5AE1"/>
    <w:rsid w:val="79893A18"/>
    <w:rsid w:val="798D1CD0"/>
    <w:rsid w:val="799A6053"/>
    <w:rsid w:val="799B4FA1"/>
    <w:rsid w:val="79B17E09"/>
    <w:rsid w:val="79BB03B9"/>
    <w:rsid w:val="79CB1403"/>
    <w:rsid w:val="79DD36E4"/>
    <w:rsid w:val="79F20D5D"/>
    <w:rsid w:val="7A184784"/>
    <w:rsid w:val="7A1E71FD"/>
    <w:rsid w:val="7A1F7CE6"/>
    <w:rsid w:val="7A2813BB"/>
    <w:rsid w:val="7A2C547F"/>
    <w:rsid w:val="7A2F60FA"/>
    <w:rsid w:val="7A364017"/>
    <w:rsid w:val="7A4544E9"/>
    <w:rsid w:val="7A5A6927"/>
    <w:rsid w:val="7A8265E1"/>
    <w:rsid w:val="7A852C8B"/>
    <w:rsid w:val="7A9279F6"/>
    <w:rsid w:val="7A985590"/>
    <w:rsid w:val="7AA92C7C"/>
    <w:rsid w:val="7AC91310"/>
    <w:rsid w:val="7AD232CA"/>
    <w:rsid w:val="7AD27528"/>
    <w:rsid w:val="7AD62B8F"/>
    <w:rsid w:val="7AFA7494"/>
    <w:rsid w:val="7B09089F"/>
    <w:rsid w:val="7B0D4155"/>
    <w:rsid w:val="7B0F1047"/>
    <w:rsid w:val="7B2836BF"/>
    <w:rsid w:val="7B3C6A02"/>
    <w:rsid w:val="7B597C31"/>
    <w:rsid w:val="7B5F74F5"/>
    <w:rsid w:val="7B68007C"/>
    <w:rsid w:val="7B686D42"/>
    <w:rsid w:val="7B841746"/>
    <w:rsid w:val="7BB96547"/>
    <w:rsid w:val="7BC74BDF"/>
    <w:rsid w:val="7BF5613A"/>
    <w:rsid w:val="7C020833"/>
    <w:rsid w:val="7C0846C9"/>
    <w:rsid w:val="7C086445"/>
    <w:rsid w:val="7C0A2C75"/>
    <w:rsid w:val="7C152A1C"/>
    <w:rsid w:val="7C343A88"/>
    <w:rsid w:val="7C4071CB"/>
    <w:rsid w:val="7C4A4F9E"/>
    <w:rsid w:val="7C592D48"/>
    <w:rsid w:val="7C5F1B5A"/>
    <w:rsid w:val="7C6346C2"/>
    <w:rsid w:val="7C6B1324"/>
    <w:rsid w:val="7C6C5AC7"/>
    <w:rsid w:val="7C6D276D"/>
    <w:rsid w:val="7C7C6669"/>
    <w:rsid w:val="7C8D45FB"/>
    <w:rsid w:val="7C977C5B"/>
    <w:rsid w:val="7CA53914"/>
    <w:rsid w:val="7CB01EF8"/>
    <w:rsid w:val="7CBB5E30"/>
    <w:rsid w:val="7CC6544B"/>
    <w:rsid w:val="7CCF65D9"/>
    <w:rsid w:val="7CD057CA"/>
    <w:rsid w:val="7CD20E9E"/>
    <w:rsid w:val="7CDE5038"/>
    <w:rsid w:val="7CE13141"/>
    <w:rsid w:val="7CE3674D"/>
    <w:rsid w:val="7CFD1A00"/>
    <w:rsid w:val="7D0239FF"/>
    <w:rsid w:val="7D1678F2"/>
    <w:rsid w:val="7D3511CF"/>
    <w:rsid w:val="7D452F5A"/>
    <w:rsid w:val="7D4B22B0"/>
    <w:rsid w:val="7D4E3A31"/>
    <w:rsid w:val="7D5B508D"/>
    <w:rsid w:val="7D5E40CD"/>
    <w:rsid w:val="7D6636D0"/>
    <w:rsid w:val="7D6F207B"/>
    <w:rsid w:val="7D8C3C8C"/>
    <w:rsid w:val="7DAD7E1A"/>
    <w:rsid w:val="7DB5051B"/>
    <w:rsid w:val="7DB537B7"/>
    <w:rsid w:val="7DBB7297"/>
    <w:rsid w:val="7DC10F1D"/>
    <w:rsid w:val="7DC12ACC"/>
    <w:rsid w:val="7DC23643"/>
    <w:rsid w:val="7DCD56F2"/>
    <w:rsid w:val="7DD40E32"/>
    <w:rsid w:val="7DD83652"/>
    <w:rsid w:val="7DDD3338"/>
    <w:rsid w:val="7DFF080D"/>
    <w:rsid w:val="7E0B6D14"/>
    <w:rsid w:val="7E0E62A5"/>
    <w:rsid w:val="7E1013D9"/>
    <w:rsid w:val="7E353F9E"/>
    <w:rsid w:val="7E561669"/>
    <w:rsid w:val="7E6A237E"/>
    <w:rsid w:val="7E841C54"/>
    <w:rsid w:val="7E865390"/>
    <w:rsid w:val="7EB740C5"/>
    <w:rsid w:val="7EBD6FF1"/>
    <w:rsid w:val="7ECB4EE7"/>
    <w:rsid w:val="7ECE498E"/>
    <w:rsid w:val="7ECE7C03"/>
    <w:rsid w:val="7ED856B4"/>
    <w:rsid w:val="7ED859FA"/>
    <w:rsid w:val="7EDE1FC3"/>
    <w:rsid w:val="7EE145A8"/>
    <w:rsid w:val="7EF922C5"/>
    <w:rsid w:val="7EFD0E3C"/>
    <w:rsid w:val="7EFE57DB"/>
    <w:rsid w:val="7F001CE7"/>
    <w:rsid w:val="7F0020D4"/>
    <w:rsid w:val="7F0619B5"/>
    <w:rsid w:val="7F246ADE"/>
    <w:rsid w:val="7F2568A6"/>
    <w:rsid w:val="7F290EDD"/>
    <w:rsid w:val="7F2A20C6"/>
    <w:rsid w:val="7F2B26F2"/>
    <w:rsid w:val="7F440F70"/>
    <w:rsid w:val="7F4A43F3"/>
    <w:rsid w:val="7F710A1D"/>
    <w:rsid w:val="7F751728"/>
    <w:rsid w:val="7F81186A"/>
    <w:rsid w:val="7F8C4CBE"/>
    <w:rsid w:val="7F93683F"/>
    <w:rsid w:val="7FB52E92"/>
    <w:rsid w:val="7FCF2EBB"/>
    <w:rsid w:val="7FD37B52"/>
    <w:rsid w:val="7FDB6974"/>
    <w:rsid w:val="7FE47E50"/>
    <w:rsid w:val="7FF33066"/>
    <w:rsid w:val="7FFA711D"/>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qFormat="1"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semiHidden="0" w:name="caption" w:locked="1"/>
    <w:lsdException w:qFormat="1" w:uiPriority="99"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qFormat="1"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0" w:firstLineChars="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10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0"/>
    <w:pPr>
      <w:keepNext/>
      <w:widowControl/>
      <w:spacing w:line="360" w:lineRule="auto"/>
      <w:ind w:firstLine="720" w:firstLineChars="200"/>
      <w:jc w:val="left"/>
      <w:outlineLvl w:val="1"/>
    </w:pPr>
    <w:rPr>
      <w:rFonts w:ascii="Times New Roman" w:hAnsi="Times New Roman" w:eastAsia="宋体"/>
      <w:b/>
      <w:kern w:val="0"/>
    </w:rPr>
  </w:style>
  <w:style w:type="paragraph" w:styleId="5">
    <w:name w:val="heading 3"/>
    <w:basedOn w:val="1"/>
    <w:next w:val="1"/>
    <w:qFormat/>
    <w:locked/>
    <w:uiPriority w:val="0"/>
    <w:pPr>
      <w:keepNext/>
      <w:keepLines/>
      <w:spacing w:before="260" w:after="260" w:line="416" w:lineRule="auto"/>
      <w:outlineLvl w:val="2"/>
    </w:pPr>
    <w:rPr>
      <w:b/>
      <w:bCs/>
      <w:sz w:val="32"/>
      <w:szCs w:val="32"/>
    </w:rPr>
  </w:style>
  <w:style w:type="paragraph" w:styleId="6">
    <w:name w:val="heading 4"/>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31">
    <w:name w:val="Default Paragraph Font"/>
    <w:semiHidden/>
    <w:qFormat/>
    <w:uiPriority w:val="0"/>
  </w:style>
  <w:style w:type="table" w:default="1" w:styleId="29">
    <w:name w:val="Normal Table"/>
    <w:semiHidden/>
    <w:qFormat/>
    <w:uiPriority w:val="0"/>
    <w:tblPr>
      <w:tblCellMar>
        <w:top w:w="0" w:type="dxa"/>
        <w:left w:w="108" w:type="dxa"/>
        <w:bottom w:w="0" w:type="dxa"/>
        <w:right w:w="108" w:type="dxa"/>
      </w:tblCellMar>
    </w:tblPr>
  </w:style>
  <w:style w:type="paragraph" w:styleId="2">
    <w:name w:val="Block Text"/>
    <w:basedOn w:val="1"/>
    <w:next w:val="1"/>
    <w:qFormat/>
    <w:locked/>
    <w:uiPriority w:val="0"/>
    <w:pPr>
      <w:spacing w:line="360" w:lineRule="auto"/>
    </w:pPr>
    <w:rPr>
      <w:szCs w:val="22"/>
    </w:rPr>
  </w:style>
  <w:style w:type="paragraph" w:styleId="7">
    <w:name w:val="Note Heading"/>
    <w:basedOn w:val="1"/>
    <w:next w:val="1"/>
    <w:link w:val="104"/>
    <w:qFormat/>
    <w:locked/>
    <w:uiPriority w:val="0"/>
    <w:pPr>
      <w:ind w:firstLine="0" w:firstLineChars="0"/>
      <w:jc w:val="center"/>
    </w:pPr>
    <w:rPr>
      <w:rFonts w:cs="Times New Roman"/>
      <w:b/>
      <w:sz w:val="21"/>
      <w:szCs w:val="20"/>
    </w:rPr>
  </w:style>
  <w:style w:type="paragraph" w:styleId="8">
    <w:name w:val="Normal Indent"/>
    <w:basedOn w:val="1"/>
    <w:next w:val="9"/>
    <w:link w:val="98"/>
    <w:qFormat/>
    <w:locked/>
    <w:uiPriority w:val="0"/>
    <w:pPr>
      <w:snapToGrid w:val="0"/>
      <w:ind w:firstLine="720" w:firstLineChars="200"/>
    </w:pPr>
    <w:rPr>
      <w:rFonts w:ascii="Times New Roman" w:hAnsi="Times New Roman" w:eastAsia="宋体"/>
    </w:rPr>
  </w:style>
  <w:style w:type="paragraph" w:styleId="9">
    <w:name w:val="toc 1"/>
    <w:basedOn w:val="1"/>
    <w:next w:val="1"/>
    <w:unhideWhenUsed/>
    <w:qFormat/>
    <w:locked/>
    <w:uiPriority w:val="39"/>
    <w:pPr>
      <w:spacing w:before="120" w:after="120"/>
      <w:jc w:val="left"/>
    </w:pPr>
    <w:rPr>
      <w:rFonts w:ascii="Times New Roman" w:hAnsi="Times New Roman" w:eastAsia="宋体"/>
      <w:b/>
      <w:bCs/>
      <w:caps/>
      <w:sz w:val="20"/>
      <w:szCs w:val="20"/>
    </w:rPr>
  </w:style>
  <w:style w:type="paragraph" w:styleId="10">
    <w:name w:val="caption"/>
    <w:basedOn w:val="1"/>
    <w:next w:val="1"/>
    <w:link w:val="94"/>
    <w:unhideWhenUsed/>
    <w:qFormat/>
    <w:locked/>
    <w:uiPriority w:val="0"/>
    <w:pPr>
      <w:spacing w:line="360" w:lineRule="auto"/>
      <w:ind w:firstLine="0" w:firstLineChars="0"/>
      <w:jc w:val="center"/>
    </w:pPr>
    <w:rPr>
      <w:rFonts w:ascii="Times New Roman" w:hAnsi="Times New Roman" w:eastAsia="宋体"/>
      <w:b/>
      <w:sz w:val="21"/>
    </w:rPr>
  </w:style>
  <w:style w:type="paragraph" w:styleId="11">
    <w:name w:val="toa heading"/>
    <w:basedOn w:val="1"/>
    <w:next w:val="1"/>
    <w:semiHidden/>
    <w:qFormat/>
    <w:locked/>
    <w:uiPriority w:val="0"/>
    <w:pPr>
      <w:spacing w:before="120"/>
    </w:pPr>
    <w:rPr>
      <w:rFonts w:ascii="Arial" w:hAnsi="Arial" w:cs="Arial"/>
      <w:sz w:val="24"/>
    </w:rPr>
  </w:style>
  <w:style w:type="paragraph" w:styleId="12">
    <w:name w:val="annotation text"/>
    <w:basedOn w:val="1"/>
    <w:link w:val="42"/>
    <w:semiHidden/>
    <w:qFormat/>
    <w:uiPriority w:val="0"/>
    <w:pPr>
      <w:jc w:val="center"/>
    </w:pPr>
    <w:rPr>
      <w:rFonts w:ascii="Times New Roman" w:hAnsi="Times New Roman" w:eastAsia="宋体"/>
      <w:kern w:val="0"/>
      <w:sz w:val="21"/>
      <w:szCs w:val="20"/>
    </w:rPr>
  </w:style>
  <w:style w:type="paragraph" w:styleId="13">
    <w:name w:val="index 6"/>
    <w:basedOn w:val="1"/>
    <w:next w:val="1"/>
    <w:qFormat/>
    <w:locked/>
    <w:uiPriority w:val="0"/>
    <w:pPr>
      <w:adjustRightInd w:val="0"/>
      <w:snapToGrid w:val="0"/>
      <w:spacing w:line="300" w:lineRule="auto"/>
      <w:ind w:left="1000" w:leftChars="1000"/>
    </w:pPr>
    <w:rPr>
      <w:rFonts w:ascii="宋体" w:hAnsi="宋体"/>
      <w:sz w:val="28"/>
    </w:rPr>
  </w:style>
  <w:style w:type="paragraph" w:styleId="14">
    <w:name w:val="Body Text 3"/>
    <w:basedOn w:val="1"/>
    <w:link w:val="93"/>
    <w:qFormat/>
    <w:locked/>
    <w:uiPriority w:val="0"/>
    <w:pPr>
      <w:spacing w:afterLines="0" w:afterAutospacing="0"/>
      <w:ind w:firstLine="480" w:firstLineChars="200"/>
      <w:jc w:val="left"/>
    </w:pPr>
    <w:rPr>
      <w:sz w:val="24"/>
    </w:rPr>
  </w:style>
  <w:style w:type="paragraph" w:styleId="15">
    <w:name w:val="Body Text"/>
    <w:basedOn w:val="1"/>
    <w:next w:val="16"/>
    <w:link w:val="43"/>
    <w:qFormat/>
    <w:uiPriority w:val="0"/>
    <w:pPr>
      <w:widowControl/>
      <w:snapToGrid w:val="0"/>
      <w:spacing w:before="60" w:after="160" w:line="259" w:lineRule="auto"/>
      <w:ind w:right="113"/>
    </w:pPr>
    <w:rPr>
      <w:kern w:val="0"/>
      <w:sz w:val="18"/>
      <w:szCs w:val="20"/>
    </w:rPr>
  </w:style>
  <w:style w:type="paragraph" w:styleId="16">
    <w:name w:val="List Bullet 5"/>
    <w:basedOn w:val="1"/>
    <w:qFormat/>
    <w:locked/>
    <w:uiPriority w:val="0"/>
    <w:pPr>
      <w:numPr>
        <w:ilvl w:val="0"/>
        <w:numId w:val="1"/>
      </w:numPr>
    </w:pPr>
  </w:style>
  <w:style w:type="paragraph" w:styleId="17">
    <w:name w:val="Body Text Indent"/>
    <w:basedOn w:val="1"/>
    <w:next w:val="18"/>
    <w:link w:val="40"/>
    <w:qFormat/>
    <w:uiPriority w:val="0"/>
    <w:pPr>
      <w:spacing w:after="120"/>
      <w:ind w:left="420" w:leftChars="200"/>
    </w:pPr>
    <w:rPr>
      <w:kern w:val="0"/>
      <w:sz w:val="24"/>
      <w:szCs w:val="20"/>
    </w:rPr>
  </w:style>
  <w:style w:type="paragraph" w:styleId="18">
    <w:name w:val="Body Text Indent 2"/>
    <w:basedOn w:val="1"/>
    <w:next w:val="11"/>
    <w:qFormat/>
    <w:locked/>
    <w:uiPriority w:val="0"/>
    <w:pPr>
      <w:spacing w:line="420" w:lineRule="exact"/>
      <w:ind w:firstLine="480" w:firstLineChars="200"/>
    </w:pPr>
    <w:rPr>
      <w:rFonts w:ascii="宋体" w:hAnsi="宋体"/>
      <w:kern w:val="0"/>
      <w:sz w:val="24"/>
    </w:rPr>
  </w:style>
  <w:style w:type="paragraph" w:styleId="19">
    <w:name w:val="Plain Text"/>
    <w:basedOn w:val="1"/>
    <w:qFormat/>
    <w:locked/>
    <w:uiPriority w:val="0"/>
    <w:rPr>
      <w:rFonts w:ascii="宋体" w:hAnsi="Courier New"/>
      <w:b/>
      <w:kern w:val="32"/>
    </w:rPr>
  </w:style>
  <w:style w:type="paragraph" w:styleId="20">
    <w:name w:val="Date"/>
    <w:basedOn w:val="1"/>
    <w:next w:val="1"/>
    <w:link w:val="44"/>
    <w:qFormat/>
    <w:uiPriority w:val="0"/>
    <w:pPr>
      <w:ind w:left="100" w:leftChars="2500"/>
    </w:pPr>
    <w:rPr>
      <w:kern w:val="0"/>
      <w:sz w:val="24"/>
      <w:szCs w:val="20"/>
    </w:rPr>
  </w:style>
  <w:style w:type="paragraph" w:styleId="21">
    <w:name w:val="Balloon Text"/>
    <w:basedOn w:val="1"/>
    <w:link w:val="45"/>
    <w:semiHidden/>
    <w:qFormat/>
    <w:uiPriority w:val="0"/>
    <w:rPr>
      <w:kern w:val="0"/>
      <w:sz w:val="18"/>
      <w:szCs w:val="20"/>
    </w:rPr>
  </w:style>
  <w:style w:type="paragraph" w:styleId="22">
    <w:name w:val="footer"/>
    <w:basedOn w:val="1"/>
    <w:link w:val="46"/>
    <w:qFormat/>
    <w:uiPriority w:val="99"/>
    <w:pPr>
      <w:tabs>
        <w:tab w:val="center" w:pos="4153"/>
        <w:tab w:val="right" w:pos="8306"/>
      </w:tabs>
      <w:snapToGrid w:val="0"/>
      <w:jc w:val="left"/>
    </w:pPr>
    <w:rPr>
      <w:kern w:val="0"/>
      <w:sz w:val="18"/>
      <w:szCs w:val="20"/>
    </w:rPr>
  </w:style>
  <w:style w:type="paragraph" w:styleId="23">
    <w:name w:val="header"/>
    <w:basedOn w:val="1"/>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24">
    <w:name w:val="table of figures"/>
    <w:basedOn w:val="1"/>
    <w:next w:val="1"/>
    <w:unhideWhenUsed/>
    <w:qFormat/>
    <w:locked/>
    <w:uiPriority w:val="99"/>
    <w:pPr>
      <w:ind w:left="200" w:leftChars="200" w:hanging="200" w:hangingChars="200"/>
    </w:pPr>
    <w:rPr>
      <w:szCs w:val="20"/>
    </w:rPr>
  </w:style>
  <w:style w:type="paragraph" w:styleId="25">
    <w:name w:val="toc 2"/>
    <w:basedOn w:val="1"/>
    <w:next w:val="1"/>
    <w:qFormat/>
    <w:locked/>
    <w:uiPriority w:val="39"/>
    <w:pPr>
      <w:ind w:left="420" w:leftChars="200"/>
    </w:pPr>
  </w:style>
  <w:style w:type="paragraph" w:styleId="26">
    <w:name w:val="Normal (Web)"/>
    <w:basedOn w:val="1"/>
    <w:link w:val="48"/>
    <w:qFormat/>
    <w:uiPriority w:val="0"/>
    <w:pPr>
      <w:widowControl/>
      <w:spacing w:before="100" w:beforeAutospacing="1" w:after="100" w:afterAutospacing="1"/>
      <w:jc w:val="left"/>
    </w:pPr>
    <w:rPr>
      <w:rFonts w:ascii="宋体" w:hAnsi="宋体"/>
      <w:kern w:val="0"/>
      <w:sz w:val="24"/>
      <w:szCs w:val="20"/>
    </w:rPr>
  </w:style>
  <w:style w:type="paragraph" w:styleId="27">
    <w:name w:val="annotation subject"/>
    <w:basedOn w:val="12"/>
    <w:next w:val="12"/>
    <w:link w:val="49"/>
    <w:qFormat/>
    <w:uiPriority w:val="0"/>
    <w:rPr>
      <w:b/>
      <w:sz w:val="24"/>
      <w:szCs w:val="20"/>
    </w:rPr>
  </w:style>
  <w:style w:type="paragraph" w:styleId="28">
    <w:name w:val="Body Text First Indent 2"/>
    <w:basedOn w:val="17"/>
    <w:next w:val="1"/>
    <w:qFormat/>
    <w:locked/>
    <w:uiPriority w:val="0"/>
    <w:pPr>
      <w:adjustRightInd w:val="0"/>
      <w:snapToGrid w:val="0"/>
      <w:spacing w:line="312" w:lineRule="auto"/>
      <w:ind w:firstLine="567"/>
      <w:textAlignment w:val="baseline"/>
    </w:pPr>
    <w:rPr>
      <w:rFonts w:ascii="Arial" w:hAnsi="Arial"/>
      <w:snapToGrid w:val="0"/>
      <w:spacing w:val="6"/>
      <w:sz w:val="28"/>
      <w:szCs w:val="20"/>
    </w:rPr>
  </w:style>
  <w:style w:type="table" w:styleId="30">
    <w:name w:val="Table Grid"/>
    <w:basedOn w:val="29"/>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qFormat/>
    <w:locked/>
    <w:uiPriority w:val="0"/>
    <w:rPr>
      <w:b/>
    </w:rPr>
  </w:style>
  <w:style w:type="character" w:styleId="33">
    <w:name w:val="page number"/>
    <w:basedOn w:val="31"/>
    <w:qFormat/>
    <w:locked/>
    <w:uiPriority w:val="0"/>
  </w:style>
  <w:style w:type="character" w:styleId="34">
    <w:name w:val="FollowedHyperlink"/>
    <w:basedOn w:val="31"/>
    <w:qFormat/>
    <w:locked/>
    <w:uiPriority w:val="0"/>
    <w:rPr>
      <w:color w:val="800080"/>
      <w:u w:val="none"/>
    </w:rPr>
  </w:style>
  <w:style w:type="character" w:styleId="35">
    <w:name w:val="Emphasis"/>
    <w:basedOn w:val="31"/>
    <w:qFormat/>
    <w:locked/>
    <w:uiPriority w:val="0"/>
    <w:rPr>
      <w:i/>
    </w:rPr>
  </w:style>
  <w:style w:type="character" w:styleId="36">
    <w:name w:val="Hyperlink"/>
    <w:basedOn w:val="31"/>
    <w:qFormat/>
    <w:locked/>
    <w:uiPriority w:val="0"/>
    <w:rPr>
      <w:color w:val="0000FF"/>
      <w:u w:val="single"/>
    </w:rPr>
  </w:style>
  <w:style w:type="character" w:styleId="37">
    <w:name w:val="annotation reference"/>
    <w:semiHidden/>
    <w:qFormat/>
    <w:uiPriority w:val="0"/>
    <w:rPr>
      <w:sz w:val="21"/>
    </w:rPr>
  </w:style>
  <w:style w:type="paragraph" w:customStyle="1" w:styleId="38">
    <w:name w:val="Default"/>
    <w:basedOn w:val="39"/>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paragraph" w:customStyle="1" w:styleId="39">
    <w:name w:val="纯文本1"/>
    <w:basedOn w:val="1"/>
    <w:qFormat/>
    <w:uiPriority w:val="0"/>
    <w:pPr>
      <w:widowControl/>
      <w:spacing w:beforeLines="10" w:afterLines="10" w:line="360" w:lineRule="auto"/>
      <w:ind w:firstLine="200" w:firstLineChars="200"/>
      <w:jc w:val="left"/>
    </w:pPr>
    <w:rPr>
      <w:rFonts w:hAnsi="宋体" w:cs="宋体"/>
      <w:kern w:val="0"/>
      <w:sz w:val="24"/>
    </w:rPr>
  </w:style>
  <w:style w:type="character" w:customStyle="1" w:styleId="40">
    <w:name w:val="正文文本缩进 Char"/>
    <w:link w:val="17"/>
    <w:semiHidden/>
    <w:qFormat/>
    <w:locked/>
    <w:uiPriority w:val="0"/>
    <w:rPr>
      <w:rFonts w:ascii="Times New Roman" w:hAnsi="Times New Roman" w:eastAsia="宋体"/>
      <w:sz w:val="24"/>
    </w:rPr>
  </w:style>
  <w:style w:type="character" w:customStyle="1" w:styleId="41">
    <w:name w:val="正文缩进 Char"/>
    <w:link w:val="8"/>
    <w:qFormat/>
    <w:uiPriority w:val="0"/>
    <w:rPr>
      <w:rFonts w:ascii="Times New Roman" w:hAnsi="Times New Roman" w:eastAsia="宋体"/>
    </w:rPr>
  </w:style>
  <w:style w:type="character" w:customStyle="1" w:styleId="42">
    <w:name w:val="批注文字 Char"/>
    <w:link w:val="12"/>
    <w:qFormat/>
    <w:locked/>
    <w:uiPriority w:val="0"/>
    <w:rPr>
      <w:rFonts w:ascii="Times New Roman" w:hAnsi="Times New Roman" w:eastAsia="宋体"/>
      <w:sz w:val="21"/>
    </w:rPr>
  </w:style>
  <w:style w:type="character" w:customStyle="1" w:styleId="43">
    <w:name w:val="正文文本 Char"/>
    <w:link w:val="15"/>
    <w:qFormat/>
    <w:locked/>
    <w:uiPriority w:val="0"/>
    <w:rPr>
      <w:sz w:val="18"/>
    </w:rPr>
  </w:style>
  <w:style w:type="character" w:customStyle="1" w:styleId="44">
    <w:name w:val="日期 Char"/>
    <w:link w:val="20"/>
    <w:qFormat/>
    <w:locked/>
    <w:uiPriority w:val="0"/>
    <w:rPr>
      <w:rFonts w:ascii="Times New Roman" w:hAnsi="Times New Roman" w:eastAsia="宋体"/>
      <w:sz w:val="24"/>
    </w:rPr>
  </w:style>
  <w:style w:type="character" w:customStyle="1" w:styleId="45">
    <w:name w:val="批注框文本 Char"/>
    <w:link w:val="21"/>
    <w:semiHidden/>
    <w:qFormat/>
    <w:locked/>
    <w:uiPriority w:val="0"/>
    <w:rPr>
      <w:rFonts w:ascii="Times New Roman" w:hAnsi="Times New Roman" w:eastAsia="宋体"/>
      <w:sz w:val="18"/>
    </w:rPr>
  </w:style>
  <w:style w:type="character" w:customStyle="1" w:styleId="46">
    <w:name w:val="页脚 Char"/>
    <w:link w:val="22"/>
    <w:qFormat/>
    <w:locked/>
    <w:uiPriority w:val="99"/>
    <w:rPr>
      <w:sz w:val="18"/>
    </w:rPr>
  </w:style>
  <w:style w:type="character" w:customStyle="1" w:styleId="47">
    <w:name w:val="页眉 Char"/>
    <w:link w:val="23"/>
    <w:qFormat/>
    <w:locked/>
    <w:uiPriority w:val="0"/>
    <w:rPr>
      <w:sz w:val="18"/>
    </w:rPr>
  </w:style>
  <w:style w:type="character" w:customStyle="1" w:styleId="48">
    <w:name w:val="普通(网站) Char"/>
    <w:link w:val="26"/>
    <w:qFormat/>
    <w:locked/>
    <w:uiPriority w:val="0"/>
    <w:rPr>
      <w:rFonts w:ascii="宋体" w:hAnsi="宋体" w:eastAsia="宋体"/>
      <w:sz w:val="24"/>
    </w:rPr>
  </w:style>
  <w:style w:type="character" w:customStyle="1" w:styleId="49">
    <w:name w:val="批注主题 Char"/>
    <w:link w:val="27"/>
    <w:semiHidden/>
    <w:qFormat/>
    <w:locked/>
    <w:uiPriority w:val="0"/>
    <w:rPr>
      <w:rFonts w:ascii="Times New Roman" w:hAnsi="Times New Roman" w:eastAsia="宋体"/>
      <w:b/>
      <w:kern w:val="2"/>
      <w:sz w:val="24"/>
    </w:rPr>
  </w:style>
  <w:style w:type="character" w:customStyle="1" w:styleId="50">
    <w:name w:val="1-正文 Char"/>
    <w:qFormat/>
    <w:uiPriority w:val="0"/>
    <w:rPr>
      <w:rFonts w:ascii="宋体" w:hAnsi="宋体" w:eastAsia="MingLiU" w:cs="MingLiU"/>
      <w:sz w:val="24"/>
      <w:szCs w:val="21"/>
      <w:shd w:val="clear" w:color="auto" w:fill="FFFFFF"/>
    </w:rPr>
  </w:style>
  <w:style w:type="character" w:customStyle="1" w:styleId="51">
    <w:name w:val="批注文字 字符1"/>
    <w:semiHidden/>
    <w:qFormat/>
    <w:uiPriority w:val="0"/>
    <w:rPr>
      <w:rFonts w:ascii="Times New Roman" w:hAnsi="Times New Roman" w:eastAsia="宋体"/>
      <w:sz w:val="24"/>
    </w:rPr>
  </w:style>
  <w:style w:type="character" w:customStyle="1" w:styleId="52">
    <w:name w:val="日期 字符"/>
    <w:semiHidden/>
    <w:qFormat/>
    <w:uiPriority w:val="0"/>
    <w:rPr>
      <w:rFonts w:ascii="Times New Roman" w:hAnsi="Times New Roman" w:eastAsia="宋体"/>
      <w:sz w:val="24"/>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fontstyle01"/>
    <w:qFormat/>
    <w:uiPriority w:val="0"/>
    <w:rPr>
      <w:rFonts w:hint="eastAsia" w:ascii="宋体" w:hAnsi="宋体" w:eastAsia="宋体"/>
      <w:color w:val="000000"/>
      <w:sz w:val="24"/>
      <w:szCs w:val="24"/>
    </w:rPr>
  </w:style>
  <w:style w:type="character" w:customStyle="1" w:styleId="55">
    <w:name w:val="表格 Char"/>
    <w:link w:val="56"/>
    <w:qFormat/>
    <w:locked/>
    <w:uiPriority w:val="0"/>
    <w:rPr>
      <w:rFonts w:ascii="宋体"/>
      <w:sz w:val="21"/>
    </w:rPr>
  </w:style>
  <w:style w:type="paragraph" w:customStyle="1" w:styleId="56">
    <w:name w:val="表格"/>
    <w:basedOn w:val="8"/>
    <w:next w:val="1"/>
    <w:link w:val="55"/>
    <w:qFormat/>
    <w:uiPriority w:val="0"/>
    <w:pPr>
      <w:adjustRightInd w:val="0"/>
      <w:snapToGrid w:val="0"/>
      <w:spacing w:beforeLines="10" w:afterLines="10" w:line="259" w:lineRule="auto"/>
      <w:jc w:val="center"/>
    </w:pPr>
    <w:rPr>
      <w:rFonts w:ascii="宋体"/>
      <w:kern w:val="0"/>
      <w:szCs w:val="20"/>
    </w:rPr>
  </w:style>
  <w:style w:type="character" w:customStyle="1" w:styleId="57">
    <w:name w:val="页脚 字符"/>
    <w:basedOn w:val="31"/>
    <w:qFormat/>
    <w:uiPriority w:val="99"/>
  </w:style>
  <w:style w:type="paragraph" w:customStyle="1" w:styleId="58">
    <w:name w:val="Other"/>
    <w:basedOn w:val="1"/>
    <w:qFormat/>
    <w:uiPriority w:val="0"/>
    <w:pPr>
      <w:widowControl w:val="0"/>
      <w:shd w:val="clear" w:color="auto" w:fill="FFFFFF"/>
      <w:spacing w:line="425" w:lineRule="auto"/>
      <w:ind w:firstLine="400"/>
    </w:pPr>
    <w:rPr>
      <w:rFonts w:ascii="MingLiU" w:hAnsi="MingLiU" w:eastAsia="MingLiU" w:cs="MingLiU"/>
      <w:sz w:val="44"/>
      <w:szCs w:val="44"/>
      <w:lang w:val="zh-CN" w:bidi="zh-CN"/>
    </w:rPr>
  </w:style>
  <w:style w:type="paragraph" w:customStyle="1" w:styleId="59">
    <w:name w:val="样式 样式 四号 左侧:  1.53 厘米 + 首行缩进:  2 字符"/>
    <w:basedOn w:val="60"/>
    <w:qFormat/>
    <w:uiPriority w:val="0"/>
    <w:pPr>
      <w:ind w:left="200" w:leftChars="200"/>
    </w:pPr>
    <w:rPr>
      <w:szCs w:val="20"/>
    </w:rPr>
  </w:style>
  <w:style w:type="paragraph" w:customStyle="1" w:styleId="60">
    <w:name w:val="样式 四号 左侧:  1.53 厘米"/>
    <w:basedOn w:val="1"/>
    <w:qFormat/>
    <w:uiPriority w:val="0"/>
    <w:pPr>
      <w:adjustRightInd w:val="0"/>
    </w:pPr>
    <w:rPr>
      <w:w w:val="90"/>
      <w:sz w:val="28"/>
      <w:szCs w:val="28"/>
    </w:rPr>
  </w:style>
  <w:style w:type="paragraph" w:customStyle="1" w:styleId="61">
    <w:name w:val="Table Paragraph"/>
    <w:basedOn w:val="1"/>
    <w:qFormat/>
    <w:uiPriority w:val="1"/>
    <w:pPr>
      <w:spacing w:before="130"/>
      <w:jc w:val="center"/>
    </w:pPr>
    <w:rPr>
      <w:rFonts w:ascii="宋体" w:hAnsi="宋体" w:cs="宋体"/>
      <w:kern w:val="0"/>
      <w:sz w:val="22"/>
      <w:szCs w:val="22"/>
      <w:lang w:eastAsia="en-US"/>
    </w:rPr>
  </w:style>
  <w:style w:type="paragraph" w:customStyle="1" w:styleId="62">
    <w:name w:val="1-正文"/>
    <w:basedOn w:val="19"/>
    <w:qFormat/>
    <w:uiPriority w:val="0"/>
    <w:pPr>
      <w:spacing w:line="360" w:lineRule="auto"/>
      <w:ind w:firstLine="480" w:firstLineChars="200"/>
    </w:pPr>
    <w:rPr>
      <w:rFonts w:hAnsi="宋体"/>
      <w:b w:val="0"/>
      <w:kern w:val="2"/>
      <w:sz w:val="24"/>
      <w:szCs w:val="21"/>
    </w:rPr>
  </w:style>
  <w:style w:type="paragraph" w:customStyle="1" w:styleId="63">
    <w:name w:val="中文报告书样式"/>
    <w:basedOn w:val="1"/>
    <w:next w:val="13"/>
    <w:qFormat/>
    <w:uiPriority w:val="0"/>
    <w:pPr>
      <w:adjustRightInd w:val="0"/>
      <w:spacing w:line="420" w:lineRule="atLeast"/>
      <w:textAlignment w:val="baseline"/>
    </w:pPr>
    <w:rPr>
      <w:kern w:val="24"/>
      <w:sz w:val="24"/>
    </w:rPr>
  </w:style>
  <w:style w:type="paragraph" w:customStyle="1" w:styleId="64">
    <w:name w:val="我正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65">
    <w:name w:val="00005报告正文"/>
    <w:basedOn w:val="1"/>
    <w:qFormat/>
    <w:uiPriority w:val="0"/>
    <w:pPr>
      <w:adjustRightInd w:val="0"/>
      <w:snapToGrid w:val="0"/>
      <w:spacing w:line="360" w:lineRule="auto"/>
      <w:ind w:firstLine="200" w:firstLineChars="200"/>
      <w:jc w:val="left"/>
    </w:pPr>
    <w:rPr>
      <w:sz w:val="24"/>
      <w:szCs w:val="24"/>
    </w:rPr>
  </w:style>
  <w:style w:type="paragraph" w:customStyle="1" w:styleId="66">
    <w:name w:val="xl34"/>
    <w:basedOn w:val="1"/>
    <w:qFormat/>
    <w:uiPriority w:val="0"/>
    <w:pPr>
      <w:widowControl/>
      <w:pBdr>
        <w:left w:val="single" w:color="auto" w:sz="4" w:space="0"/>
        <w:bottom w:val="single" w:color="auto" w:sz="4" w:space="0"/>
      </w:pBdr>
      <w:spacing w:before="100" w:beforeLines="0" w:beforeAutospacing="1" w:after="100" w:afterLines="0" w:afterAutospacing="1"/>
      <w:jc w:val="center"/>
      <w:textAlignment w:val="center"/>
    </w:pPr>
    <w:rPr>
      <w:kern w:val="0"/>
      <w:szCs w:val="21"/>
    </w:rPr>
  </w:style>
  <w:style w:type="paragraph" w:customStyle="1" w:styleId="67">
    <w:name w:val="报告书正文"/>
    <w:basedOn w:val="1"/>
    <w:qFormat/>
    <w:uiPriority w:val="0"/>
    <w:pPr>
      <w:spacing w:line="360" w:lineRule="auto"/>
    </w:pPr>
    <w:rPr>
      <w:sz w:val="24"/>
      <w:szCs w:val="24"/>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样式 样式 样式 四号 左侧:  1.53 厘米 + 首行缩进:  2 字符 + 居中 左侧:  2 字符 首行缩进:  2..."/>
    <w:basedOn w:val="59"/>
    <w:qFormat/>
    <w:uiPriority w:val="0"/>
    <w:pPr>
      <w:ind w:firstLine="0" w:firstLineChars="0"/>
      <w:jc w:val="center"/>
    </w:pPr>
  </w:style>
  <w:style w:type="paragraph" w:customStyle="1" w:styleId="70">
    <w:name w:val="表格内容"/>
    <w:basedOn w:val="1"/>
    <w:qFormat/>
    <w:uiPriority w:val="0"/>
    <w:pPr>
      <w:spacing w:line="240" w:lineRule="auto"/>
      <w:ind w:firstLine="0" w:firstLineChars="0"/>
      <w:jc w:val="center"/>
    </w:pPr>
    <w:rPr>
      <w:color w:val="000000"/>
      <w:sz w:val="21"/>
      <w:szCs w:val="20"/>
    </w:rPr>
  </w:style>
  <w:style w:type="paragraph" w:customStyle="1" w:styleId="71">
    <w:name w:val="环评正文"/>
    <w:basedOn w:val="1"/>
    <w:qFormat/>
    <w:uiPriority w:val="0"/>
    <w:pPr>
      <w:spacing w:line="360" w:lineRule="auto"/>
      <w:ind w:firstLine="200" w:firstLineChars="200"/>
    </w:pPr>
    <w:rPr>
      <w:rFonts w:cs="Times New Roman"/>
      <w:sz w:val="24"/>
      <w:szCs w:val="24"/>
    </w:rPr>
  </w:style>
  <w:style w:type="paragraph" w:customStyle="1" w:styleId="72">
    <w:name w:val="正文1"/>
    <w:basedOn w:val="22"/>
    <w:qFormat/>
    <w:uiPriority w:val="0"/>
    <w:pPr>
      <w:spacing w:line="400" w:lineRule="exact"/>
      <w:ind w:firstLine="482"/>
    </w:pPr>
    <w:rPr>
      <w:sz w:val="24"/>
    </w:rPr>
  </w:style>
  <w:style w:type="paragraph" w:styleId="73">
    <w:name w:val="List Paragraph"/>
    <w:basedOn w:val="1"/>
    <w:qFormat/>
    <w:uiPriority w:val="34"/>
    <w:pPr>
      <w:ind w:firstLine="420" w:firstLineChars="200"/>
    </w:pPr>
  </w:style>
  <w:style w:type="paragraph" w:customStyle="1" w:styleId="74">
    <w:name w:val="表头样式1"/>
    <w:basedOn w:val="1"/>
    <w:qFormat/>
    <w:uiPriority w:val="0"/>
    <w:pPr>
      <w:tabs>
        <w:tab w:val="center" w:pos="4505"/>
      </w:tabs>
      <w:jc w:val="center"/>
    </w:pPr>
    <w:rPr>
      <w:b/>
    </w:rPr>
  </w:style>
  <w:style w:type="paragraph" w:customStyle="1" w:styleId="75">
    <w:name w:val="报告正文"/>
    <w:basedOn w:val="1"/>
    <w:qFormat/>
    <w:uiPriority w:val="0"/>
    <w:pPr>
      <w:adjustRightInd w:val="0"/>
      <w:snapToGrid w:val="0"/>
      <w:spacing w:line="480" w:lineRule="exact"/>
      <w:ind w:firstLine="560" w:firstLineChars="200"/>
    </w:pPr>
    <w:rPr>
      <w:rFonts w:ascii="Times New Roman" w:hAnsi="Times New Roman" w:cs="Times New Roman"/>
      <w:sz w:val="28"/>
      <w:szCs w:val="24"/>
    </w:rPr>
  </w:style>
  <w:style w:type="paragraph" w:customStyle="1" w:styleId="76">
    <w:name w:val="报告表正文"/>
    <w:basedOn w:val="1"/>
    <w:qFormat/>
    <w:uiPriority w:val="0"/>
    <w:pPr>
      <w:adjustRightInd w:val="0"/>
      <w:snapToGrid w:val="0"/>
      <w:spacing w:line="360" w:lineRule="auto"/>
      <w:ind w:firstLine="560" w:firstLineChars="200"/>
    </w:pPr>
    <w:rPr>
      <w:sz w:val="24"/>
    </w:rPr>
  </w:style>
  <w:style w:type="paragraph" w:customStyle="1" w:styleId="77">
    <w:name w:val="_Style 70"/>
    <w:basedOn w:val="1"/>
    <w:next w:val="73"/>
    <w:qFormat/>
    <w:uiPriority w:val="34"/>
    <w:pPr>
      <w:ind w:firstLine="420" w:firstLineChars="200"/>
    </w:pPr>
    <w:rPr>
      <w:szCs w:val="21"/>
    </w:rPr>
  </w:style>
  <w:style w:type="paragraph" w:customStyle="1" w:styleId="78">
    <w:name w:val="【表格】"/>
    <w:next w:val="1"/>
    <w:qFormat/>
    <w:uiPriority w:val="0"/>
    <w:pPr>
      <w:spacing w:line="0" w:lineRule="atLeast"/>
      <w:jc w:val="center"/>
    </w:pPr>
    <w:rPr>
      <w:rFonts w:ascii="Times New Roman" w:hAnsi="Times New Roman" w:eastAsia="宋体" w:cs="Times New Roman"/>
      <w:sz w:val="21"/>
      <w:szCs w:val="24"/>
      <w:lang w:val="en-US" w:eastAsia="zh-CN" w:bidi="ar-SA"/>
    </w:rPr>
  </w:style>
  <w:style w:type="paragraph" w:customStyle="1" w:styleId="79">
    <w:name w:val="1"/>
    <w:basedOn w:val="1"/>
    <w:next w:val="19"/>
    <w:qFormat/>
    <w:uiPriority w:val="0"/>
    <w:rPr>
      <w:rFonts w:ascii="宋体" w:hAnsi="Courier New" w:cs="Times New Roman"/>
      <w:szCs w:val="21"/>
    </w:rPr>
  </w:style>
  <w:style w:type="paragraph" w:customStyle="1" w:styleId="80">
    <w:name w:val="表头及表尾"/>
    <w:qFormat/>
    <w:uiPriority w:val="0"/>
    <w:pPr>
      <w:adjustRightInd w:val="0"/>
      <w:snapToGrid w:val="0"/>
      <w:spacing w:line="480" w:lineRule="exact"/>
      <w:jc w:val="center"/>
    </w:pPr>
    <w:rPr>
      <w:rFonts w:ascii="Times New Roman" w:hAnsi="Times New Roman" w:eastAsia="宋体" w:cs="Times New Roman"/>
      <w:b/>
      <w:snapToGrid w:val="0"/>
      <w:sz w:val="24"/>
      <w:szCs w:val="22"/>
      <w:lang w:val="en-US" w:eastAsia="zh-CN" w:bidi="ar-SA"/>
    </w:rPr>
  </w:style>
  <w:style w:type="paragraph" w:customStyle="1" w:styleId="81">
    <w:name w:val="报告书"/>
    <w:basedOn w:val="1"/>
    <w:qFormat/>
    <w:uiPriority w:val="0"/>
    <w:pPr>
      <w:adjustRightInd w:val="0"/>
      <w:snapToGrid w:val="0"/>
      <w:spacing w:line="440" w:lineRule="atLeast"/>
      <w:ind w:firstLine="482"/>
      <w:textAlignment w:val="baseline"/>
    </w:pPr>
    <w:rPr>
      <w:rFonts w:ascii="宋体" w:hAnsi="Times New Roman" w:cs="Times New Roman"/>
      <w:kern w:val="24"/>
      <w:sz w:val="24"/>
    </w:rPr>
  </w:style>
  <w:style w:type="paragraph" w:customStyle="1" w:styleId="8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3">
    <w:name w:val="表头"/>
    <w:basedOn w:val="72"/>
    <w:next w:val="1"/>
    <w:qFormat/>
    <w:uiPriority w:val="0"/>
    <w:pPr>
      <w:adjustRightInd w:val="0"/>
      <w:snapToGrid w:val="0"/>
      <w:spacing w:before="50" w:beforeLines="50" w:line="240" w:lineRule="auto"/>
      <w:jc w:val="center"/>
    </w:pPr>
    <w:rPr>
      <w:rFonts w:ascii="Times New Roman" w:hAnsi="Times New Roman" w:eastAsia="宋体" w:cs="Times New Roman"/>
      <w:b/>
      <w:sz w:val="21"/>
      <w:szCs w:val="21"/>
    </w:rPr>
  </w:style>
  <w:style w:type="paragraph" w:customStyle="1" w:styleId="84">
    <w:name w:val="表内字体"/>
    <w:basedOn w:val="1"/>
    <w:qFormat/>
    <w:uiPriority w:val="0"/>
    <w:pPr>
      <w:spacing w:line="240" w:lineRule="auto"/>
      <w:jc w:val="center"/>
    </w:pPr>
    <w:rPr>
      <w:sz w:val="21"/>
    </w:rPr>
  </w:style>
  <w:style w:type="paragraph" w:customStyle="1" w:styleId="85">
    <w:name w:val="环评表头"/>
    <w:next w:val="72"/>
    <w:qFormat/>
    <w:uiPriority w:val="0"/>
    <w:pPr>
      <w:spacing w:before="50" w:beforeLines="50"/>
      <w:jc w:val="center"/>
    </w:pPr>
    <w:rPr>
      <w:rFonts w:ascii="Times New Roman" w:hAnsi="Times New Roman" w:eastAsia="宋体" w:cs="Times New Roman"/>
      <w:b/>
      <w:sz w:val="21"/>
      <w:szCs w:val="21"/>
      <w:lang w:val="en-US" w:eastAsia="zh-CN" w:bidi="ar-SA"/>
    </w:rPr>
  </w:style>
  <w:style w:type="paragraph" w:customStyle="1" w:styleId="86">
    <w:name w:val="表内"/>
    <w:next w:val="1"/>
    <w:qFormat/>
    <w:uiPriority w:val="0"/>
    <w:pPr>
      <w:adjustRightInd w:val="0"/>
      <w:snapToGrid w:val="0"/>
      <w:jc w:val="center"/>
      <w:textAlignment w:val="center"/>
    </w:pPr>
    <w:rPr>
      <w:rFonts w:ascii="Times New Roman" w:hAnsi="Times New Roman" w:eastAsia="宋体" w:cs="Times New Roman"/>
      <w:kern w:val="2"/>
      <w:sz w:val="24"/>
      <w:szCs w:val="21"/>
      <w:lang w:val="en-US" w:eastAsia="zh-CN" w:bidi="ar-SA"/>
    </w:rPr>
  </w:style>
  <w:style w:type="paragraph" w:customStyle="1" w:styleId="87">
    <w:name w:val="表格格式"/>
    <w:basedOn w:val="1"/>
    <w:next w:val="1"/>
    <w:qFormat/>
    <w:uiPriority w:val="0"/>
    <w:pPr>
      <w:adjustRightInd w:val="0"/>
      <w:snapToGrid w:val="0"/>
      <w:spacing w:line="240" w:lineRule="auto"/>
      <w:jc w:val="center"/>
    </w:pPr>
    <w:rPr>
      <w:sz w:val="21"/>
      <w:szCs w:val="21"/>
    </w:rPr>
  </w:style>
  <w:style w:type="table" w:customStyle="1" w:styleId="88">
    <w:name w:val="网格型4"/>
    <w:basedOn w:val="2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89">
    <w:name w:val="网格型2"/>
    <w:basedOn w:val="2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0">
    <w:name w:val="图头"/>
    <w:basedOn w:val="1"/>
    <w:qFormat/>
    <w:uiPriority w:val="0"/>
    <w:pPr>
      <w:spacing w:after="50" w:afterLines="50" w:line="240" w:lineRule="auto"/>
      <w:jc w:val="center"/>
    </w:pPr>
    <w:rPr>
      <w:rFonts w:ascii="Times New Roman" w:hAnsi="Times New Roman" w:eastAsia="宋体" w:cs="Times New Roman"/>
      <w:b/>
      <w:sz w:val="21"/>
      <w:szCs w:val="21"/>
    </w:rPr>
  </w:style>
  <w:style w:type="paragraph" w:customStyle="1" w:styleId="91">
    <w:name w:val="环评表格"/>
    <w:next w:val="1"/>
    <w:qFormat/>
    <w:uiPriority w:val="0"/>
    <w:pPr>
      <w:jc w:val="center"/>
    </w:pPr>
    <w:rPr>
      <w:rFonts w:ascii="Times New Roman" w:hAnsi="Times New Roman" w:eastAsia="宋体" w:cs="Times New Roman"/>
      <w:kern w:val="2"/>
      <w:sz w:val="21"/>
      <w:lang w:val="en-US" w:eastAsia="zh-CN" w:bidi="ar-SA"/>
    </w:rPr>
  </w:style>
  <w:style w:type="paragraph" w:customStyle="1" w:styleId="92">
    <w:name w:val="1.1.1"/>
    <w:basedOn w:val="1"/>
    <w:qFormat/>
    <w:uiPriority w:val="0"/>
    <w:pPr>
      <w:jc w:val="left"/>
    </w:pPr>
    <w:rPr>
      <w:rFonts w:ascii="黑体"/>
      <w:sz w:val="24"/>
      <w:szCs w:val="24"/>
    </w:rPr>
  </w:style>
  <w:style w:type="character" w:customStyle="1" w:styleId="93">
    <w:name w:val="正文文本 3 Char"/>
    <w:link w:val="14"/>
    <w:qFormat/>
    <w:uiPriority w:val="0"/>
    <w:rPr>
      <w:sz w:val="24"/>
    </w:rPr>
  </w:style>
  <w:style w:type="character" w:customStyle="1" w:styleId="94">
    <w:name w:val="题注 Char"/>
    <w:link w:val="10"/>
    <w:qFormat/>
    <w:uiPriority w:val="0"/>
    <w:rPr>
      <w:rFonts w:ascii="Times New Roman" w:hAnsi="Times New Roman" w:eastAsia="宋体"/>
      <w:b/>
      <w:sz w:val="21"/>
    </w:rPr>
  </w:style>
  <w:style w:type="paragraph" w:customStyle="1" w:styleId="95">
    <w:name w:val="【表头】"/>
    <w:basedOn w:val="1"/>
    <w:qFormat/>
    <w:uiPriority w:val="0"/>
    <w:pPr>
      <w:jc w:val="center"/>
    </w:pPr>
    <w:rPr>
      <w:rFonts w:eastAsia="黑体"/>
      <w:sz w:val="24"/>
    </w:rPr>
  </w:style>
  <w:style w:type="paragraph" w:customStyle="1" w:styleId="96">
    <w:name w:val="表 格"/>
    <w:basedOn w:val="1"/>
    <w:next w:val="1"/>
    <w:qFormat/>
    <w:uiPriority w:val="0"/>
    <w:pPr>
      <w:adjustRightInd w:val="0"/>
      <w:snapToGrid w:val="0"/>
      <w:jc w:val="center"/>
    </w:pPr>
    <w:rPr>
      <w:rFonts w:hint="default" w:ascii="Times New Roman"/>
      <w:kern w:val="2"/>
      <w:sz w:val="21"/>
      <w:szCs w:val="24"/>
    </w:rPr>
  </w:style>
  <w:style w:type="paragraph" w:customStyle="1" w:styleId="97">
    <w:name w:val="！正文"/>
    <w:basedOn w:val="1"/>
    <w:qFormat/>
    <w:uiPriority w:val="99"/>
    <w:pPr>
      <w:spacing w:line="500" w:lineRule="exact"/>
      <w:ind w:firstLine="480" w:firstLineChars="200"/>
    </w:pPr>
    <w:rPr>
      <w:sz w:val="24"/>
      <w:szCs w:val="24"/>
    </w:rPr>
  </w:style>
  <w:style w:type="character" w:customStyle="1" w:styleId="98">
    <w:name w:val="正文缩进 字符"/>
    <w:link w:val="8"/>
    <w:qFormat/>
    <w:uiPriority w:val="0"/>
    <w:rPr>
      <w:rFonts w:ascii="Times New Roman" w:hAnsi="Times New Roman" w:eastAsia="宋体"/>
    </w:rPr>
  </w:style>
  <w:style w:type="paragraph" w:customStyle="1" w:styleId="99">
    <w:name w:val="lh-正文-报告表"/>
    <w:basedOn w:val="1"/>
    <w:qFormat/>
    <w:uiPriority w:val="0"/>
    <w:pPr>
      <w:spacing w:line="360" w:lineRule="auto"/>
      <w:ind w:firstLine="480" w:firstLineChars="200"/>
    </w:pPr>
    <w:rPr>
      <w:kern w:val="0"/>
      <w:sz w:val="24"/>
      <w:szCs w:val="21"/>
    </w:rPr>
  </w:style>
  <w:style w:type="character" w:customStyle="1" w:styleId="100">
    <w:name w:val="标题 1 Char"/>
    <w:link w:val="3"/>
    <w:qFormat/>
    <w:uiPriority w:val="99"/>
    <w:rPr>
      <w:rFonts w:eastAsia="黑体"/>
      <w:b/>
      <w:bCs/>
      <w:color w:val="000000"/>
      <w:kern w:val="44"/>
      <w:sz w:val="30"/>
      <w:szCs w:val="30"/>
    </w:rPr>
  </w:style>
  <w:style w:type="character" w:customStyle="1" w:styleId="101">
    <w:name w:val="nth-child(3)"/>
    <w:basedOn w:val="31"/>
    <w:qFormat/>
    <w:uiPriority w:val="0"/>
  </w:style>
  <w:style w:type="table" w:customStyle="1" w:styleId="102">
    <w:name w:val="Table Normal"/>
    <w:semiHidden/>
    <w:unhideWhenUsed/>
    <w:qFormat/>
    <w:uiPriority w:val="0"/>
    <w:tblPr>
      <w:tblCellMar>
        <w:top w:w="0" w:type="dxa"/>
        <w:left w:w="0" w:type="dxa"/>
        <w:bottom w:w="0" w:type="dxa"/>
        <w:right w:w="0" w:type="dxa"/>
      </w:tblCellMar>
    </w:tblPr>
  </w:style>
  <w:style w:type="paragraph" w:customStyle="1" w:styleId="103">
    <w:name w:val="正文段落"/>
    <w:basedOn w:val="1"/>
    <w:qFormat/>
    <w:uiPriority w:val="0"/>
    <w:pPr>
      <w:spacing w:line="360" w:lineRule="auto"/>
      <w:ind w:firstLine="480" w:firstLineChars="200"/>
    </w:pPr>
    <w:rPr>
      <w:rFonts w:ascii="Times New Roman" w:hAnsi="Times New Roman" w:eastAsia="宋体"/>
    </w:rPr>
  </w:style>
  <w:style w:type="character" w:customStyle="1" w:styleId="104">
    <w:name w:val="注释标题 Char"/>
    <w:link w:val="7"/>
    <w:qFormat/>
    <w:uiPriority w:val="0"/>
    <w:rPr>
      <w:rFonts w:cs="Times New Roman"/>
      <w:b/>
      <w:sz w:val="21"/>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wmf"/><Relationship Id="rId22" Type="http://schemas.openxmlformats.org/officeDocument/2006/relationships/oleObject" Target="embeddings/oleObject1.bin"/><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1030" textRotate="1"/>
  </customShpExts>
  <extobjs>
    <extobj name="ECB019B1-382A-4266-B25C-5B523AA43C14-1">
      <extobjdata type="ECB019B1-382A-4266-B25C-5B523AA43C14" data="ewoJIkZpbGVJZCIgOiAiMjA3Nzc0NDQ5MDUwIiwKCSJHcm91cElkIiA6ICI2OTUyMTgxNjEiLAoJIkltYWdlIiA6ICJpVkJPUncwS0dnb0FBQUFOU1VoRVVnQUFBNVFBQUFPY0NBWUFBQUF4WmY0bEFBQUFDWEJJV1hNQUFBc1RBQUFMRXdFQW1wd1lBQUFnQUVsRVFWUjRuT3pkZVhnVVpibzI4THQ2U1hjbjZleVFoQVFTRUFpTEVycWllRlJFQmx3R3hDT0RvL09kR1RaeEd4ZDJ3WEc3OEhER2hSbFJ3UTM1WUFBUllWUWtvQUtDQ0o5SEJnWFRTVmdUSUVSQ0NObVgzcnU2cSt2N0kzUlBRaEpJUXNnQzkrKzYrcHJVVzArOTlWUW1DRS9lcFFB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K0hmOEx1aW5rcTBKcXgyc0FBQUFBU1VWT1JLNUNZSUk9IiwKCSJUaGVtZSIgOiAiIiwKCSJUeXBlIiA6ICJmbG93IiwKCSJWZXJzaW9uIiA6ICIiCn0K"/>
    </extobj>
    <extobj name="ECB019B1-382A-4266-B25C-5B523AA43C14-2">
      <extobjdata type="ECB019B1-382A-4266-B25C-5B523AA43C14" data="ewoJIkZpbGVJZCIgOiAiMjEwNjExMTUyNjQ1IiwKCSJHcm91cElkIiA6ICI2OTUyMTgxNjEiLAoJIkltYWdlIiA6ICJpVkJPUncwS0dnb0FBQUFOU1VoRVVnQUFCRnNBQUFGdUNBWUFBQUJlTHhleEFBQUFDWEJJV1hNQUFBc1RBQUFMRXdFQW1wd1lBQUFnQUVsRVFWUjRuT3pkZVh4alpiMC84TzlKMGlRbnk4bmFiTTNXTk8yMFRaZkpBUlVRUVFUWlhNQXJidWhWRkVSK3VDQUt1STBpQWhldWdpaklja1hrcW14WGhVRzliTzRvaXFLM25SbW1NNTFPSm0zVE5rM1NOUHZlTEw4L21veVprRzZEdU9Ebi9YcmwxWnhuTzg4NUhWNDlQT2Y1UGc4Uk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RHc2L0oveGQrSi8wNllhcnNBQUFBQVNVVk9SSzVDWUlJPSIsCgkiVGhlbWUiIDogIiIsCgkiVHlwZSIgOiAiZmxvdyIsCgkiVmVyc2lvbiIgOiAiIgp9Cg=="/>
    </extobj>
    <extobj name="ECB019B1-382A-4266-B25C-5B523AA43C14-3">
      <extobjdata type="ECB019B1-382A-4266-B25C-5B523AA43C14" data="ewoJIkZpbGVJZCIgOiAiMjA4NDIwNDYwOTU1IiwKCSJHcm91cElkIiA6ICI2OTUyMTgxNjEiLAoJIkltYWdlIiA6ICJpVkJPUncwS0dnb0FBQUFOU1VoRVVnQUFBb3NBQUFHckNBWUFBQUNvcnQyOEFBQUFDWEJJV1hNQUFBc1RBQUFMRXdFQW1wd1lBQUFnQUVsRVFWUjRuT3pkZVh4VFZmby84TTlOMmlRM2U5THNiWkkyWFNnTmJab2dEZ2lLQ3lyNFZkSFJZUmgxUmgzOUtXNDRndUk0dU0wZ1g1MFpSNy9DSUlvS2lvZ09qaXdpeXVpNGpZeU1PSllLVkxheU5OM1RKV21iTmt1YjVQZEhrNWlXZEdNckxjLzc5Y3JMNU41enp6MjVodlRKT2M4OUJ5Q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Tno4SHhadE1CS05tK0FZQUFBQUFFbEZUa1N1UW1DQyIsCgkiVGhlbWUiIDogIiIsCgkiVHlwZSIgOiAiZmxvdyIsCgkiVmVyc2lvbiIgOiAiIgp9Cg=="/>
    </extobj>
    <extobj name="ECB019B1-382A-4266-B25C-5B523AA43C14-4">
      <extobjdata type="ECB019B1-382A-4266-B25C-5B523AA43C14" data="ewoJIkZpbGVJZCIgOiAiMjA4NDI3NDg0NDQ0IiwKCSJHcm91cElkIiA6ICI2OTUyMTgxNjEiLAoJIkltYWdlIiA6ICJpVkJPUncwS0dnb0FBQUFOU1VoRVVnQUFBbzRBQUFGVkNBWUFBQUJoSDI2UkFBQUFDWEJJV1hNQUFBc1RBQUFMRXdFQW1wd1lBQUFnQUVsRVFWUjRuT3pkZVhoVFZmNC84UGROMGlRM1NiTzFXWnEyU1VsWFNMZGNWRVJFVWRSUlJOQVJkWFFZUjhjWlpYQUFSY0JoY0VZY0I1ZVp3ZVhyS002SWlnN3VDT3F3aVA3Y0JmZTJVQ3BRdXRBRnV0QTJTWnMyUzVQYzN4OU5ZbHJTQlJVTDVmTjZuajdtbm52T3VTZUhhM0p5dGdz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9pQTlmOEJCTUc4dU9zU0I3MEFBQUFBU1VWT1JLNUNZSUk9IiwKCSJUaGVtZSIgOiAiIiwKCSJUeXBlIiA6ICJmbG93IiwKCSJWZXJzaW9uIiA6ICIiCn0K"/>
    </extobj>
    <extobj name="ECB019B1-382A-4266-B25C-5B523AA43C14-5">
      <extobjdata type="ECB019B1-382A-4266-B25C-5B523AA43C14" data="ewoJIkZpbGVJZCIgOiAiMjA4NDMwNTI5OTk0IiwKCSJHcm91cElkIiA6ICI2OTUyMTgxNjEiLAoJIkltYWdlIiA6ICJpVkJPUncwS0dnb0FBQUFOU1VoRVVnQUFBdUFBQUFGT0NBWUFBQURISUtnS0FBQUFDWEJJV1hNQUFBc1RBQUFMRXdFQW1wd1lBQUFnQUVsRVFWUjRuT3pkZVhoVFZmNC84UGU5MlpvMDNWY29MVkNnN05DbUFpS3lDSXJLc0NpQzI0OHZLbzRMSXE2RHkrREd1QUZ1bzR5aUlvaU1PRzRnakNpZ0k4cUFxQ0J0Z1JaS2JlbEtXNkI3MDZaTmN1LzkvZEVtazdScFN3dWtVTjZ2NStsRDdybm4zbnZTWE5KUFRqN25ISU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XFJaC94L09YTG9velFSTjFBQUFBQUJKUlU1RXJrSmdnZz09IiwKCSJUaGVtZSIgOiAiIiwKCSJUeXBlIiA6ICJmbG93IiwKCSJWZXJzaW9uIiA6ICIiCn0K"/>
    </extobj>
    <extobj name="ECB019B1-382A-4266-B25C-5B523AA43C14-6">
      <extobjdata type="ECB019B1-382A-4266-B25C-5B523AA43C14" data="ewoJIkZpbGVJZCIgOiAiMjA4NDMzOTI3OTEzIiwKCSJHcm91cElkIiA6ICI2OTUyMTgxNjEiLAoJIkltYWdlIiA6ICJpVkJPUncwS0dnb0FBQUFOU1VoRVVnQUFBNUFBQUFIQUNBWUFBQURVWFlmNkFBQUFDWEJJV1hNQUFBc1RBQUFMRXdFQW1wd1lBQUFnQUVsRVFWUjRuT3pkZVhoVFpkNDM4RytXWm0vU3BtMmE3cVV0TFJEb2tnb1BIUkYxRkVVZmxXRmtGQjEzSFJZZFVFVDBjUmdHQlJsd2cxRjA4RVVCWVJERkJaVnhBUlZrQnBRUmhsS1Fza2dwZEtON20zVExucngvdE1ta2JicFM3QURmejNYbElqbm5QdmU1a3g3T09iOXpid0F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wRW42ZjVleit1WDlHSUU5QUFBQUFFbEZUa1N1UW1DQyIsCgkiVGhlbWUiIDogIiIsCgkiVHlwZSIgOiAiZmxvdyIsCgkiVmVyc2lvbiIgOiAiIgp9Cg=="/>
    </extobj>
    <extobj name="ECB019B1-382A-4266-B25C-5B523AA43C14-7">
      <extobjdata type="ECB019B1-382A-4266-B25C-5B523AA43C14" data="ewoJIkZpbGVJZCIgOiAiMjA4NDYzNzkyNDExIiwKCSJHcm91cElkIiA6ICI2OTUyMTgxNjEiLAoJIkltYWdlIiA6ICJpVkJPUncwS0dnb0FBQUFOU1VoRVVnQUFBMzBBQUFHdUNBWUFBQUFrdjI4UkFBQUFDWEJJV1hNQUFBc1RBQUFMRXdFQW1wd1lBQUFnQUVsRVFWUjRuT3pkZVhoVFZmNC84UGROMmlRM1c5dTBUZE85dEtXRkJ0b21MQ09Lb2lqdXlxaWdqdU15TG9PZ0FtN29PTGdyd2pBNmpESWpmaEZCa1FGWFZOeEFCMFJCK1lFS1phbUFsRUkzdXRBbDZaYXRTWDUvdE1ta2Jib2hVS0R2MS9Qa0lUbjMzSE5QMGt0dVB2ZHN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d0xudy93SFI2Y2tlWGkyMnhB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98</Pages>
  <Words>58682</Words>
  <Characters>70903</Characters>
  <Lines>13</Lines>
  <Paragraphs>3</Paragraphs>
  <TotalTime>27</TotalTime>
  <ScaleCrop>false</ScaleCrop>
  <LinksUpToDate>false</LinksUpToDate>
  <CharactersWithSpaces>71656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魏</cp:lastModifiedBy>
  <cp:lastPrinted>2020-12-29T02:43:00Z</cp:lastPrinted>
  <dcterms:modified xsi:type="dcterms:W3CDTF">2023-03-15T01:58:02Z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C742B18BD0374176901C69E7F1998379</vt:lpwstr>
  </property>
</Properties>
</file>