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9D32" w14:textId="77777777" w:rsidR="00197A11" w:rsidRPr="00197A11" w:rsidRDefault="00DE3E3F" w:rsidP="00197A11">
      <w:pPr>
        <w:spacing w:line="660" w:lineRule="exact"/>
        <w:jc w:val="center"/>
        <w:rPr>
          <w:rFonts w:ascii="文星标宋" w:eastAsia="文星标宋" w:hAnsi="文星标宋" w:cs="文星标宋"/>
          <w:sz w:val="44"/>
          <w:szCs w:val="44"/>
        </w:rPr>
      </w:pPr>
      <w:r w:rsidRPr="00197A11">
        <w:rPr>
          <w:rFonts w:ascii="文星标宋" w:eastAsia="文星标宋" w:hAnsi="文星标宋" w:cs="文星标宋" w:hint="eastAsia"/>
          <w:sz w:val="44"/>
          <w:szCs w:val="44"/>
        </w:rPr>
        <w:t>关于成立天津高新区打造高端人才引领型</w:t>
      </w:r>
    </w:p>
    <w:p w14:paraId="5A135DDB" w14:textId="77777777" w:rsidR="00197A11" w:rsidRDefault="00DE3E3F" w:rsidP="00197A11">
      <w:pPr>
        <w:spacing w:line="660" w:lineRule="exact"/>
        <w:jc w:val="center"/>
        <w:rPr>
          <w:rFonts w:ascii="文星标宋" w:eastAsia="文星标宋" w:hAnsi="文星标宋" w:cs="文星标宋"/>
          <w:sz w:val="44"/>
          <w:szCs w:val="44"/>
        </w:rPr>
      </w:pPr>
      <w:r w:rsidRPr="00197A11">
        <w:rPr>
          <w:rFonts w:ascii="文星标宋" w:eastAsia="文星标宋" w:hAnsi="文星标宋" w:cs="文星标宋" w:hint="eastAsia"/>
          <w:sz w:val="44"/>
          <w:szCs w:val="44"/>
        </w:rPr>
        <w:t>特色载体推动中小企业创新创业升级</w:t>
      </w:r>
    </w:p>
    <w:p w14:paraId="34047A78" w14:textId="77777777" w:rsidR="00DE3E3F" w:rsidRPr="00197A11" w:rsidRDefault="00DE3E3F" w:rsidP="00197A11">
      <w:pPr>
        <w:spacing w:line="660" w:lineRule="exact"/>
        <w:jc w:val="center"/>
        <w:rPr>
          <w:rFonts w:ascii="文星标宋" w:eastAsia="文星标宋" w:hAnsi="文星标宋" w:cs="文星标宋"/>
          <w:spacing w:val="-8"/>
          <w:sz w:val="44"/>
          <w:szCs w:val="44"/>
        </w:rPr>
      </w:pPr>
      <w:r w:rsidRPr="00197A11">
        <w:rPr>
          <w:rFonts w:ascii="文星标宋" w:eastAsia="文星标宋" w:hAnsi="文星标宋" w:cs="文星标宋" w:hint="eastAsia"/>
          <w:sz w:val="44"/>
          <w:szCs w:val="44"/>
        </w:rPr>
        <w:t>专项工作专家咨询委员会的通知</w:t>
      </w:r>
    </w:p>
    <w:p w14:paraId="2ADB1441" w14:textId="77777777" w:rsidR="00B3593F" w:rsidRPr="00197A11" w:rsidRDefault="00B3593F" w:rsidP="00197A11">
      <w:pPr>
        <w:spacing w:line="660" w:lineRule="exact"/>
        <w:rPr>
          <w:rFonts w:ascii="仿宋_GB2312" w:hAnsi="仿宋" w:cs="仿宋_GB2312"/>
          <w:sz w:val="32"/>
          <w:szCs w:val="32"/>
        </w:rPr>
      </w:pPr>
    </w:p>
    <w:p w14:paraId="31A4C01B" w14:textId="77777777" w:rsidR="00B3593F" w:rsidRPr="00197A11" w:rsidRDefault="00B3593F" w:rsidP="00197A11">
      <w:pPr>
        <w:spacing w:line="660" w:lineRule="exact"/>
        <w:rPr>
          <w:rFonts w:ascii="仿宋_GB2312" w:hAnsi="仿宋" w:cs="仿宋_GB2312"/>
          <w:sz w:val="32"/>
          <w:szCs w:val="32"/>
        </w:rPr>
      </w:pPr>
      <w:r w:rsidRPr="00197A11">
        <w:rPr>
          <w:rFonts w:ascii="仿宋_GB2312" w:hAnsi="仿宋" w:cs="仿宋_GB2312" w:hint="eastAsia"/>
          <w:sz w:val="32"/>
          <w:szCs w:val="32"/>
        </w:rPr>
        <w:t>各有关单位：</w:t>
      </w:r>
    </w:p>
    <w:p w14:paraId="186A9205"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为促进天津高新区创新创业载体高端发展，强化智力资源支持，根据《关于支持打造特色载体推动中小企业创新创业升级工作的通知》(</w:t>
      </w:r>
      <w:proofErr w:type="gramStart"/>
      <w:r w:rsidRPr="00197A11">
        <w:rPr>
          <w:rFonts w:ascii="仿宋_GB2312" w:hAnsi="仿宋" w:cs="仿宋_GB2312" w:hint="eastAsia"/>
          <w:sz w:val="32"/>
          <w:szCs w:val="32"/>
        </w:rPr>
        <w:t>财建</w:t>
      </w:r>
      <w:r w:rsidR="00197A11" w:rsidRPr="00197A11">
        <w:rPr>
          <w:rFonts w:ascii="仿宋_GB2312" w:hint="eastAsia"/>
          <w:sz w:val="32"/>
          <w:szCs w:val="32"/>
        </w:rPr>
        <w:t>〔</w:t>
      </w:r>
      <w:r w:rsidRPr="00197A11">
        <w:rPr>
          <w:rFonts w:ascii="仿宋_GB2312" w:hAnsi="仿宋" w:cs="仿宋_GB2312" w:hint="eastAsia"/>
          <w:sz w:val="32"/>
          <w:szCs w:val="32"/>
        </w:rPr>
        <w:t>2018</w:t>
      </w:r>
      <w:r w:rsidR="00197A11" w:rsidRPr="00197A11">
        <w:rPr>
          <w:rFonts w:ascii="仿宋_GB2312" w:hint="eastAsia"/>
          <w:sz w:val="32"/>
          <w:szCs w:val="32"/>
        </w:rPr>
        <w:t>〕</w:t>
      </w:r>
      <w:proofErr w:type="gramEnd"/>
      <w:r w:rsidRPr="00197A11">
        <w:rPr>
          <w:rFonts w:ascii="仿宋_GB2312" w:hAnsi="仿宋" w:cs="仿宋_GB2312" w:hint="eastAsia"/>
          <w:sz w:val="32"/>
          <w:szCs w:val="32"/>
        </w:rPr>
        <w:t>408号)、《关于下达2018年中小企业发展专项资金预算(第一批)的通知》(</w:t>
      </w:r>
      <w:proofErr w:type="gramStart"/>
      <w:r w:rsidRPr="00197A11">
        <w:rPr>
          <w:rFonts w:ascii="仿宋_GB2312" w:hAnsi="仿宋" w:cs="仿宋_GB2312" w:hint="eastAsia"/>
          <w:sz w:val="32"/>
          <w:szCs w:val="32"/>
        </w:rPr>
        <w:t>财建</w:t>
      </w:r>
      <w:r w:rsidR="00197A11" w:rsidRPr="00197A11">
        <w:rPr>
          <w:rFonts w:ascii="仿宋_GB2312" w:hint="eastAsia"/>
          <w:sz w:val="32"/>
          <w:szCs w:val="32"/>
        </w:rPr>
        <w:t>〔</w:t>
      </w:r>
      <w:r w:rsidRPr="00197A11">
        <w:rPr>
          <w:rFonts w:ascii="仿宋_GB2312" w:hAnsi="仿宋" w:cs="仿宋_GB2312" w:hint="eastAsia"/>
          <w:sz w:val="32"/>
          <w:szCs w:val="32"/>
        </w:rPr>
        <w:t>2018</w:t>
      </w:r>
      <w:r w:rsidR="00197A11" w:rsidRPr="00197A11">
        <w:rPr>
          <w:rFonts w:ascii="仿宋_GB2312" w:hint="eastAsia"/>
          <w:sz w:val="32"/>
          <w:szCs w:val="32"/>
        </w:rPr>
        <w:t>〕</w:t>
      </w:r>
      <w:proofErr w:type="gramEnd"/>
      <w:r w:rsidRPr="00197A11">
        <w:rPr>
          <w:rFonts w:ascii="仿宋_GB2312" w:hAnsi="仿宋" w:cs="仿宋_GB2312" w:hint="eastAsia"/>
          <w:sz w:val="32"/>
          <w:szCs w:val="32"/>
        </w:rPr>
        <w:t>)557号)、《天津高新区支持打造特色载体推动中小企业创新创业升级申报书》,经高新区管委会研究决定，成立天津高新区打造高端人才引领</w:t>
      </w:r>
      <w:proofErr w:type="gramStart"/>
      <w:r w:rsidRPr="00197A11">
        <w:rPr>
          <w:rFonts w:ascii="仿宋_GB2312" w:hAnsi="仿宋" w:cs="仿宋_GB2312" w:hint="eastAsia"/>
          <w:sz w:val="32"/>
          <w:szCs w:val="32"/>
        </w:rPr>
        <w:t>型特色</w:t>
      </w:r>
      <w:proofErr w:type="gramEnd"/>
      <w:r w:rsidRPr="00197A11">
        <w:rPr>
          <w:rFonts w:ascii="仿宋_GB2312" w:hAnsi="仿宋" w:cs="仿宋_GB2312" w:hint="eastAsia"/>
          <w:sz w:val="32"/>
          <w:szCs w:val="32"/>
        </w:rPr>
        <w:t>载体推动中小企业创新创业升级（以下简称“双创升级”）专项工作专家咨询委员会。现将相关事项通知如下。</w:t>
      </w:r>
    </w:p>
    <w:p w14:paraId="4B7084DC" w14:textId="77777777" w:rsidR="00DE3E3F" w:rsidRPr="00197A11" w:rsidRDefault="00DE3E3F" w:rsidP="00197A11">
      <w:pPr>
        <w:spacing w:line="660" w:lineRule="exact"/>
        <w:ind w:firstLineChars="200" w:firstLine="640"/>
        <w:rPr>
          <w:rFonts w:ascii="黑体" w:eastAsia="黑体" w:hAnsi="黑体" w:cs="仿宋_GB2312"/>
          <w:sz w:val="32"/>
          <w:szCs w:val="32"/>
        </w:rPr>
      </w:pPr>
      <w:r w:rsidRPr="00197A11">
        <w:rPr>
          <w:rFonts w:ascii="黑体" w:eastAsia="黑体" w:hAnsi="黑体" w:cs="仿宋_GB2312" w:hint="eastAsia"/>
          <w:sz w:val="32"/>
          <w:szCs w:val="32"/>
        </w:rPr>
        <w:t>一、专家咨询委员会的性质</w:t>
      </w:r>
    </w:p>
    <w:p w14:paraId="36A5CADB"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专家咨询委员会是“双创升级”专项工作领导小组设立并聘请的专家组织，是非常设性咨询机构，为高新区打造高端人才引领</w:t>
      </w:r>
      <w:proofErr w:type="gramStart"/>
      <w:r w:rsidRPr="00197A11">
        <w:rPr>
          <w:rFonts w:ascii="仿宋_GB2312" w:hAnsi="仿宋" w:cs="仿宋_GB2312" w:hint="eastAsia"/>
          <w:sz w:val="32"/>
          <w:szCs w:val="32"/>
        </w:rPr>
        <w:t>型特色</w:t>
      </w:r>
      <w:proofErr w:type="gramEnd"/>
      <w:r w:rsidRPr="00197A11">
        <w:rPr>
          <w:rFonts w:ascii="仿宋_GB2312" w:hAnsi="仿宋" w:cs="仿宋_GB2312" w:hint="eastAsia"/>
          <w:sz w:val="32"/>
          <w:szCs w:val="32"/>
        </w:rPr>
        <w:t>载体推动中小企业创新创业升级提供决策咨询和智力支持。</w:t>
      </w:r>
    </w:p>
    <w:p w14:paraId="116412B8" w14:textId="77777777" w:rsidR="00DE3E3F" w:rsidRPr="00197A11" w:rsidRDefault="00DE3E3F" w:rsidP="00197A11">
      <w:pPr>
        <w:spacing w:line="660" w:lineRule="exact"/>
        <w:ind w:firstLineChars="200" w:firstLine="640"/>
        <w:rPr>
          <w:rFonts w:ascii="黑体" w:eastAsia="黑体" w:hAnsi="黑体" w:cs="仿宋_GB2312"/>
          <w:sz w:val="32"/>
          <w:szCs w:val="32"/>
        </w:rPr>
      </w:pPr>
      <w:r w:rsidRPr="00197A11">
        <w:rPr>
          <w:rFonts w:ascii="黑体" w:eastAsia="黑体" w:hAnsi="黑体" w:cs="仿宋_GB2312" w:hint="eastAsia"/>
          <w:sz w:val="32"/>
          <w:szCs w:val="32"/>
        </w:rPr>
        <w:t>二、专家咨询委员会的主要任务</w:t>
      </w:r>
    </w:p>
    <w:p w14:paraId="472EEA8B"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专家咨询委员会接受“双创升级”专项工作领导小组的</w:t>
      </w:r>
      <w:r w:rsidRPr="00197A11">
        <w:rPr>
          <w:rFonts w:ascii="仿宋_GB2312" w:hAnsi="仿宋" w:cs="仿宋_GB2312" w:hint="eastAsia"/>
          <w:sz w:val="32"/>
          <w:szCs w:val="32"/>
        </w:rPr>
        <w:lastRenderedPageBreak/>
        <w:t>委托，对</w:t>
      </w:r>
      <w:proofErr w:type="gramStart"/>
      <w:r w:rsidRPr="00197A11">
        <w:rPr>
          <w:rFonts w:ascii="仿宋_GB2312" w:hAnsi="仿宋" w:cs="仿宋_GB2312" w:hint="eastAsia"/>
          <w:sz w:val="32"/>
          <w:szCs w:val="32"/>
        </w:rPr>
        <w:t>关系高</w:t>
      </w:r>
      <w:proofErr w:type="gramEnd"/>
      <w:r w:rsidRPr="00197A11">
        <w:rPr>
          <w:rFonts w:ascii="仿宋_GB2312" w:hAnsi="仿宋" w:cs="仿宋_GB2312" w:hint="eastAsia"/>
          <w:sz w:val="32"/>
          <w:szCs w:val="32"/>
        </w:rPr>
        <w:t>新区特色载体建设和中小企业发展的热点难点问题，提供建设性意见和前瞻性咨询；对高新区特色载体建设和中小企业发展相关的政策措施、文件指南等，提出相关意见；对高新区特色载体建设工作进行评估评价，针对重大事项、突出问题提出建议对策</w:t>
      </w:r>
      <w:r w:rsidR="00C62FA3" w:rsidRPr="00197A11">
        <w:rPr>
          <w:rFonts w:ascii="仿宋_GB2312" w:hAnsi="仿宋" w:cs="仿宋_GB2312" w:hint="eastAsia"/>
          <w:sz w:val="32"/>
          <w:szCs w:val="32"/>
        </w:rPr>
        <w:t>等</w:t>
      </w:r>
      <w:r w:rsidRPr="00197A11">
        <w:rPr>
          <w:rFonts w:ascii="仿宋_GB2312" w:hAnsi="仿宋" w:cs="仿宋_GB2312" w:hint="eastAsia"/>
          <w:sz w:val="32"/>
          <w:szCs w:val="32"/>
        </w:rPr>
        <w:t>。</w:t>
      </w:r>
    </w:p>
    <w:p w14:paraId="6DE8BE32" w14:textId="77777777" w:rsidR="00DE3E3F" w:rsidRPr="00197A11" w:rsidRDefault="00DE3E3F" w:rsidP="00197A11">
      <w:pPr>
        <w:spacing w:line="660" w:lineRule="exact"/>
        <w:ind w:firstLineChars="200" w:firstLine="640"/>
        <w:rPr>
          <w:rFonts w:ascii="黑体" w:eastAsia="黑体" w:hAnsi="黑体" w:cs="仿宋_GB2312"/>
          <w:sz w:val="32"/>
          <w:szCs w:val="32"/>
        </w:rPr>
      </w:pPr>
      <w:r w:rsidRPr="00197A11">
        <w:rPr>
          <w:rFonts w:ascii="黑体" w:eastAsia="黑体" w:hAnsi="黑体" w:cs="仿宋_GB2312" w:hint="eastAsia"/>
          <w:sz w:val="32"/>
          <w:szCs w:val="32"/>
        </w:rPr>
        <w:t>三、专家咨询委员会人员组成</w:t>
      </w:r>
    </w:p>
    <w:p w14:paraId="14D56CFE" w14:textId="77777777" w:rsidR="00DE3E3F" w:rsidRPr="00197A11" w:rsidRDefault="00DE3E3F" w:rsidP="00197A11">
      <w:pPr>
        <w:spacing w:line="660" w:lineRule="exact"/>
        <w:ind w:firstLineChars="196" w:firstLine="630"/>
        <w:rPr>
          <w:rFonts w:ascii="仿宋_GB2312" w:hAnsi="仿宋" w:cs="仿宋_GB2312"/>
          <w:b/>
          <w:sz w:val="32"/>
          <w:szCs w:val="32"/>
        </w:rPr>
      </w:pPr>
      <w:r w:rsidRPr="00197A11">
        <w:rPr>
          <w:rFonts w:ascii="仿宋_GB2312" w:hAnsi="仿宋" w:cs="仿宋_GB2312" w:hint="eastAsia"/>
          <w:b/>
          <w:sz w:val="32"/>
          <w:szCs w:val="32"/>
        </w:rPr>
        <w:t>主任：</w:t>
      </w:r>
    </w:p>
    <w:p w14:paraId="5AC3043E"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马凤岭  天津市创投中心主任</w:t>
      </w:r>
    </w:p>
    <w:p w14:paraId="0686B2AB" w14:textId="77777777" w:rsidR="00DE3E3F" w:rsidRPr="00197A11" w:rsidRDefault="00DE3E3F" w:rsidP="00197A11">
      <w:pPr>
        <w:spacing w:line="660" w:lineRule="exact"/>
        <w:ind w:firstLineChars="196" w:firstLine="630"/>
        <w:rPr>
          <w:rFonts w:ascii="仿宋_GB2312" w:hAnsi="仿宋" w:cs="仿宋_GB2312"/>
          <w:b/>
          <w:sz w:val="32"/>
          <w:szCs w:val="32"/>
        </w:rPr>
      </w:pPr>
      <w:r w:rsidRPr="00197A11">
        <w:rPr>
          <w:rFonts w:ascii="仿宋_GB2312" w:hAnsi="仿宋" w:cs="仿宋_GB2312" w:hint="eastAsia"/>
          <w:b/>
          <w:sz w:val="32"/>
          <w:szCs w:val="32"/>
        </w:rPr>
        <w:t>委员：</w:t>
      </w:r>
    </w:p>
    <w:p w14:paraId="7880EC0F" w14:textId="77777777" w:rsidR="00DE3E3F" w:rsidRPr="00197A11" w:rsidRDefault="00DE3E3F" w:rsidP="00197A11">
      <w:pPr>
        <w:spacing w:line="660" w:lineRule="exact"/>
        <w:ind w:firstLineChars="200" w:firstLine="640"/>
        <w:rPr>
          <w:rFonts w:ascii="仿宋_GB2312" w:hAnsi="仿宋" w:cs="仿宋_GB2312"/>
          <w:sz w:val="32"/>
          <w:szCs w:val="32"/>
        </w:rPr>
      </w:pPr>
      <w:proofErr w:type="gramStart"/>
      <w:r w:rsidRPr="00197A11">
        <w:rPr>
          <w:rFonts w:ascii="仿宋_GB2312" w:hAnsi="仿宋" w:cs="仿宋_GB2312" w:hint="eastAsia"/>
          <w:sz w:val="32"/>
          <w:szCs w:val="32"/>
        </w:rPr>
        <w:t>杜传忠</w:t>
      </w:r>
      <w:proofErr w:type="gramEnd"/>
      <w:r w:rsidRPr="00197A11">
        <w:rPr>
          <w:rFonts w:ascii="仿宋_GB2312" w:hAnsi="仿宋" w:cs="仿宋_GB2312" w:hint="eastAsia"/>
          <w:sz w:val="32"/>
          <w:szCs w:val="32"/>
        </w:rPr>
        <w:t xml:space="preserve">  南开大学经济与社会发展研究院产业经济研究所所长、教授、博士生导师</w:t>
      </w:r>
    </w:p>
    <w:p w14:paraId="04ED0685"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施亮星  天津大学宣怀学院院长、教授、博士生导师</w:t>
      </w:r>
    </w:p>
    <w:p w14:paraId="141FD497"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武文生  长城企业战略研究所总经理</w:t>
      </w:r>
    </w:p>
    <w:p w14:paraId="242B6825"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刘佳薇  长城企业战略研究所合伙人、总监</w:t>
      </w:r>
    </w:p>
    <w:p w14:paraId="30470B44"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于  良  天津智慧城市研究院执行院长</w:t>
      </w:r>
    </w:p>
    <w:p w14:paraId="3087EF8B"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杨晓非  天津国科火炬孵化器研究中心主任</w:t>
      </w:r>
    </w:p>
    <w:p w14:paraId="69FD780B"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王</w:t>
      </w:r>
      <w:proofErr w:type="gramStart"/>
      <w:r w:rsidRPr="00197A11">
        <w:rPr>
          <w:rFonts w:ascii="仿宋_GB2312" w:hAnsi="仿宋" w:cs="仿宋_GB2312" w:hint="eastAsia"/>
          <w:sz w:val="32"/>
          <w:szCs w:val="32"/>
        </w:rPr>
        <w:t>世</w:t>
      </w:r>
      <w:proofErr w:type="gramEnd"/>
      <w:r w:rsidRPr="00197A11">
        <w:rPr>
          <w:rFonts w:ascii="仿宋_GB2312" w:hAnsi="仿宋" w:cs="仿宋_GB2312" w:hint="eastAsia"/>
          <w:sz w:val="32"/>
          <w:szCs w:val="32"/>
        </w:rPr>
        <w:t>崇</w:t>
      </w:r>
      <w:r w:rsidR="00D17E56">
        <w:rPr>
          <w:rFonts w:ascii="仿宋_GB2312" w:hAnsi="仿宋" w:cs="仿宋_GB2312" w:hint="eastAsia"/>
          <w:sz w:val="32"/>
          <w:szCs w:val="32"/>
        </w:rPr>
        <w:t xml:space="preserve">  </w:t>
      </w:r>
      <w:r w:rsidRPr="00197A11">
        <w:rPr>
          <w:rFonts w:ascii="仿宋_GB2312" w:hAnsi="仿宋" w:cs="仿宋_GB2312" w:hint="eastAsia"/>
          <w:sz w:val="32"/>
          <w:szCs w:val="32"/>
        </w:rPr>
        <w:t>工业和信息化部赛迪工业和信息化研究院副研究员、博士</w:t>
      </w:r>
    </w:p>
    <w:p w14:paraId="3BF321F3" w14:textId="77777777" w:rsidR="00DE3E3F" w:rsidRPr="00197A11" w:rsidRDefault="00DE3E3F" w:rsidP="00197A11">
      <w:pPr>
        <w:spacing w:line="660" w:lineRule="exact"/>
        <w:ind w:firstLineChars="200" w:firstLine="640"/>
        <w:rPr>
          <w:rFonts w:ascii="仿宋_GB2312" w:hAnsi="仿宋" w:cs="仿宋_GB2312"/>
          <w:sz w:val="32"/>
          <w:szCs w:val="32"/>
        </w:rPr>
      </w:pPr>
      <w:r w:rsidRPr="00197A11">
        <w:rPr>
          <w:rFonts w:ascii="仿宋_GB2312" w:hAnsi="仿宋" w:cs="仿宋_GB2312" w:hint="eastAsia"/>
          <w:sz w:val="32"/>
          <w:szCs w:val="32"/>
        </w:rPr>
        <w:t>专家咨询委员会的日常组织和协同工作由天津智识信息技术有限公司负责。</w:t>
      </w:r>
    </w:p>
    <w:p w14:paraId="796A4CF4" w14:textId="77777777" w:rsidR="00197A11" w:rsidRDefault="00197A11" w:rsidP="00197A11">
      <w:pPr>
        <w:pStyle w:val="2"/>
        <w:spacing w:line="440" w:lineRule="exact"/>
        <w:ind w:right="-193"/>
        <w:rPr>
          <w:sz w:val="28"/>
          <w:szCs w:val="28"/>
        </w:rPr>
      </w:pPr>
    </w:p>
    <w:p w14:paraId="7E171922" w14:textId="77777777" w:rsidR="00197A11" w:rsidRDefault="00197A11" w:rsidP="00197A11">
      <w:pPr>
        <w:pStyle w:val="2"/>
        <w:spacing w:line="440" w:lineRule="exact"/>
        <w:ind w:right="-193"/>
        <w:rPr>
          <w:sz w:val="28"/>
          <w:szCs w:val="28"/>
        </w:rPr>
      </w:pPr>
    </w:p>
    <w:p w14:paraId="572C2E27" w14:textId="77777777" w:rsidR="00197A11" w:rsidRDefault="00197A11" w:rsidP="00197A11">
      <w:pPr>
        <w:pStyle w:val="2"/>
        <w:spacing w:line="440" w:lineRule="exact"/>
        <w:ind w:right="-193"/>
        <w:rPr>
          <w:sz w:val="28"/>
          <w:szCs w:val="28"/>
        </w:rPr>
      </w:pPr>
    </w:p>
    <w:p w14:paraId="54F3714C" w14:textId="77777777" w:rsidR="00D17E56" w:rsidRDefault="00D17E56" w:rsidP="00197A11">
      <w:pPr>
        <w:pStyle w:val="2"/>
        <w:spacing w:line="440" w:lineRule="exact"/>
        <w:ind w:right="-193"/>
        <w:rPr>
          <w:sz w:val="28"/>
          <w:szCs w:val="28"/>
        </w:rPr>
      </w:pPr>
    </w:p>
    <w:p w14:paraId="1A4E565D" w14:textId="77777777" w:rsidR="00D17E56" w:rsidRPr="00D17E56" w:rsidRDefault="00D17E56" w:rsidP="00D17E56">
      <w:pPr>
        <w:pStyle w:val="2"/>
        <w:spacing w:line="440" w:lineRule="exact"/>
        <w:ind w:right="-193" w:firstLineChars="1450" w:firstLine="4640"/>
        <w:rPr>
          <w:rFonts w:ascii="仿宋_GB2312" w:eastAsia="仿宋_GB2312"/>
          <w:sz w:val="32"/>
          <w:szCs w:val="32"/>
        </w:rPr>
      </w:pPr>
      <w:r w:rsidRPr="00D17E56">
        <w:rPr>
          <w:rFonts w:ascii="仿宋_GB2312" w:eastAsia="仿宋_GB2312" w:hint="eastAsia"/>
          <w:sz w:val="32"/>
          <w:szCs w:val="32"/>
        </w:rPr>
        <w:t>2019年3月15日</w:t>
      </w:r>
    </w:p>
    <w:p w14:paraId="4A53FAE3" w14:textId="77777777" w:rsidR="00D17E56" w:rsidRPr="00D17E56" w:rsidRDefault="00D17E56" w:rsidP="00D17E56">
      <w:pPr>
        <w:pStyle w:val="2"/>
        <w:spacing w:line="440" w:lineRule="exact"/>
        <w:ind w:right="-193" w:firstLineChars="200" w:firstLine="640"/>
        <w:rPr>
          <w:rFonts w:ascii="仿宋_GB2312" w:eastAsia="仿宋_GB2312"/>
          <w:sz w:val="32"/>
          <w:szCs w:val="32"/>
        </w:rPr>
      </w:pPr>
      <w:r w:rsidRPr="00D17E56">
        <w:rPr>
          <w:rFonts w:ascii="仿宋_GB2312" w:eastAsia="仿宋_GB2312" w:hint="eastAsia"/>
          <w:sz w:val="32"/>
          <w:szCs w:val="32"/>
        </w:rPr>
        <w:t>（此件主动公开）</w:t>
      </w:r>
    </w:p>
    <w:p w14:paraId="12CCACC9" w14:textId="77777777" w:rsidR="00D17E56" w:rsidRDefault="00D17E56" w:rsidP="00197A11">
      <w:pPr>
        <w:pStyle w:val="2"/>
        <w:spacing w:line="440" w:lineRule="exact"/>
        <w:ind w:right="-193"/>
        <w:rPr>
          <w:sz w:val="28"/>
          <w:szCs w:val="28"/>
        </w:rPr>
      </w:pPr>
    </w:p>
    <w:p w14:paraId="78C6589A" w14:textId="223F6F9D" w:rsidR="00856C31" w:rsidRPr="00197A11" w:rsidRDefault="00856C31" w:rsidP="008C67AB">
      <w:pPr>
        <w:ind w:firstLineChars="100" w:firstLine="300"/>
      </w:pPr>
    </w:p>
    <w:sectPr w:rsidR="00856C31" w:rsidRPr="00197A11" w:rsidSect="00197A11">
      <w:footerReference w:type="default" r:id="rId6"/>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FAB2" w14:textId="77777777" w:rsidR="00F20880" w:rsidRDefault="00F20880" w:rsidP="00E660B2">
      <w:r>
        <w:separator/>
      </w:r>
    </w:p>
  </w:endnote>
  <w:endnote w:type="continuationSeparator" w:id="0">
    <w:p w14:paraId="24407689" w14:textId="77777777" w:rsidR="00F20880" w:rsidRDefault="00F20880" w:rsidP="00E6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2290"/>
      <w:docPartObj>
        <w:docPartGallery w:val="Page Numbers (Bottom of Page)"/>
        <w:docPartUnique/>
      </w:docPartObj>
    </w:sdtPr>
    <w:sdtContent>
      <w:p w14:paraId="4EECDAE0" w14:textId="77777777" w:rsidR="00186FA4" w:rsidRDefault="00E660B2">
        <w:pPr>
          <w:pStyle w:val="a3"/>
          <w:jc w:val="center"/>
        </w:pPr>
        <w:r>
          <w:fldChar w:fldCharType="begin"/>
        </w:r>
        <w:r w:rsidR="00536D23">
          <w:instrText xml:space="preserve"> PAGE   \* MERGEFORMAT </w:instrText>
        </w:r>
        <w:r>
          <w:fldChar w:fldCharType="separate"/>
        </w:r>
        <w:r w:rsidR="009546BA" w:rsidRPr="009546BA">
          <w:rPr>
            <w:noProof/>
            <w:lang w:val="zh-CN"/>
          </w:rPr>
          <w:t>3</w:t>
        </w:r>
        <w:r>
          <w:fldChar w:fldCharType="end"/>
        </w:r>
      </w:p>
    </w:sdtContent>
  </w:sdt>
  <w:p w14:paraId="6F95A35B" w14:textId="77777777" w:rsidR="004A07CE"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FF7B" w14:textId="77777777" w:rsidR="00F20880" w:rsidRDefault="00F20880" w:rsidP="00E660B2">
      <w:r>
        <w:separator/>
      </w:r>
    </w:p>
  </w:footnote>
  <w:footnote w:type="continuationSeparator" w:id="0">
    <w:p w14:paraId="1B2CE1DD" w14:textId="77777777" w:rsidR="00F20880" w:rsidRDefault="00F20880" w:rsidP="00E66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E3F"/>
    <w:rsid w:val="001734BD"/>
    <w:rsid w:val="00197A11"/>
    <w:rsid w:val="00536D23"/>
    <w:rsid w:val="005B1F04"/>
    <w:rsid w:val="00856C31"/>
    <w:rsid w:val="008C67AB"/>
    <w:rsid w:val="009546BA"/>
    <w:rsid w:val="00986B81"/>
    <w:rsid w:val="00B3593F"/>
    <w:rsid w:val="00C62FA3"/>
    <w:rsid w:val="00D17E56"/>
    <w:rsid w:val="00D96DB7"/>
    <w:rsid w:val="00DE3E3F"/>
    <w:rsid w:val="00DE4E28"/>
    <w:rsid w:val="00E660B2"/>
    <w:rsid w:val="00F2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FC5DB"/>
  <w15:docId w15:val="{85DE161C-EF65-4EAD-9150-503D80CC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E3F"/>
    <w:pPr>
      <w:widowControl w:val="0"/>
      <w:jc w:val="both"/>
    </w:pPr>
    <w:rPr>
      <w:rFonts w:ascii="Times New Roman" w:eastAsia="仿宋_GB2312" w:hAnsi="Times New Roman" w:cstheme="majorBidi"/>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3E3F"/>
    <w:pPr>
      <w:tabs>
        <w:tab w:val="center" w:pos="4153"/>
        <w:tab w:val="right" w:pos="8306"/>
      </w:tabs>
      <w:snapToGrid w:val="0"/>
      <w:jc w:val="left"/>
    </w:pPr>
    <w:rPr>
      <w:sz w:val="18"/>
      <w:szCs w:val="18"/>
    </w:rPr>
  </w:style>
  <w:style w:type="character" w:customStyle="1" w:styleId="a4">
    <w:name w:val="页脚 字符"/>
    <w:basedOn w:val="a0"/>
    <w:link w:val="a3"/>
    <w:uiPriority w:val="99"/>
    <w:rsid w:val="00DE3E3F"/>
    <w:rPr>
      <w:rFonts w:ascii="Times New Roman" w:eastAsia="仿宋_GB2312" w:hAnsi="Times New Roman" w:cstheme="majorBidi"/>
      <w:sz w:val="18"/>
      <w:szCs w:val="18"/>
    </w:rPr>
  </w:style>
  <w:style w:type="paragraph" w:styleId="a5">
    <w:name w:val="header"/>
    <w:basedOn w:val="a"/>
    <w:link w:val="a6"/>
    <w:uiPriority w:val="99"/>
    <w:semiHidden/>
    <w:unhideWhenUsed/>
    <w:rsid w:val="00B359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B3593F"/>
    <w:rPr>
      <w:rFonts w:ascii="Times New Roman" w:eastAsia="仿宋_GB2312" w:hAnsi="Times New Roman" w:cstheme="majorBidi"/>
      <w:sz w:val="18"/>
      <w:szCs w:val="18"/>
    </w:rPr>
  </w:style>
  <w:style w:type="paragraph" w:styleId="2">
    <w:name w:val="Body Text 2"/>
    <w:basedOn w:val="a"/>
    <w:link w:val="20"/>
    <w:uiPriority w:val="99"/>
    <w:unhideWhenUsed/>
    <w:rsid w:val="00197A11"/>
    <w:pPr>
      <w:spacing w:after="120" w:line="480" w:lineRule="auto"/>
    </w:pPr>
    <w:rPr>
      <w:rFonts w:eastAsia="宋体" w:cs="Times New Roman"/>
      <w:sz w:val="21"/>
      <w:szCs w:val="24"/>
    </w:rPr>
  </w:style>
  <w:style w:type="character" w:customStyle="1" w:styleId="20">
    <w:name w:val="正文文本 2 字符"/>
    <w:basedOn w:val="a0"/>
    <w:link w:val="2"/>
    <w:uiPriority w:val="99"/>
    <w:rsid w:val="00197A11"/>
    <w:rPr>
      <w:rFonts w:ascii="Times New Roman" w:eastAsia="宋体" w:hAnsi="Times New Roman" w:cs="Times New Roman"/>
      <w:szCs w:val="24"/>
    </w:rPr>
  </w:style>
  <w:style w:type="paragraph" w:styleId="a7">
    <w:name w:val="Date"/>
    <w:basedOn w:val="a"/>
    <w:next w:val="a"/>
    <w:link w:val="a8"/>
    <w:uiPriority w:val="99"/>
    <w:semiHidden/>
    <w:unhideWhenUsed/>
    <w:rsid w:val="00D17E56"/>
    <w:pPr>
      <w:ind w:leftChars="2500" w:left="100"/>
    </w:pPr>
  </w:style>
  <w:style w:type="character" w:customStyle="1" w:styleId="a8">
    <w:name w:val="日期 字符"/>
    <w:basedOn w:val="a0"/>
    <w:link w:val="a7"/>
    <w:uiPriority w:val="99"/>
    <w:semiHidden/>
    <w:rsid w:val="00D17E56"/>
    <w:rPr>
      <w:rFonts w:ascii="Times New Roman" w:eastAsia="仿宋_GB2312" w:hAnsi="Times New Roman" w:cstheme="majorBid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Words>
  <Characters>698</Characters>
  <Application>Microsoft Office Word</Application>
  <DocSecurity>0</DocSecurity>
  <Lines>5</Lines>
  <Paragraphs>1</Paragraphs>
  <ScaleCrop>false</ScaleCrop>
  <Company>MS</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天野</cp:lastModifiedBy>
  <cp:revision>8</cp:revision>
  <dcterms:created xsi:type="dcterms:W3CDTF">2019-03-15T08:06:00Z</dcterms:created>
  <dcterms:modified xsi:type="dcterms:W3CDTF">2022-08-10T09:19:00Z</dcterms:modified>
</cp:coreProperties>
</file>