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天津市滨海新区国民经济和社会发展</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第十五个</w:t>
      </w:r>
      <w:bookmarkStart w:id="0" w:name="_Toc31784"/>
      <w:r>
        <w:rPr>
          <w:rFonts w:hint="default" w:ascii="Times New Roman" w:hAnsi="Times New Roman" w:eastAsia="方正小标宋简体" w:cs="Times New Roman"/>
          <w:b w:val="0"/>
          <w:bCs w:val="0"/>
          <w:color w:val="000000"/>
          <w:sz w:val="44"/>
          <w:szCs w:val="44"/>
        </w:rPr>
        <w:t>五年规划纲要</w:t>
      </w:r>
      <w:bookmarkEnd w:id="0"/>
    </w:p>
    <w:p>
      <w:pPr>
        <w:keepLines w:val="0"/>
        <w:widowControl w:val="0"/>
        <w:kinsoku/>
        <w:wordWrap/>
        <w:topLinePunct w:val="0"/>
        <w:autoSpaceDE/>
        <w:autoSpaceDN/>
        <w:bidi w:val="0"/>
        <w:adjustRightInd/>
        <w:snapToGrid/>
        <w:spacing w:line="560" w:lineRule="exact"/>
        <w:rPr>
          <w:rFonts w:hint="default" w:ascii="Times New Roman" w:hAnsi="Times New Roman" w:eastAsia="黑体" w:cs="Times New Roman"/>
          <w:b w:val="0"/>
          <w:bCs w:val="0"/>
          <w:sz w:val="32"/>
          <w:szCs w:val="32"/>
        </w:rPr>
      </w:pPr>
    </w:p>
    <w:p>
      <w:pPr>
        <w:pStyle w:val="13"/>
        <w:keepLines w:val="0"/>
        <w:widowControl w:val="0"/>
        <w:kinsoku/>
        <w:wordWrap/>
        <w:overflowPunct w:val="0"/>
        <w:topLinePunct w:val="0"/>
        <w:autoSpaceDE/>
        <w:autoSpaceDN/>
        <w:bidi w:val="0"/>
        <w:adjustRightInd/>
        <w:snapToGrid/>
        <w:spacing w:line="560" w:lineRule="exact"/>
        <w:ind w:firstLine="640"/>
        <w:rPr>
          <w:rFonts w:hint="default" w:ascii="Times New Roman" w:hAnsi="Times New Roman" w:eastAsia="仿宋_GB2312" w:cs="Times New Roman"/>
          <w:b w:val="0"/>
          <w:bCs w:val="0"/>
          <w:snapToGrid w:val="0"/>
          <w:color w:val="000000"/>
          <w:kern w:val="32"/>
          <w:sz w:val="32"/>
        </w:rPr>
      </w:pPr>
      <w:r>
        <w:rPr>
          <w:rFonts w:hint="default" w:ascii="Times New Roman" w:hAnsi="Times New Roman" w:eastAsia="仿宋_GB2312" w:cs="Times New Roman"/>
          <w:b w:val="0"/>
          <w:bCs w:val="0"/>
          <w:snapToGrid w:val="0"/>
          <w:color w:val="000000"/>
          <w:kern w:val="32"/>
          <w:sz w:val="32"/>
        </w:rPr>
        <w:t>“十五五”时期是滨海新区高标准打造中国式现代化“滨城”样板夯实基础、全面发力的关键时期。要深刻把握“十五五”时期的重要地位，牢牢把握滨海新区在支撑高质量发展动力源、建设社会主义现代化大都市中承担的使命和责任，锚定战略目标、接续努力奋斗，不断开创各项事业发展新局面。</w:t>
      </w:r>
      <w:bookmarkStart w:id="1" w:name="_Toc31217"/>
      <w:bookmarkStart w:id="2" w:name="_Toc10949"/>
      <w:bookmarkStart w:id="3" w:name="_Toc1146"/>
      <w:bookmarkStart w:id="4" w:name="_Toc25180"/>
    </w:p>
    <w:p>
      <w:pPr>
        <w:pStyle w:val="3"/>
        <w:keepLines w:val="0"/>
        <w:pageBreakBefore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5" w:name="_Toc219296970"/>
      <w:r>
        <w:rPr>
          <w:rFonts w:hint="default" w:ascii="Times New Roman" w:hAnsi="Times New Roman" w:cs="Times New Roman"/>
          <w:b w:val="0"/>
          <w:bCs w:val="0"/>
        </w:rPr>
        <w:t>第一章</w:t>
      </w:r>
      <w:bookmarkStart w:id="6" w:name="_Toc21866"/>
      <w:bookmarkStart w:id="7" w:name="_Toc4889"/>
      <w:bookmarkStart w:id="8" w:name="_Toc11355"/>
      <w:bookmarkStart w:id="9" w:name="_Toc18665"/>
      <w:r>
        <w:rPr>
          <w:rFonts w:hint="default" w:ascii="Times New Roman" w:hAnsi="Times New Roman" w:cs="Times New Roman"/>
          <w:b w:val="0"/>
          <w:bCs w:val="0"/>
        </w:rPr>
        <w:t xml:space="preserve">  基本实现社会主义现代化新征程良好开局</w:t>
      </w:r>
      <w:bookmarkEnd w:id="5"/>
      <w:bookmarkEnd w:id="6"/>
      <w:bookmarkEnd w:id="7"/>
      <w:bookmarkEnd w:id="8"/>
      <w:bookmarkEnd w:id="9"/>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0" w:name="_Toc219296971"/>
      <w:r>
        <w:rPr>
          <w:rFonts w:hint="default" w:ascii="Times New Roman" w:hAnsi="Times New Roman" w:cs="Times New Roman"/>
          <w:b w:val="0"/>
          <w:bCs w:val="0"/>
          <w:color w:val="000000"/>
        </w:rPr>
        <w:t>第一节  发展成就</w:t>
      </w:r>
      <w:bookmarkEnd w:id="10"/>
      <w:bookmarkStart w:id="11" w:name="_Toc1443674819"/>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2" w:name="_Toc1543915136"/>
      <w:bookmarkStart w:id="13" w:name="OLE_LINK39"/>
      <w:r>
        <w:rPr>
          <w:rFonts w:hint="default" w:ascii="Times New Roman" w:hAnsi="Times New Roman" w:eastAsia="仿宋_GB2312" w:cs="Times New Roman"/>
          <w:b w:val="0"/>
          <w:bCs w:val="0"/>
          <w:snapToGrid w:val="0"/>
          <w:color w:val="000000"/>
          <w:kern w:val="32"/>
          <w:sz w:val="32"/>
          <w:szCs w:val="36"/>
        </w:rPr>
        <w:t>“十四五”时期，滨海新区坚持以习近平新时代中国特色社会主义思想为指导，全面贯彻落实党的二十大和二十届历次全会精神，</w:t>
      </w:r>
      <w:bookmarkStart w:id="14" w:name="_Hlk219208968"/>
      <w:r>
        <w:rPr>
          <w:rFonts w:hint="default" w:ascii="Times New Roman" w:hAnsi="Times New Roman" w:eastAsia="仿宋_GB2312" w:cs="Times New Roman"/>
          <w:b w:val="0"/>
          <w:bCs w:val="0"/>
          <w:snapToGrid w:val="0"/>
          <w:color w:val="000000"/>
          <w:kern w:val="32"/>
          <w:sz w:val="32"/>
          <w:szCs w:val="36"/>
        </w:rPr>
        <w:t>深入学习贯彻习近平总书记视察天津重要讲话精神和对天津工作一系列重要指示要求</w:t>
      </w:r>
      <w:bookmarkEnd w:id="14"/>
      <w:r>
        <w:rPr>
          <w:rFonts w:hint="default" w:ascii="Times New Roman" w:hAnsi="Times New Roman" w:eastAsia="仿宋_GB2312" w:cs="Times New Roman"/>
          <w:b w:val="0"/>
          <w:bCs w:val="0"/>
          <w:snapToGrid w:val="0"/>
          <w:color w:val="000000"/>
          <w:kern w:val="32"/>
          <w:sz w:val="32"/>
          <w:szCs w:val="36"/>
        </w:rPr>
        <w:t>，以“一个战略牵引”“四个善作善成”和加强党的建设重要要求为指引，在市委、市政府坚强领导下，有效应对新冠肺炎疫情冲击和系列风险挑战，全面落实国家进一步支持滨海新区高质量发展的若干政策措施，扎实实施高质量发展“十项行动”，深化科技创新、产业焕新、城市更新，有效盘活存量、做优增量、提升质量，经济社会发展取得显著成就，中国式现代化“滨城”样板建设开创新局面。</w:t>
      </w:r>
      <w:bookmarkEnd w:id="11"/>
      <w:bookmarkEnd w:id="12"/>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5" w:name="OLE_LINK18"/>
      <w:r>
        <w:rPr>
          <w:rFonts w:hint="default" w:ascii="Times New Roman" w:hAnsi="Times New Roman" w:eastAsia="仿宋_GB2312" w:cs="Times New Roman"/>
          <w:b w:val="0"/>
          <w:bCs w:val="0"/>
          <w:snapToGrid w:val="0"/>
          <w:color w:val="000000"/>
          <w:kern w:val="32"/>
          <w:sz w:val="32"/>
          <w:szCs w:val="36"/>
        </w:rPr>
        <w:t>发展质效稳步提升，支撑引领作用持续彰显。经济实现质的有效提升和量的合理增长，地区生产总值年均增长4.7%，占全市比重较“十三五”末提升1个百分点。产业结构持续优化，</w:t>
      </w:r>
      <w:bookmarkStart w:id="16" w:name="OLE_LINK20"/>
      <w:r>
        <w:rPr>
          <w:rFonts w:hint="default" w:ascii="Times New Roman" w:hAnsi="Times New Roman" w:eastAsia="仿宋_GB2312" w:cs="Times New Roman"/>
          <w:b w:val="0"/>
          <w:bCs w:val="0"/>
          <w:snapToGrid w:val="0"/>
          <w:color w:val="000000"/>
          <w:kern w:val="32"/>
          <w:sz w:val="32"/>
          <w:szCs w:val="36"/>
        </w:rPr>
        <w:t>三次产业占比0.4:44.1:55.5，第三产业比重提升0.9个百分点，对经济增长贡献率达68.6%。有效投资持续扩大，累计完成固定资产投资超万亿元，工业投资占比达48.7%，</w:t>
      </w:r>
      <w:bookmarkEnd w:id="16"/>
      <w:r>
        <w:rPr>
          <w:rFonts w:hint="default" w:ascii="Times New Roman" w:hAnsi="Times New Roman" w:eastAsia="仿宋_GB2312" w:cs="Times New Roman"/>
          <w:b w:val="0"/>
          <w:bCs w:val="0"/>
          <w:snapToGrid w:val="0"/>
          <w:color w:val="000000"/>
          <w:kern w:val="32"/>
          <w:sz w:val="32"/>
          <w:szCs w:val="36"/>
        </w:rPr>
        <w:t>中石化大乙烯、联想智慧创新产业园、“两化”搬迁等一批百亿级项目建成投产。</w:t>
      </w:r>
      <w:bookmarkEnd w:id="15"/>
      <w:r>
        <w:rPr>
          <w:rFonts w:hint="default" w:ascii="Times New Roman" w:hAnsi="Times New Roman" w:eastAsia="仿宋_GB2312" w:cs="Times New Roman"/>
          <w:b w:val="0"/>
          <w:bCs w:val="0"/>
          <w:snapToGrid w:val="0"/>
          <w:color w:val="000000"/>
          <w:kern w:val="32"/>
          <w:sz w:val="32"/>
          <w:szCs w:val="36"/>
        </w:rPr>
        <w:t>人民生活水平稳步提升，城镇居民人均可支配收入年均增长5.2%，高于经济增速。</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服务重大国家战略走深走实，战略合作功能区能级持续提升。坚持政府和市场双向发力，形成深度融入和积极引入协同发展格局。承接非首都功能疏解成效明显，央企一级总部中国资源循环集团落户，中海油、中石化、国家管网等一批央企在津布局，一批高质量项目落地。滨海—中关村科技园累计注册企业超6500家。协同创新和产业协作持续深化，7家单位纳入京津冀国家技术创新中心实验室和创新中心体系，12家单位纳入京津冀概念验证平台清单，京津冀新一代信息技术应用创新集群等入选国家先进制造业集群名单。能源物资保供能力持续增强，</w:t>
      </w:r>
      <w:bookmarkStart w:id="17" w:name="OLE_LINK12"/>
      <w:r>
        <w:rPr>
          <w:rFonts w:hint="default" w:ascii="Times New Roman" w:hAnsi="Times New Roman" w:eastAsia="仿宋_GB2312" w:cs="Times New Roman"/>
          <w:b w:val="0"/>
          <w:bCs w:val="0"/>
          <w:snapToGrid w:val="0"/>
          <w:color w:val="000000"/>
          <w:kern w:val="32"/>
          <w:sz w:val="32"/>
          <w:szCs w:val="36"/>
        </w:rPr>
        <w:t>油气产量当量突破4000万吨，</w:t>
      </w:r>
      <w:bookmarkStart w:id="18" w:name="OLE_LINK23"/>
      <w:r>
        <w:rPr>
          <w:rFonts w:hint="default" w:ascii="Times New Roman" w:hAnsi="Times New Roman" w:eastAsia="仿宋_GB2312" w:cs="Times New Roman"/>
          <w:b w:val="0"/>
          <w:bCs w:val="0"/>
          <w:snapToGrid w:val="0"/>
          <w:color w:val="000000"/>
          <w:kern w:val="32"/>
          <w:sz w:val="32"/>
          <w:szCs w:val="36"/>
        </w:rPr>
        <w:t>6条主要天然气外输管道总输送能力达564亿立方米/年，</w:t>
      </w:r>
      <w:bookmarkEnd w:id="18"/>
      <w:bookmarkStart w:id="19" w:name="OLE_LINK24"/>
      <w:r>
        <w:rPr>
          <w:rFonts w:hint="default" w:ascii="Times New Roman" w:hAnsi="Times New Roman" w:eastAsia="仿宋_GB2312" w:cs="Times New Roman"/>
          <w:b w:val="0"/>
          <w:bCs w:val="0"/>
          <w:snapToGrid w:val="0"/>
          <w:color w:val="000000"/>
          <w:kern w:val="32"/>
          <w:sz w:val="32"/>
          <w:szCs w:val="36"/>
        </w:rPr>
        <w:t>粮食仓储能力超200万吨</w:t>
      </w:r>
      <w:bookmarkEnd w:id="19"/>
      <w:r>
        <w:rPr>
          <w:rFonts w:hint="default" w:ascii="Times New Roman" w:hAnsi="Times New Roman" w:eastAsia="仿宋_GB2312" w:cs="Times New Roman"/>
          <w:b w:val="0"/>
          <w:bCs w:val="0"/>
          <w:snapToGrid w:val="0"/>
          <w:color w:val="000000"/>
          <w:kern w:val="32"/>
          <w:sz w:val="32"/>
          <w:szCs w:val="36"/>
        </w:rPr>
        <w:t>，</w:t>
      </w:r>
      <w:bookmarkStart w:id="20" w:name="OLE_LINK32"/>
      <w:r>
        <w:rPr>
          <w:rFonts w:hint="default" w:ascii="Times New Roman" w:hAnsi="Times New Roman" w:eastAsia="仿宋_GB2312" w:cs="Times New Roman"/>
          <w:b w:val="0"/>
          <w:bCs w:val="0"/>
          <w:snapToGrid w:val="0"/>
          <w:color w:val="000000"/>
          <w:kern w:val="32"/>
          <w:sz w:val="32"/>
          <w:szCs w:val="36"/>
        </w:rPr>
        <w:t>冷链仓储能力超120万吨</w:t>
      </w:r>
      <w:bookmarkEnd w:id="20"/>
      <w:r>
        <w:rPr>
          <w:rFonts w:hint="default" w:ascii="Times New Roman" w:hAnsi="Times New Roman" w:eastAsia="仿宋_GB2312" w:cs="Times New Roman"/>
          <w:b w:val="0"/>
          <w:bCs w:val="0"/>
          <w:snapToGrid w:val="0"/>
          <w:color w:val="000000"/>
          <w:kern w:val="32"/>
          <w:sz w:val="32"/>
          <w:szCs w:val="36"/>
        </w:rPr>
        <w:t>。</w:t>
      </w:r>
      <w:bookmarkEnd w:id="17"/>
      <w:r>
        <w:rPr>
          <w:rFonts w:hint="default" w:ascii="Times New Roman" w:hAnsi="Times New Roman" w:eastAsia="仿宋_GB2312" w:cs="Times New Roman"/>
          <w:b w:val="0"/>
          <w:bCs w:val="0"/>
          <w:snapToGrid w:val="0"/>
          <w:color w:val="000000"/>
          <w:kern w:val="32"/>
          <w:sz w:val="32"/>
          <w:szCs w:val="36"/>
        </w:rPr>
        <w:t>一体化同城化深度推进，津潍高铁、京滨城际加快建设，津石高速主线段、塘承高速完工通车。天津港雄安新区服务中心、京津协同港口服务中心揭牌成立。1586项高频服务事项“跨省通办”，230个自贸事项“同事同标”，231项“京津冀+雄安”事项自助办理。“一带一路”战略支点作用持续强化，与欧洲、中亚、中东国家的互联互通格局基本形成，中欧（亚）班列与天津港远洋航线双向贯通，华北区域中欧班列集结中心获批建设。天津港集装箱吞吐量达2400万标准箱，天津滨海国际机场旅客吞吐量达1986万人次。</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新质生产力加速培育，现代化产业体系加快构建。坚持以科技创新推动产业创新，形成“八大主导产业、八大服务业、八大未来产业”的现代化产业体系。战略科技力量持续增强，高标准建设“滨城科创区”，“一核一区一带N园”布局基本形成。华苑科技园纳入天开高教科创园“多点”布局。建成7家全国重点实验室、4家海河实验室、3个国家级创新中心。创新策源能力实现突破，打造了新一代超级计算机、飞腾麒麟“PK体系”等滨海版“国之重器”。人工合成淀粉、全球首套海上高温烟气余热发电装置等一批创新成果不断涌现，累计获国家科技奖14项。创新主体不断壮大，</w:t>
      </w:r>
      <w:bookmarkStart w:id="21" w:name="OLE_LINK35"/>
      <w:r>
        <w:rPr>
          <w:rFonts w:hint="default" w:ascii="Times New Roman" w:hAnsi="Times New Roman" w:eastAsia="仿宋_GB2312" w:cs="Times New Roman"/>
          <w:b w:val="0"/>
          <w:bCs w:val="0"/>
          <w:snapToGrid w:val="0"/>
          <w:color w:val="000000"/>
          <w:kern w:val="32"/>
          <w:sz w:val="32"/>
          <w:szCs w:val="36"/>
        </w:rPr>
        <w:t>国家高新技术企业达到5000家，较“十三五”末增长57.7%；国家科技型中小企业突破6000家，较“十三五”末增长95.6%；</w:t>
      </w:r>
      <w:bookmarkEnd w:id="21"/>
      <w:r>
        <w:rPr>
          <w:rFonts w:hint="default" w:ascii="Times New Roman" w:hAnsi="Times New Roman" w:eastAsia="仿宋_GB2312" w:cs="Times New Roman"/>
          <w:b w:val="0"/>
          <w:bCs w:val="0"/>
          <w:snapToGrid w:val="0"/>
          <w:color w:val="000000"/>
          <w:kern w:val="32"/>
          <w:sz w:val="32"/>
          <w:szCs w:val="36"/>
        </w:rPr>
        <w:t>专精特新“小巨人”、国家级单项冠军企业合计156家，较“十三五”末增长5.5倍。产业基础更加雄厚，建成9个国家新型工业化产业示范基地。打造绿色石化、汽车和新能源汽车、电子信息等5个千亿级工业产业集群和现代物流、商务服务、产业金融等5个千亿级生产性服务业产业集群，12条重点产业链产值占规上工业总产值比重约85%。获评国家人工智能创新应用先导区，生物医药产业入选国家战略性新兴产业集群，战略性新兴产业增加值年均增长3.1%。租赁规模近2.4万亿元，保持全国领先地位。商业保理资产总额、保理融资款余额居全国前列。数字化绿色化转型深入推进，获批全国中小企业数字化转型城市试点、全国制造业新型技术改造城市试点，获批智能制造、高新技术、循环经济等领域国家级标准化试点11个，打造国家级5G工厂名录企业13家、卓越级智能工厂12家、先进级智能工厂98家，获批国家级绿色园区2个、国家级绿色工厂81家。</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改革开放不断深化，</w:t>
      </w:r>
      <w:bookmarkStart w:id="22" w:name="_Hlk203608853"/>
      <w:r>
        <w:rPr>
          <w:rFonts w:hint="default" w:ascii="Times New Roman" w:hAnsi="Times New Roman" w:eastAsia="仿宋_GB2312" w:cs="Times New Roman"/>
          <w:b w:val="0"/>
          <w:bCs w:val="0"/>
          <w:snapToGrid w:val="0"/>
          <w:color w:val="000000"/>
          <w:kern w:val="32"/>
          <w:sz w:val="32"/>
          <w:szCs w:val="36"/>
        </w:rPr>
        <w:t>发展内生动力持续释放。重点领域和关键环节改革持续推进。</w:t>
      </w:r>
      <w:bookmarkEnd w:id="22"/>
      <w:r>
        <w:rPr>
          <w:rFonts w:hint="default" w:ascii="Times New Roman" w:hAnsi="Times New Roman" w:eastAsia="仿宋_GB2312" w:cs="Times New Roman"/>
          <w:b w:val="0"/>
          <w:bCs w:val="0"/>
          <w:snapToGrid w:val="0"/>
          <w:color w:val="000000"/>
          <w:kern w:val="32"/>
          <w:sz w:val="32"/>
          <w:szCs w:val="36"/>
        </w:rPr>
        <w:t>行政管理体制改革持续深化，实施开发区法定机构改革，机构、薪酬、人员总额管理体系不断健全。实施提升政务工作和服务质效扁平化改革。要素市场化改革深入推进，实施“滨城”户籍新政，稳妥推进农村集体经营性建设用地入市试点，</w:t>
      </w:r>
      <w:bookmarkStart w:id="23" w:name="OLE_LINK21"/>
      <w:r>
        <w:rPr>
          <w:rFonts w:hint="default" w:ascii="Times New Roman" w:hAnsi="Times New Roman" w:eastAsia="仿宋_GB2312" w:cs="Times New Roman"/>
          <w:b w:val="0"/>
          <w:bCs w:val="0"/>
          <w:snapToGrid w:val="0"/>
          <w:color w:val="000000"/>
          <w:kern w:val="32"/>
          <w:sz w:val="32"/>
          <w:szCs w:val="36"/>
        </w:rPr>
        <w:t>技术合同年成交额突破800亿元</w:t>
      </w:r>
      <w:bookmarkEnd w:id="23"/>
      <w:r>
        <w:rPr>
          <w:rFonts w:hint="default" w:ascii="Times New Roman" w:hAnsi="Times New Roman" w:eastAsia="仿宋_GB2312" w:cs="Times New Roman"/>
          <w:b w:val="0"/>
          <w:bCs w:val="0"/>
          <w:snapToGrid w:val="0"/>
          <w:color w:val="000000"/>
          <w:kern w:val="32"/>
          <w:sz w:val="32"/>
          <w:szCs w:val="36"/>
        </w:rPr>
        <w:t>，</w:t>
      </w:r>
      <w:bookmarkStart w:id="24" w:name="OLE_LINK22"/>
      <w:r>
        <w:rPr>
          <w:rFonts w:hint="default" w:ascii="Times New Roman" w:hAnsi="Times New Roman" w:eastAsia="仿宋_GB2312" w:cs="Times New Roman"/>
          <w:b w:val="0"/>
          <w:bCs w:val="0"/>
          <w:snapToGrid w:val="0"/>
          <w:color w:val="000000"/>
          <w:kern w:val="32"/>
          <w:sz w:val="32"/>
          <w:szCs w:val="36"/>
        </w:rPr>
        <w:t>北方大数据交易中心交易总额达12亿元</w:t>
      </w:r>
      <w:bookmarkEnd w:id="24"/>
      <w:r>
        <w:rPr>
          <w:rFonts w:hint="default" w:ascii="Times New Roman" w:hAnsi="Times New Roman" w:eastAsia="仿宋_GB2312" w:cs="Times New Roman"/>
          <w:b w:val="0"/>
          <w:bCs w:val="0"/>
          <w:snapToGrid w:val="0"/>
          <w:color w:val="000000"/>
          <w:kern w:val="32"/>
          <w:sz w:val="32"/>
          <w:szCs w:val="36"/>
        </w:rPr>
        <w:t>。经营主体改革不断推进，累计完成区属国企混改出让出清543户。持续开展民营经济高质量发展“春笋行动”，</w:t>
      </w:r>
      <w:bookmarkStart w:id="25" w:name="OLE_LINK25"/>
      <w:r>
        <w:rPr>
          <w:rFonts w:hint="default" w:ascii="Times New Roman" w:hAnsi="Times New Roman" w:eastAsia="仿宋_GB2312" w:cs="Times New Roman"/>
          <w:b w:val="0"/>
          <w:bCs w:val="0"/>
          <w:snapToGrid w:val="0"/>
          <w:color w:val="000000"/>
          <w:kern w:val="32"/>
          <w:sz w:val="32"/>
          <w:szCs w:val="36"/>
        </w:rPr>
        <w:t>经营主体超35万户，较“十三五”末增长25.1%。</w:t>
      </w:r>
      <w:bookmarkEnd w:id="25"/>
      <w:r>
        <w:rPr>
          <w:rFonts w:hint="default" w:ascii="Times New Roman" w:hAnsi="Times New Roman" w:eastAsia="仿宋_GB2312" w:cs="Times New Roman"/>
          <w:b w:val="0"/>
          <w:bCs w:val="0"/>
          <w:snapToGrid w:val="0"/>
          <w:color w:val="000000"/>
          <w:kern w:val="32"/>
          <w:sz w:val="32"/>
          <w:szCs w:val="36"/>
        </w:rPr>
        <w:t>累计新设外资企业1690家，实际利用外资累计达220.9亿美元。营商环境持续优化，获评全国社会信用体系建设示范区、首批国家知识产权强市建设示范和保护高地建设城市，升级打造“一个平台统服务”，营商环境综合指数位居国家级新区前列。制度型开放稳步扩大，自贸区制度创新指数连续多年位列全国前三，制度创新措施累计达706项，52项经验案例在全国复制推广，出台“双首个”数据跨境政策体系。“保税+”业态持续拓展，获批我国北方地区首个保税燃料油加注地方牌照、首个保税LNG加注试点资质。开放平台能级实现跃升，以自贸试验区、综合保税区、港口枢纽为核心的多层次开放体系逐步完善。</w:t>
      </w:r>
      <w:bookmarkStart w:id="26" w:name="OLE_LINK8"/>
      <w:r>
        <w:rPr>
          <w:rFonts w:hint="default" w:ascii="Times New Roman" w:hAnsi="Times New Roman" w:eastAsia="仿宋_GB2312" w:cs="Times New Roman"/>
          <w:b w:val="0"/>
          <w:bCs w:val="0"/>
          <w:snapToGrid w:val="0"/>
          <w:color w:val="000000"/>
          <w:kern w:val="32"/>
          <w:sz w:val="32"/>
          <w:szCs w:val="36"/>
        </w:rPr>
        <w:t>中埃·泰达苏伊士经贸合作区建设持续推进，累计落地企业200家，投资额超30亿美元。</w:t>
      </w:r>
      <w:bookmarkEnd w:id="26"/>
      <w:r>
        <w:rPr>
          <w:rFonts w:hint="default" w:ascii="Times New Roman" w:hAnsi="Times New Roman" w:eastAsia="仿宋_GB2312" w:cs="Times New Roman"/>
          <w:b w:val="0"/>
          <w:bCs w:val="0"/>
          <w:snapToGrid w:val="0"/>
          <w:color w:val="000000"/>
          <w:kern w:val="32"/>
          <w:sz w:val="32"/>
          <w:szCs w:val="36"/>
        </w:rPr>
        <w:t>上海合作组织峰会成果丰硕，中国—上海合作组织数字经济合作先行区落地滨海新区。</w:t>
      </w:r>
    </w:p>
    <w:bookmarkEnd w:id="13"/>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民生福祉持续增进，高品质生活成色更足。统筹推进民心工程和民生工作，人民群众获得感更加殷实、幸福指数不断跃升，获批全国一刻钟便民生活圈全域推进先行区试点，建成区覆盖率达100%。就业质量显著提升，累计新增就业49.05万人，城镇调查失业率持续控制在4.6%左右，高校毕业生就业率连续五年保持在90%以上。教育资源优质均衡发展，</w:t>
      </w:r>
      <w:bookmarkStart w:id="27" w:name="OLE_LINK26"/>
      <w:r>
        <w:rPr>
          <w:rFonts w:hint="default" w:ascii="Times New Roman" w:hAnsi="Times New Roman" w:eastAsia="仿宋_GB2312" w:cs="Times New Roman"/>
          <w:b w:val="0"/>
          <w:bCs w:val="0"/>
          <w:snapToGrid w:val="0"/>
          <w:color w:val="000000"/>
          <w:kern w:val="32"/>
          <w:sz w:val="32"/>
          <w:szCs w:val="36"/>
        </w:rPr>
        <w:t>新建中小学、幼儿园54所，新增学位5万余个，</w:t>
      </w:r>
      <w:bookmarkEnd w:id="27"/>
      <w:r>
        <w:rPr>
          <w:rFonts w:hint="default" w:ascii="Times New Roman" w:hAnsi="Times New Roman" w:eastAsia="仿宋_GB2312" w:cs="Times New Roman"/>
          <w:b w:val="0"/>
          <w:bCs w:val="0"/>
          <w:snapToGrid w:val="0"/>
          <w:color w:val="000000"/>
          <w:kern w:val="32"/>
          <w:sz w:val="32"/>
          <w:szCs w:val="36"/>
        </w:rPr>
        <w:t>引进耀华中学滨城学校等优质教育资源。医疗卫生资源扩容提质，新增滨海新区中医医院等5所三级医院、第五中心医院急诊医学科等2个国家级专科，人均预期寿命提高到83.85岁。社会保障持续增进，养老服务总床位超1.2万张，</w:t>
      </w:r>
      <w:bookmarkStart w:id="28" w:name="OLE_LINK27"/>
      <w:r>
        <w:rPr>
          <w:rFonts w:hint="default" w:ascii="Times New Roman" w:hAnsi="Times New Roman" w:eastAsia="仿宋_GB2312" w:cs="Times New Roman"/>
          <w:b w:val="0"/>
          <w:bCs w:val="0"/>
          <w:snapToGrid w:val="0"/>
          <w:color w:val="000000"/>
          <w:kern w:val="32"/>
          <w:sz w:val="32"/>
          <w:szCs w:val="36"/>
        </w:rPr>
        <w:t>千人口托位数达到4.7个，</w:t>
      </w:r>
      <w:bookmarkEnd w:id="28"/>
      <w:bookmarkStart w:id="29" w:name="OLE_LINK36"/>
      <w:r>
        <w:rPr>
          <w:rFonts w:hint="default" w:ascii="Times New Roman" w:hAnsi="Times New Roman" w:eastAsia="仿宋_GB2312" w:cs="Times New Roman"/>
          <w:b w:val="0"/>
          <w:bCs w:val="0"/>
          <w:snapToGrid w:val="0"/>
          <w:color w:val="000000"/>
          <w:kern w:val="32"/>
          <w:sz w:val="32"/>
          <w:szCs w:val="36"/>
        </w:rPr>
        <w:t>基本医疗保险参保人数超223万人</w:t>
      </w:r>
      <w:bookmarkEnd w:id="29"/>
      <w:r>
        <w:rPr>
          <w:rFonts w:hint="default" w:ascii="Times New Roman" w:hAnsi="Times New Roman" w:eastAsia="仿宋_GB2312" w:cs="Times New Roman"/>
          <w:b w:val="0"/>
          <w:bCs w:val="0"/>
          <w:snapToGrid w:val="0"/>
          <w:color w:val="000000"/>
          <w:kern w:val="32"/>
          <w:sz w:val="32"/>
          <w:szCs w:val="36"/>
        </w:rPr>
        <w:t>。文化魅力持续彰显，蝉联全国文明城区荣誉称号，获评国家公共文化服务体系示范区，</w:t>
      </w:r>
      <w:r>
        <w:rPr>
          <w:rFonts w:hint="eastAsia" w:eastAsia="仿宋_GB2312" w:cs="Times New Roman"/>
          <w:b w:val="0"/>
          <w:bCs w:val="0"/>
          <w:snapToGrid w:val="0"/>
          <w:color w:val="000000"/>
          <w:kern w:val="32"/>
          <w:sz w:val="32"/>
          <w:szCs w:val="36"/>
          <w:lang w:eastAsia="zh-CN"/>
        </w:rPr>
        <w:t>中新天津</w:t>
      </w:r>
      <w:r>
        <w:rPr>
          <w:rFonts w:hint="default" w:ascii="Times New Roman" w:hAnsi="Times New Roman" w:eastAsia="仿宋_GB2312" w:cs="Times New Roman"/>
          <w:b w:val="0"/>
          <w:bCs w:val="0"/>
          <w:snapToGrid w:val="0"/>
          <w:color w:val="000000"/>
          <w:kern w:val="32"/>
          <w:sz w:val="32"/>
          <w:szCs w:val="36"/>
        </w:rPr>
        <w:t>生态城获批国家文化出口基地，智慧山文化创意产业园获评国家级文化产业示范园区。天津茱莉亚学院、国家海洋博物馆等成为文化交流新名片。天津国际邮轮母港出入境旅客接待量位居北方第一、全国第二。</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城市功能品质稳步提升，城乡共同繁荣加速迈进。践行人民城市理念，打造城市高水平生活样板区。城市综合承载能力持续增强，</w:t>
      </w:r>
      <w:bookmarkStart w:id="30" w:name="OLE_LINK9"/>
      <w:r>
        <w:rPr>
          <w:rFonts w:hint="default" w:ascii="Times New Roman" w:hAnsi="Times New Roman" w:eastAsia="仿宋_GB2312" w:cs="Times New Roman"/>
          <w:b w:val="0"/>
          <w:bCs w:val="0"/>
          <w:snapToGrid w:val="0"/>
          <w:color w:val="000000"/>
          <w:kern w:val="32"/>
          <w:sz w:val="32"/>
          <w:szCs w:val="36"/>
        </w:rPr>
        <w:t>“一核两副双港五大开发区多组团</w:t>
      </w:r>
      <w:bookmarkEnd w:id="30"/>
      <w:r>
        <w:rPr>
          <w:rFonts w:hint="default" w:ascii="Times New Roman" w:hAnsi="Times New Roman" w:eastAsia="仿宋_GB2312" w:cs="Times New Roman"/>
          <w:b w:val="0"/>
          <w:bCs w:val="0"/>
          <w:snapToGrid w:val="0"/>
          <w:color w:val="000000"/>
          <w:kern w:val="32"/>
          <w:sz w:val="32"/>
          <w:szCs w:val="36"/>
        </w:rPr>
        <w:t>”的空间发展格局不断完善。“十大有效投资工程”扎实推进，实施重大标志性工程和“小而美”民生项目470个。城乡融合发展成效显著，获批国家现代农业产业园、第三批国家农业绿色发展先行区、第三批国家农村产业融合发展示范园。全面完成农村集体产权制度改革。绿色转型加快推进，PM</w:t>
      </w:r>
      <w:r>
        <w:rPr>
          <w:rFonts w:hint="default" w:ascii="Times New Roman" w:hAnsi="Times New Roman" w:eastAsia="仿宋_GB2312" w:cs="Times New Roman"/>
          <w:b w:val="0"/>
          <w:bCs w:val="0"/>
          <w:snapToGrid w:val="0"/>
          <w:color w:val="000000"/>
          <w:kern w:val="32"/>
          <w:sz w:val="32"/>
          <w:szCs w:val="36"/>
          <w:vertAlign w:val="subscript"/>
        </w:rPr>
        <w:t>2.5</w:t>
      </w:r>
      <w:r>
        <w:rPr>
          <w:rFonts w:hint="default" w:ascii="Times New Roman" w:hAnsi="Times New Roman" w:eastAsia="仿宋_GB2312" w:cs="Times New Roman"/>
          <w:b w:val="0"/>
          <w:bCs w:val="0"/>
          <w:snapToGrid w:val="0"/>
          <w:color w:val="000000"/>
          <w:kern w:val="32"/>
          <w:sz w:val="32"/>
          <w:szCs w:val="36"/>
        </w:rPr>
        <w:t>年均浓度下降至35μg/m</w:t>
      </w:r>
      <w:r>
        <w:rPr>
          <w:rFonts w:hint="default" w:ascii="Times New Roman" w:hAnsi="Times New Roman" w:eastAsia="仿宋_GB2312" w:cs="Times New Roman"/>
          <w:b w:val="0"/>
          <w:bCs w:val="0"/>
          <w:snapToGrid w:val="0"/>
          <w:color w:val="000000"/>
          <w:kern w:val="32"/>
          <w:sz w:val="32"/>
          <w:szCs w:val="36"/>
          <w:vertAlign w:val="superscript"/>
        </w:rPr>
        <w:t>3</w:t>
      </w:r>
      <w:r>
        <w:rPr>
          <w:rFonts w:hint="default" w:ascii="Times New Roman" w:hAnsi="Times New Roman" w:eastAsia="仿宋_GB2312" w:cs="Times New Roman"/>
          <w:b w:val="0"/>
          <w:bCs w:val="0"/>
          <w:snapToGrid w:val="0"/>
          <w:color w:val="000000"/>
          <w:kern w:val="32"/>
          <w:sz w:val="32"/>
          <w:szCs w:val="36"/>
        </w:rPr>
        <w:t>，近岸海域优良水质比例达73.3%，重点建设用地安全利用率100%。碳交易市场总成交量358.5万吨。市场化绿电交易规模累计达95.7亿千瓦时，中新天津生态城全域绿电应用示范区揭牌。中新天津生态城国家绿色发展示范区升级版加快建设。治理效能不断提升，平安滨海建设扎实有力，城市韧性安全持续增强，党建引领基层治理深入推进，获批第三批全国法治政府建设示范区、全国市域社会治理现代化试点合格城市和国家智能社会治理综合实验基地、全国首批禁毒示范城市。</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31" w:name="_Toc219296972"/>
      <w:r>
        <w:rPr>
          <w:rFonts w:hint="default" w:ascii="Times New Roman" w:hAnsi="Times New Roman" w:cs="Times New Roman"/>
          <w:b w:val="0"/>
          <w:bCs w:val="0"/>
          <w:color w:val="000000"/>
        </w:rPr>
        <w:t>第二节  面临形势</w:t>
      </w:r>
      <w:bookmarkEnd w:id="31"/>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32" w:name="_Toc10847"/>
      <w:bookmarkStart w:id="33" w:name="_Toc11789"/>
      <w:bookmarkStart w:id="34" w:name="_Toc16567"/>
      <w:bookmarkStart w:id="35" w:name="_Toc9781"/>
      <w:r>
        <w:rPr>
          <w:rFonts w:hint="default" w:ascii="Times New Roman" w:hAnsi="Times New Roman" w:eastAsia="仿宋_GB2312" w:cs="Times New Roman"/>
          <w:b w:val="0"/>
          <w:bCs w:val="0"/>
          <w:snapToGrid w:val="0"/>
          <w:color w:val="000000"/>
          <w:kern w:val="32"/>
          <w:sz w:val="32"/>
          <w:szCs w:val="36"/>
        </w:rPr>
        <w:t>“十五五”时期发展环境面临深刻复杂变化，战略机遇与风险挑战并存，要更好把握危与机的辩证关系，更加积极有为地应对挑战、推动发展。</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从国际看，世界百年变局加速演进，国际力量对比深刻调整，全球南方国家群体性崛起，成为国际秩序变革的关键力量，同时霸权主义和强权政治威胁上升，大国博弈更加复杂激烈；新一轮科技革命和产业变革加速突破，全球科技创新密集活跃，集成电路、人工智能等领域技术加速迭代、融合应用，深刻重塑产业形态和经济格局；世界经济增长动能不足，单边主义、保护主义抬头，国际经济贸易秩序遇到严峻挑战，经济全球化面临深度调整。</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从国内看，我国经济基础稳、优势多、韧性强、潜能大，长期向好的支撑条件和基本趋势没有变，中国特色社会主义制度优势、超大规模市场优势、完整产业体系优势、丰富人才资源优势更加彰显。同时，发展条件和增长模式都在发生深刻变化，供强需弱矛盾突出，全国统一大市场建设存在卡点堵点。新旧动能转换任务艰巨，传统动能支撑带动作用减弱，因地制宜发展新质生产力要求更高。民生保障存在短板弱项，就业和居民收入增长压力较大，人口结构变化给经济发展、社会治理等提出新课题，需要加快形成经济发展和民生改善的良性循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从全市看，</w:t>
      </w:r>
      <w:bookmarkStart w:id="36" w:name="_Toc29481"/>
      <w:bookmarkStart w:id="37" w:name="_Toc12370"/>
      <w:bookmarkStart w:id="38" w:name="_Toc30379"/>
      <w:r>
        <w:rPr>
          <w:rFonts w:hint="default" w:ascii="Times New Roman" w:hAnsi="Times New Roman" w:eastAsia="仿宋_GB2312" w:cs="Times New Roman"/>
          <w:b w:val="0"/>
          <w:bCs w:val="0"/>
          <w:snapToGrid w:val="0"/>
          <w:color w:val="000000"/>
          <w:kern w:val="32"/>
          <w:sz w:val="32"/>
          <w:szCs w:val="36"/>
        </w:rPr>
        <w:t>天津进入全面建设社会主义现代化大都市承上启下的关键阶段</w:t>
      </w:r>
      <w:bookmarkEnd w:id="36"/>
      <w:bookmarkEnd w:id="37"/>
      <w:bookmarkEnd w:id="38"/>
      <w:r>
        <w:rPr>
          <w:rFonts w:hint="default" w:ascii="Times New Roman" w:hAnsi="Times New Roman" w:eastAsia="仿宋_GB2312" w:cs="Times New Roman"/>
          <w:b w:val="0"/>
          <w:bCs w:val="0"/>
          <w:snapToGrid w:val="0"/>
          <w:color w:val="000000"/>
          <w:kern w:val="32"/>
          <w:sz w:val="32"/>
          <w:szCs w:val="36"/>
        </w:rPr>
        <w:t>。习近平总书记在视察天津重要讲话中提出“四个善作善成”的重要要求，为天津推动高质量发展指明了前进方向、注入了强劲动力。天津拥有京津冀协同发展、港产城融合发展、教科人一体化发展及区位、产业、城乡空间资源和公共服务等核心优势，承担着“努力使京津冀成为中国式现代化建设的先行区、示范区”新的历史定位和使命任务。上海合作组织峰会为天津深化对外开放合作拓展新的空间，发展态势持续向好、发展动能持续增强。同时，经济稳定向好的基础仍需巩固，投资和消费潜力亟待挖掘，绿色低碳转型压力较大，统筹发展和安全的任务依然艰巨繁重。</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从全区看，滨海新区进入高质量发展的跃升突破期。国务院出台进一步支持滨海新区高质量发展的若干政策措施，赋予了滨海新区新的重大任务和历史使命，在长期发展中，滨海新区积累了产业集聚优势、扩大开放优势、载体空间优势，进入了国家重大战略纵深推进、新质生产力加快形成、改革开放攻坚突破、城市功能品质优化提升、重大风险防范化解全面巩固的关键阶段。同时，滨海新区的发展仍面临不少困难挑战，产业结构有待优化，民营经济发展活力不足，有效需求还未充分释放，港产城融合发展还不充分，存量资产资源规模较大，统筹发展和安全任务艰巨。</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综合来看，“十五五”时期，滨海新区必须准确把握重大机遇的深刻内涵，保持战略定力，增强发展信心，发扬斗争精神，树立底线思维，善作善成、久久为功，在天津全面建设社会主义现代化大都市新征程上谱写“滨城”新篇章，在京津冀协同发展中作出滨海新贡献。</w:t>
      </w:r>
    </w:p>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39" w:name="_Toc219296973"/>
      <w:r>
        <w:rPr>
          <w:rFonts w:hint="default" w:ascii="Times New Roman" w:hAnsi="Times New Roman" w:cs="Times New Roman"/>
          <w:b w:val="0"/>
          <w:bCs w:val="0"/>
        </w:rPr>
        <w:t>第二章  谱写中国式现代化“滨城”新篇章的总体要求</w:t>
      </w:r>
      <w:bookmarkEnd w:id="32"/>
      <w:bookmarkEnd w:id="33"/>
      <w:bookmarkEnd w:id="34"/>
      <w:bookmarkEnd w:id="35"/>
      <w:bookmarkEnd w:id="39"/>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40" w:name="_Toc219296974"/>
      <w:bookmarkStart w:id="41" w:name="_Toc19380"/>
      <w:bookmarkStart w:id="42" w:name="_Toc2312"/>
      <w:bookmarkStart w:id="43" w:name="_Toc23347"/>
      <w:bookmarkStart w:id="44" w:name="_Toc16477"/>
      <w:r>
        <w:rPr>
          <w:rFonts w:hint="default" w:ascii="Times New Roman" w:hAnsi="Times New Roman" w:cs="Times New Roman"/>
          <w:b w:val="0"/>
          <w:bCs w:val="0"/>
          <w:color w:val="000000"/>
        </w:rPr>
        <w:t>第一节  指导思想</w:t>
      </w:r>
      <w:bookmarkEnd w:id="40"/>
      <w:bookmarkEnd w:id="41"/>
      <w:bookmarkEnd w:id="42"/>
      <w:bookmarkEnd w:id="43"/>
      <w:bookmarkEnd w:id="44"/>
    </w:p>
    <w:p>
      <w:pPr>
        <w:keepLines w:val="0"/>
        <w:widowControl w:val="0"/>
        <w:kinsoku/>
        <w:wordWrap/>
        <w:overflowPunct w:val="0"/>
        <w:topLinePunct w:val="0"/>
        <w:autoSpaceDE/>
        <w:autoSpaceDN/>
        <w:bidi w:val="0"/>
        <w:adjustRightInd/>
        <w:snapToGrid/>
        <w:spacing w:line="560" w:lineRule="exact"/>
        <w:ind w:firstLine="632" w:firstLineChars="200"/>
        <w:rPr>
          <w:rStyle w:val="17"/>
          <w:rFonts w:hint="default" w:ascii="Times New Roman" w:hAnsi="Times New Roman" w:eastAsia="仿宋_GB2312" w:cs="Times New Roman"/>
          <w:b w:val="0"/>
          <w:bCs w:val="0"/>
          <w:snapToGrid w:val="0"/>
          <w:color w:val="000000"/>
          <w:spacing w:val="-2"/>
          <w:kern w:val="32"/>
          <w:sz w:val="32"/>
          <w:szCs w:val="36"/>
        </w:rPr>
      </w:pPr>
      <w:r>
        <w:rPr>
          <w:rFonts w:hint="default" w:ascii="Times New Roman" w:hAnsi="Times New Roman" w:eastAsia="仿宋_GB2312" w:cs="Times New Roman"/>
          <w:b w:val="0"/>
          <w:bCs w:val="0"/>
          <w:snapToGrid w:val="0"/>
          <w:color w:val="000000"/>
          <w:spacing w:val="-2"/>
          <w:kern w:val="32"/>
          <w:sz w:val="32"/>
          <w:szCs w:val="36"/>
        </w:rPr>
        <w:t>坚持马克思列宁主义、毛泽东思想、邓小平理论、“三个代表”重要思想、科学发展观，全面贯彻习近平新时代中国特色社会主义思想，深入贯彻党的二十大和二十届历次全会精神，全面落实习近平总书记视察天津重要讲话精神和对天津工作一系列重要指示要求，聚焦经济建设这一中心工作和高质量发展这一首要任务，完整准确全面贯彻新发展理念，积极服务和融入构建新发展格局，坚持稳中求进、提质增效的工作总基调，以推进京津冀协同发展为战略牵引，深入实施高质量发展“十项行动”，着力抓“三新”促“三量”，深化港产城融合发展，统筹推进“制造强区、创新立区、消费旺区、改革活区、开放兴区、环境优区、安全固区”，持之以恒推进全面从严治党，推动经济实现质的有效提升和量的合理增长，推动人的全面发展，推动共同富裕迈出更大步伐，为二</w:t>
      </w:r>
      <w:r>
        <w:rPr>
          <w:rFonts w:hint="default" w:ascii="Times New Roman" w:hAnsi="Times New Roman" w:cs="Times New Roman"/>
          <w:b w:val="0"/>
          <w:bCs w:val="0"/>
          <w:snapToGrid w:val="0"/>
          <w:color w:val="000000"/>
          <w:spacing w:val="-2"/>
          <w:kern w:val="32"/>
          <w:sz w:val="32"/>
          <w:szCs w:val="36"/>
        </w:rPr>
        <w:t>〇</w:t>
      </w:r>
      <w:r>
        <w:rPr>
          <w:rFonts w:hint="default" w:ascii="Times New Roman" w:hAnsi="Times New Roman" w:eastAsia="仿宋_GB2312" w:cs="Times New Roman"/>
          <w:b w:val="0"/>
          <w:bCs w:val="0"/>
          <w:snapToGrid w:val="0"/>
          <w:color w:val="000000"/>
          <w:spacing w:val="-2"/>
          <w:kern w:val="32"/>
          <w:sz w:val="32"/>
          <w:szCs w:val="36"/>
        </w:rPr>
        <w:t>三五年高标准打造中国式现代化“滨城”样板奠定坚实基础。</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45" w:name="_Toc219296975"/>
      <w:bookmarkStart w:id="46" w:name="_Toc8814"/>
      <w:bookmarkStart w:id="47" w:name="_Toc19281"/>
      <w:bookmarkStart w:id="48" w:name="_Toc13371"/>
      <w:bookmarkStart w:id="49" w:name="_Toc25682"/>
      <w:r>
        <w:rPr>
          <w:rFonts w:hint="default" w:ascii="Times New Roman" w:hAnsi="Times New Roman" w:cs="Times New Roman"/>
          <w:b w:val="0"/>
          <w:bCs w:val="0"/>
          <w:color w:val="000000"/>
        </w:rPr>
        <w:t>第二节  基本原则</w:t>
      </w:r>
      <w:bookmarkEnd w:id="45"/>
      <w:bookmarkEnd w:id="46"/>
      <w:bookmarkEnd w:id="47"/>
      <w:bookmarkEnd w:id="48"/>
      <w:bookmarkEnd w:id="49"/>
    </w:p>
    <w:p>
      <w:pPr>
        <w:pStyle w:val="8"/>
        <w:keepLines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rPr>
          <w:rStyle w:val="29"/>
          <w:rFonts w:hint="default" w:ascii="Times New Roman" w:hAnsi="Times New Roman" w:eastAsia="仿宋_GB2312" w:cs="Times New Roman"/>
          <w:b w:val="0"/>
          <w:bCs w:val="0"/>
          <w:snapToGrid w:val="0"/>
          <w:color w:val="000000"/>
          <w:kern w:val="32"/>
          <w:szCs w:val="36"/>
        </w:rPr>
      </w:pPr>
      <w:bookmarkStart w:id="50" w:name="_Toc15584"/>
      <w:bookmarkStart w:id="51" w:name="_Toc9650"/>
      <w:bookmarkStart w:id="52" w:name="_Toc1160"/>
      <w:bookmarkStart w:id="53" w:name="_Toc13090"/>
      <w:r>
        <w:rPr>
          <w:rFonts w:hint="default" w:ascii="Times New Roman" w:hAnsi="Times New Roman" w:eastAsia="仿宋_GB2312" w:cs="Times New Roman"/>
          <w:b w:val="0"/>
          <w:bCs w:val="0"/>
          <w:snapToGrid w:val="0"/>
          <w:color w:val="000000"/>
          <w:kern w:val="32"/>
          <w:sz w:val="32"/>
          <w:szCs w:val="36"/>
        </w:rPr>
        <w:t>——坚持党的全面领导。</w:t>
      </w:r>
      <w:r>
        <w:rPr>
          <w:rStyle w:val="29"/>
          <w:rFonts w:hint="default" w:ascii="Times New Roman" w:hAnsi="Times New Roman" w:eastAsia="仿宋_GB2312" w:cs="Times New Roman"/>
          <w:b w:val="0"/>
          <w:bCs w:val="0"/>
          <w:snapToGrid w:val="0"/>
          <w:color w:val="000000"/>
          <w:kern w:val="32"/>
          <w:szCs w:val="36"/>
        </w:rPr>
        <w:t>坚决维护党中央权威和集中统一领导，坚持把党的领导贯穿经济社会发展各方面全过程，为全区经济社会发展提供根本保证。</w:t>
      </w:r>
    </w:p>
    <w:p>
      <w:pPr>
        <w:pStyle w:val="8"/>
        <w:keepLines w:val="0"/>
        <w:widowControl w:val="0"/>
        <w:kinsoku/>
        <w:wordWrap/>
        <w:overflowPunct w:val="0"/>
        <w:topLinePunct w:val="0"/>
        <w:autoSpaceDE/>
        <w:autoSpaceDN/>
        <w:bidi w:val="0"/>
        <w:adjustRightInd/>
        <w:snapToGrid/>
        <w:spacing w:before="0" w:beforeAutospacing="0" w:after="0" w:afterAutospacing="0" w:line="560" w:lineRule="exact"/>
        <w:ind w:firstLine="640" w:firstLineChars="200"/>
        <w:jc w:val="both"/>
        <w:rPr>
          <w:rStyle w:val="29"/>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napToGrid w:val="0"/>
          <w:color w:val="000000"/>
          <w:kern w:val="32"/>
          <w:sz w:val="32"/>
          <w:szCs w:val="36"/>
        </w:rPr>
        <w:t>——坚持人民至上。</w:t>
      </w:r>
      <w:r>
        <w:rPr>
          <w:rStyle w:val="29"/>
          <w:rFonts w:hint="default" w:ascii="Times New Roman" w:hAnsi="Times New Roman" w:eastAsia="仿宋_GB2312" w:cs="Times New Roman"/>
          <w:b w:val="0"/>
          <w:bCs w:val="0"/>
          <w:snapToGrid w:val="0"/>
          <w:color w:val="000000"/>
          <w:kern w:val="32"/>
          <w:szCs w:val="36"/>
        </w:rPr>
        <w:t>尊重人民主体地位，维护人民根本利益，促进社会公平正义，持续改善民生福祉，扎实推进共同富裕，推动经济和社会协调发展、物质文明和精神文明相得益彰，让现代化建设成果更多更公平惠及全区人民。</w:t>
      </w:r>
    </w:p>
    <w:p>
      <w:pPr>
        <w:keepLines w:val="0"/>
        <w:widowControl w:val="0"/>
        <w:kinsoku/>
        <w:wordWrap/>
        <w:overflowPunct w:val="0"/>
        <w:topLinePunct w:val="0"/>
        <w:autoSpaceDE/>
        <w:autoSpaceDN/>
        <w:bidi w:val="0"/>
        <w:adjustRightInd/>
        <w:snapToGrid/>
        <w:spacing w:line="560" w:lineRule="exact"/>
        <w:ind w:firstLine="640" w:firstLineChars="200"/>
        <w:rPr>
          <w:rStyle w:val="29"/>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napToGrid w:val="0"/>
          <w:color w:val="000000"/>
          <w:kern w:val="32"/>
          <w:sz w:val="32"/>
          <w:szCs w:val="36"/>
        </w:rPr>
        <w:t>——坚持高质量发展。</w:t>
      </w:r>
      <w:r>
        <w:rPr>
          <w:rStyle w:val="29"/>
          <w:rFonts w:hint="default" w:ascii="Times New Roman" w:hAnsi="Times New Roman" w:eastAsia="仿宋_GB2312" w:cs="Times New Roman"/>
          <w:b w:val="0"/>
          <w:bCs w:val="0"/>
          <w:snapToGrid w:val="0"/>
          <w:color w:val="000000"/>
          <w:kern w:val="32"/>
          <w:szCs w:val="36"/>
        </w:rPr>
        <w:t>以新发展理念引领发展，因地制宜发展新质生产力，积极服务做强国内大循环、畅通国内国际双循环，统筹扩大内需和深化供给侧结构性改革，统筹推动先进制造业和现代服务业发展，巩固实体经济发展优势，实现盘活存量、做优增量、做大总量、提升质量有机统一。</w:t>
      </w:r>
    </w:p>
    <w:p>
      <w:pPr>
        <w:keepLines w:val="0"/>
        <w:widowControl w:val="0"/>
        <w:kinsoku/>
        <w:wordWrap/>
        <w:overflowPunct w:val="0"/>
        <w:topLinePunct w:val="0"/>
        <w:autoSpaceDE/>
        <w:autoSpaceDN/>
        <w:bidi w:val="0"/>
        <w:adjustRightInd/>
        <w:snapToGrid/>
        <w:spacing w:line="560" w:lineRule="exact"/>
        <w:ind w:firstLine="640" w:firstLineChars="200"/>
        <w:rPr>
          <w:rStyle w:val="29"/>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napToGrid w:val="0"/>
          <w:color w:val="000000"/>
          <w:kern w:val="32"/>
          <w:sz w:val="32"/>
          <w:szCs w:val="36"/>
        </w:rPr>
        <w:t>——坚持全面深化改革。</w:t>
      </w:r>
      <w:r>
        <w:rPr>
          <w:rStyle w:val="29"/>
          <w:rFonts w:hint="default" w:ascii="Times New Roman" w:hAnsi="Times New Roman" w:eastAsia="仿宋_GB2312" w:cs="Times New Roman"/>
          <w:b w:val="0"/>
          <w:bCs w:val="0"/>
          <w:snapToGrid w:val="0"/>
          <w:color w:val="000000"/>
          <w:kern w:val="32"/>
          <w:szCs w:val="36"/>
        </w:rPr>
        <w:t>着力破除制约高质量发展的体制机制障碍，提升改革的精准性、针对性、有效性，全面推进通道型、平台型、海洋型、制度型、都市型开放，持续增强发展动力活力。</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Style w:val="29"/>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napToGrid w:val="0"/>
          <w:color w:val="000000"/>
          <w:kern w:val="32"/>
          <w:sz w:val="32"/>
          <w:szCs w:val="36"/>
        </w:rPr>
        <w:t>——坚持有效市场和有为政府相结合。</w:t>
      </w:r>
      <w:r>
        <w:rPr>
          <w:rStyle w:val="29"/>
          <w:rFonts w:hint="default" w:ascii="Times New Roman" w:hAnsi="Times New Roman" w:eastAsia="仿宋_GB2312" w:cs="Times New Roman"/>
          <w:b w:val="0"/>
          <w:bCs w:val="0"/>
          <w:snapToGrid w:val="0"/>
          <w:color w:val="000000"/>
          <w:kern w:val="32"/>
          <w:szCs w:val="36"/>
        </w:rPr>
        <w:t>充分发挥市场在资源配置中的决定性作用，更好发挥政府作用，积极融入统一、开放、竞争、有序的市场体系，建设法治经济、信用经济，打造市场化法治化国际化一流营商环境，形成既“放得活”又“管得好”的经济秩序。</w:t>
      </w:r>
    </w:p>
    <w:p>
      <w:pPr>
        <w:keepLines w:val="0"/>
        <w:widowControl w:val="0"/>
        <w:kinsoku/>
        <w:wordWrap/>
        <w:overflowPunct w:val="0"/>
        <w:topLinePunct w:val="0"/>
        <w:autoSpaceDE/>
        <w:autoSpaceDN/>
        <w:bidi w:val="0"/>
        <w:adjustRightInd/>
        <w:snapToGrid/>
        <w:spacing w:line="560" w:lineRule="exact"/>
        <w:ind w:firstLine="640" w:firstLineChars="200"/>
        <w:rPr>
          <w:rStyle w:val="29"/>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napToGrid w:val="0"/>
          <w:color w:val="000000"/>
          <w:kern w:val="32"/>
          <w:sz w:val="32"/>
          <w:szCs w:val="36"/>
        </w:rPr>
        <w:t>——坚持统筹发展和安全。</w:t>
      </w:r>
      <w:r>
        <w:rPr>
          <w:rStyle w:val="29"/>
          <w:rFonts w:hint="default" w:ascii="Times New Roman" w:hAnsi="Times New Roman" w:eastAsia="仿宋_GB2312" w:cs="Times New Roman"/>
          <w:b w:val="0"/>
          <w:bCs w:val="0"/>
          <w:snapToGrid w:val="0"/>
          <w:color w:val="000000"/>
          <w:kern w:val="32"/>
          <w:szCs w:val="36"/>
        </w:rPr>
        <w:t>在发展中固安全，在安全中谋发展，强化底线思维，有效防范化解各类风险，增强经济和社会韧性，实现高质量发展和高水平安全良性互动。</w:t>
      </w:r>
    </w:p>
    <w:p>
      <w:pPr>
        <w:keepLines w:val="0"/>
        <w:widowControl w:val="0"/>
        <w:kinsoku/>
        <w:wordWrap/>
        <w:overflowPunct w:val="0"/>
        <w:topLinePunct w:val="0"/>
        <w:autoSpaceDE/>
        <w:autoSpaceDN/>
        <w:bidi w:val="0"/>
        <w:adjustRightInd/>
        <w:snapToGrid/>
        <w:spacing w:line="560" w:lineRule="exact"/>
        <w:ind w:firstLine="640" w:firstLineChars="200"/>
        <w:rPr>
          <w:rStyle w:val="29"/>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napToGrid w:val="0"/>
          <w:color w:val="000000"/>
          <w:kern w:val="32"/>
          <w:sz w:val="32"/>
          <w:szCs w:val="36"/>
        </w:rPr>
        <w:t>——坚持港产城融合发展。</w:t>
      </w:r>
      <w:r>
        <w:rPr>
          <w:rStyle w:val="29"/>
          <w:rFonts w:hint="default" w:ascii="Times New Roman" w:hAnsi="Times New Roman" w:eastAsia="仿宋_GB2312" w:cs="Times New Roman"/>
          <w:b w:val="0"/>
          <w:bCs w:val="0"/>
          <w:snapToGrid w:val="0"/>
          <w:color w:val="000000"/>
          <w:kern w:val="32"/>
          <w:szCs w:val="36"/>
        </w:rPr>
        <w:t>提升海空两港枢纽能级，强化港口带物流、物流带经贸、经贸带产业、产业带城市联动发展，切实把双港战略资源优势转化为港口经济发展优势、港城特色发展优势。</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54" w:name="_Toc219296976"/>
      <w:r>
        <w:rPr>
          <w:rFonts w:hint="default" w:ascii="Times New Roman" w:hAnsi="Times New Roman" w:cs="Times New Roman"/>
          <w:b w:val="0"/>
          <w:bCs w:val="0"/>
          <w:color w:val="000000"/>
        </w:rPr>
        <w:t>第三节  主要目标</w:t>
      </w:r>
      <w:bookmarkEnd w:id="50"/>
      <w:bookmarkEnd w:id="51"/>
      <w:bookmarkEnd w:id="52"/>
      <w:bookmarkEnd w:id="53"/>
      <w:bookmarkEnd w:id="54"/>
    </w:p>
    <w:p>
      <w:pPr>
        <w:keepLines w:val="0"/>
        <w:widowControl w:val="0"/>
        <w:kinsoku/>
        <w:wordWrap/>
        <w:overflowPunct w:val="0"/>
        <w:topLinePunct w:val="0"/>
        <w:autoSpaceDE/>
        <w:autoSpaceDN/>
        <w:bidi w:val="0"/>
        <w:adjustRightInd/>
        <w:snapToGrid/>
        <w:spacing w:line="560" w:lineRule="exact"/>
        <w:ind w:firstLine="640" w:firstLineChars="200"/>
        <w:rPr>
          <w:rStyle w:val="29"/>
          <w:rFonts w:hint="default" w:ascii="Times New Roman" w:hAnsi="Times New Roman" w:eastAsia="仿宋_GB2312" w:cs="Times New Roman"/>
          <w:b w:val="0"/>
          <w:bCs w:val="0"/>
          <w:snapToGrid w:val="0"/>
          <w:color w:val="000000"/>
          <w:kern w:val="32"/>
          <w:szCs w:val="36"/>
        </w:rPr>
      </w:pPr>
      <w:r>
        <w:rPr>
          <w:rStyle w:val="29"/>
          <w:rFonts w:hint="default" w:ascii="Times New Roman" w:hAnsi="Times New Roman" w:eastAsia="仿宋_GB2312" w:cs="Times New Roman"/>
          <w:b w:val="0"/>
          <w:bCs w:val="0"/>
          <w:snapToGrid w:val="0"/>
          <w:color w:val="000000"/>
          <w:kern w:val="32"/>
          <w:szCs w:val="36"/>
        </w:rPr>
        <w:t>——京津冀协同发展战略合作功能区能级进一步提升。深度融入和积极引入双向成效全面显现，一批国家级重大生产力项目和战略科技资源落地，协同创新、产业协作持续深化，区域一体化和京津同城化水平持续提升，“一基地三区”核心区功能显著增强，从政策集聚高地向价值创造高地转变，在支撑京津冀更好发挥高质量发展动力源作用中体现更大作为。</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w:t>
      </w:r>
      <w:r>
        <w:rPr>
          <w:rStyle w:val="29"/>
          <w:rFonts w:hint="default" w:ascii="Times New Roman" w:hAnsi="Times New Roman" w:eastAsia="仿宋_GB2312" w:cs="Times New Roman"/>
          <w:b w:val="0"/>
          <w:bCs w:val="0"/>
          <w:snapToGrid w:val="0"/>
          <w:color w:val="000000"/>
          <w:kern w:val="32"/>
          <w:szCs w:val="36"/>
        </w:rPr>
        <w:t>全市高质量发展支撑引领地位进一步彰显。以先进制造业为骨干的现代化产业体系基本形成，战略性新兴产业规模不断壮大，生产性服务业扩能提质。科技创新和产业创新深度融合，创新策源、成果转化、科创服务能力实现跨越式提升，科技企业加速成长，科创园区蓬勃发展，创新驱动作用充分发挥。经济发展质效明显提升，增长潜力得到充分释放，在支撑引领全市高质量发展中展现更大担当。</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w:t>
      </w:r>
      <w:r>
        <w:rPr>
          <w:rStyle w:val="29"/>
          <w:rFonts w:hint="default" w:ascii="Times New Roman" w:hAnsi="Times New Roman" w:eastAsia="仿宋_GB2312" w:cs="Times New Roman"/>
          <w:b w:val="0"/>
          <w:bCs w:val="0"/>
          <w:snapToGrid w:val="0"/>
          <w:color w:val="000000"/>
          <w:kern w:val="32"/>
          <w:szCs w:val="36"/>
        </w:rPr>
        <w:t>全国改革开放先行示范作用进一步发挥。综合改革系统推进。高标准市场体系基本建成，公平竞争制度更加健全，营商环境建设继续走在全国前列。消费供给水平明显提高，有效需求充分激发。“五型”开放新优势不断巩固，高水平开放引领区、制度创新先行区、特色产业集聚区基本建成，要素配置、辐射带动、内需拉动能力明显提升，我国北方地区联通国内国际双循环的重要战略支点功能持续增强。</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w:t>
      </w:r>
      <w:r>
        <w:rPr>
          <w:rStyle w:val="29"/>
          <w:rFonts w:hint="default" w:ascii="Times New Roman" w:hAnsi="Times New Roman" w:eastAsia="仿宋_GB2312" w:cs="Times New Roman"/>
          <w:b w:val="0"/>
          <w:bCs w:val="0"/>
          <w:snapToGrid w:val="0"/>
          <w:color w:val="000000"/>
          <w:kern w:val="32"/>
          <w:szCs w:val="36"/>
        </w:rPr>
        <w:t>新时代“四宜”美丽“滨城”建设进一步加快。城市布局更均衡、功能更完备、品质更优化、运行更智慧，新型基础设施适度超前建设，滨海文化特色更加鲜明，居民收入增长和经济增长基本同步，基本公共服务供给更加优质均衡，三大攻坚战取得明显成效，绿色生产生活方式基本形成，碳达峰目标如期实现，清洁低碳安全高效的新型能源体系初步建成，“滨城”现代化人民城市建设取得重要进展。</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w:t>
      </w:r>
      <w:bookmarkStart w:id="55" w:name="OLE_LINK38"/>
      <w:r>
        <w:rPr>
          <w:rStyle w:val="29"/>
          <w:rFonts w:hint="default" w:ascii="Times New Roman" w:hAnsi="Times New Roman" w:eastAsia="仿宋_GB2312" w:cs="Times New Roman"/>
          <w:b w:val="0"/>
          <w:bCs w:val="0"/>
          <w:snapToGrid w:val="0"/>
          <w:color w:val="000000"/>
          <w:kern w:val="32"/>
          <w:szCs w:val="36"/>
        </w:rPr>
        <w:t>城市韧性安全进一步增强</w:t>
      </w:r>
      <w:bookmarkEnd w:id="55"/>
      <w:r>
        <w:rPr>
          <w:rStyle w:val="29"/>
          <w:rFonts w:hint="default" w:ascii="Times New Roman" w:hAnsi="Times New Roman" w:eastAsia="仿宋_GB2312" w:cs="Times New Roman"/>
          <w:b w:val="0"/>
          <w:bCs w:val="0"/>
          <w:snapToGrid w:val="0"/>
          <w:color w:val="000000"/>
          <w:kern w:val="32"/>
          <w:szCs w:val="36"/>
        </w:rPr>
        <w:t>。首都政治、安全“护城河”更加牢固，能源粮食物资保供能力不断增强。产业链供应链、政府债务、金融等重点领域风险得到有效防范化解。公共基础配套功能、安全治理水平明显提高，城市应急管理体系和能力现代化建设水平有效提升。党建引领基层治理效能显著，更高水平法治滨海、平安滨海建设扎实推进。</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Style w:val="29"/>
          <w:rFonts w:hint="default" w:ascii="Times New Roman" w:hAnsi="Times New Roman" w:eastAsia="仿宋_GB2312" w:cs="Times New Roman"/>
          <w:b w:val="0"/>
          <w:bCs w:val="0"/>
          <w:snapToGrid w:val="0"/>
          <w:color w:val="000000"/>
          <w:kern w:val="32"/>
          <w:szCs w:val="36"/>
        </w:rPr>
        <w:t>在实现“十五五”规划目标基础上再砥砺奋斗五年，到二</w:t>
      </w:r>
      <w:r>
        <w:rPr>
          <w:rStyle w:val="29"/>
          <w:rFonts w:hint="default" w:ascii="Times New Roman" w:hAnsi="Times New Roman" w:eastAsia="宋体" w:cs="Times New Roman"/>
          <w:b w:val="0"/>
          <w:bCs w:val="0"/>
          <w:snapToGrid w:val="0"/>
          <w:color w:val="000000"/>
          <w:kern w:val="32"/>
          <w:szCs w:val="36"/>
        </w:rPr>
        <w:t>〇</w:t>
      </w:r>
      <w:r>
        <w:rPr>
          <w:rStyle w:val="29"/>
          <w:rFonts w:hint="default" w:ascii="Times New Roman" w:hAnsi="Times New Roman" w:eastAsia="仿宋_GB2312" w:cs="Times New Roman"/>
          <w:b w:val="0"/>
          <w:bCs w:val="0"/>
          <w:snapToGrid w:val="0"/>
          <w:color w:val="000000"/>
          <w:kern w:val="32"/>
          <w:szCs w:val="36"/>
        </w:rPr>
        <w:t>三五年，滨海新区高标准打造综合实力强劲、现代化产业体系完备、人民和谐幸福、具有独特魅力、国际化程度领先的中国式现代化“滨城”样板，始终走在国家级新区前列。</w:t>
      </w:r>
      <w:bookmarkStart w:id="56" w:name="_Hlk213159770"/>
    </w:p>
    <w:p>
      <w:pPr>
        <w:overflowPunct w:val="0"/>
        <w:adjustRightInd w:val="0"/>
        <w:snapToGrid w:val="0"/>
        <w:spacing w:after="0" w:line="600" w:lineRule="exact"/>
        <w:jc w:val="center"/>
        <w:rPr>
          <w:rFonts w:hint="default" w:ascii="Times New Roman" w:hAnsi="Times New Roman" w:eastAsia="黑体"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br w:type="page"/>
      </w:r>
      <w:r>
        <w:rPr>
          <w:rFonts w:hint="default" w:ascii="Times New Roman" w:hAnsi="Times New Roman" w:eastAsia="黑体" w:cs="Times New Roman"/>
          <w:b w:val="0"/>
          <w:bCs w:val="0"/>
          <w:snapToGrid w:val="0"/>
          <w:color w:val="000000"/>
          <w:kern w:val="32"/>
          <w:sz w:val="32"/>
          <w:szCs w:val="32"/>
        </w:rPr>
        <w:t>表1  “十五五”时期经济社会发展主要指标</w:t>
      </w:r>
    </w:p>
    <w:tbl>
      <w:tblPr>
        <w:tblStyle w:val="15"/>
        <w:tblW w:w="5000" w:type="pct"/>
        <w:jc w:val="center"/>
        <w:tblLayout w:type="fixed"/>
        <w:tblCellMar>
          <w:top w:w="57" w:type="dxa"/>
          <w:left w:w="108" w:type="dxa"/>
          <w:bottom w:w="57" w:type="dxa"/>
          <w:right w:w="108" w:type="dxa"/>
        </w:tblCellMar>
      </w:tblPr>
      <w:tblGrid>
        <w:gridCol w:w="903"/>
        <w:gridCol w:w="1627"/>
        <w:gridCol w:w="2254"/>
        <w:gridCol w:w="1469"/>
        <w:gridCol w:w="1510"/>
        <w:gridCol w:w="1297"/>
      </w:tblGrid>
      <w:tr>
        <w:tblPrEx>
          <w:tblCellMar>
            <w:top w:w="57" w:type="dxa"/>
            <w:left w:w="108" w:type="dxa"/>
            <w:bottom w:w="57" w:type="dxa"/>
            <w:right w:w="108" w:type="dxa"/>
          </w:tblCellMar>
        </w:tblPrEx>
        <w:trPr>
          <w:trHeight w:val="317" w:hRule="atLeast"/>
          <w:tblHeader/>
          <w:jc w:val="center"/>
        </w:trPr>
        <w:tc>
          <w:tcPr>
            <w:tcW w:w="90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黑体" w:cs="Times New Roman"/>
                <w:b w:val="0"/>
                <w:bCs w:val="0"/>
                <w:snapToGrid w:val="0"/>
                <w:color w:val="000000"/>
                <w:kern w:val="32"/>
                <w:sz w:val="28"/>
                <w:szCs w:val="28"/>
              </w:rPr>
            </w:pPr>
            <w:bookmarkStart w:id="57" w:name="RANGE!A1"/>
            <w:r>
              <w:rPr>
                <w:rFonts w:hint="default" w:ascii="Times New Roman" w:hAnsi="Times New Roman" w:eastAsia="黑体" w:cs="Times New Roman"/>
                <w:b w:val="0"/>
                <w:bCs w:val="0"/>
                <w:snapToGrid w:val="0"/>
                <w:color w:val="000000"/>
                <w:kern w:val="32"/>
                <w:sz w:val="28"/>
                <w:szCs w:val="28"/>
              </w:rPr>
              <w:t>序号</w:t>
            </w:r>
            <w:bookmarkEnd w:id="57"/>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黑体" w:cs="Times New Roman"/>
                <w:b w:val="0"/>
                <w:bCs w:val="0"/>
                <w:snapToGrid w:val="0"/>
                <w:color w:val="000000"/>
                <w:kern w:val="32"/>
                <w:sz w:val="28"/>
                <w:szCs w:val="28"/>
              </w:rPr>
            </w:pPr>
            <w:r>
              <w:rPr>
                <w:rFonts w:hint="default" w:ascii="Times New Roman" w:hAnsi="Times New Roman" w:eastAsia="黑体" w:cs="Times New Roman"/>
                <w:b w:val="0"/>
                <w:bCs w:val="0"/>
                <w:snapToGrid w:val="0"/>
                <w:color w:val="000000"/>
                <w:kern w:val="32"/>
                <w:sz w:val="28"/>
                <w:szCs w:val="28"/>
              </w:rPr>
              <w:t>指标</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jc w:val="center"/>
              <w:rPr>
                <w:rFonts w:hint="default" w:ascii="Times New Roman" w:hAnsi="Times New Roman" w:eastAsia="黑体" w:cs="Times New Roman"/>
                <w:b w:val="0"/>
                <w:bCs w:val="0"/>
                <w:snapToGrid w:val="0"/>
                <w:color w:val="000000"/>
                <w:kern w:val="32"/>
                <w:sz w:val="28"/>
                <w:szCs w:val="28"/>
              </w:rPr>
            </w:pPr>
            <w:r>
              <w:rPr>
                <w:rFonts w:hint="default" w:ascii="Times New Roman" w:hAnsi="Times New Roman" w:eastAsia="黑体" w:cs="Times New Roman"/>
                <w:b w:val="0"/>
                <w:bCs w:val="0"/>
                <w:snapToGrid w:val="0"/>
                <w:color w:val="000000"/>
                <w:kern w:val="32"/>
                <w:sz w:val="28"/>
                <w:szCs w:val="28"/>
              </w:rPr>
              <w:t>2025年</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黑体" w:cs="Times New Roman"/>
                <w:b w:val="0"/>
                <w:bCs w:val="0"/>
                <w:snapToGrid w:val="0"/>
                <w:color w:val="000000"/>
                <w:kern w:val="32"/>
                <w:sz w:val="28"/>
                <w:szCs w:val="28"/>
              </w:rPr>
            </w:pPr>
            <w:r>
              <w:rPr>
                <w:rFonts w:hint="default" w:ascii="Times New Roman" w:hAnsi="Times New Roman" w:eastAsia="黑体" w:cs="Times New Roman"/>
                <w:b w:val="0"/>
                <w:bCs w:val="0"/>
                <w:snapToGrid w:val="0"/>
                <w:color w:val="000000"/>
                <w:kern w:val="32"/>
                <w:sz w:val="28"/>
                <w:szCs w:val="28"/>
              </w:rPr>
              <w:t>2030年</w:t>
            </w:r>
          </w:p>
        </w:tc>
        <w:tc>
          <w:tcPr>
            <w:tcW w:w="129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黑体" w:cs="Times New Roman"/>
                <w:b w:val="0"/>
                <w:bCs w:val="0"/>
                <w:snapToGrid w:val="0"/>
                <w:color w:val="000000"/>
                <w:kern w:val="32"/>
                <w:sz w:val="28"/>
                <w:szCs w:val="28"/>
              </w:rPr>
            </w:pPr>
            <w:r>
              <w:rPr>
                <w:rFonts w:hint="default" w:ascii="Times New Roman" w:hAnsi="Times New Roman" w:eastAsia="黑体" w:cs="Times New Roman"/>
                <w:b w:val="0"/>
                <w:bCs w:val="0"/>
                <w:snapToGrid w:val="0"/>
                <w:color w:val="000000"/>
                <w:kern w:val="32"/>
                <w:sz w:val="28"/>
                <w:szCs w:val="28"/>
              </w:rPr>
              <w:t>属性</w:t>
            </w:r>
          </w:p>
        </w:tc>
      </w:tr>
      <w:tr>
        <w:tblPrEx>
          <w:tblCellMar>
            <w:top w:w="57" w:type="dxa"/>
            <w:left w:w="108" w:type="dxa"/>
            <w:bottom w:w="57" w:type="dxa"/>
            <w:right w:w="108" w:type="dxa"/>
          </w:tblCellMar>
        </w:tblPrEx>
        <w:trPr>
          <w:jc w:val="center"/>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经济发展（5个）</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地区生产总值增长（%）</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4.7*</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4.7-5.1*</w:t>
            </w:r>
          </w:p>
        </w:tc>
        <w:tc>
          <w:tcPr>
            <w:tcW w:w="1297" w:type="dxa"/>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全员劳动生产率增长（%）</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5*左右</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5.3</w:t>
            </w:r>
            <w:bookmarkStart w:id="58" w:name="OLE_LINK6"/>
            <w:r>
              <w:rPr>
                <w:rFonts w:hint="default" w:ascii="Times New Roman" w:hAnsi="Times New Roman" w:eastAsia="仿宋_GB2312" w:cs="Times New Roman"/>
                <w:b w:val="0"/>
                <w:bCs w:val="0"/>
                <w:snapToGrid w:val="0"/>
                <w:color w:val="000000"/>
                <w:kern w:val="32"/>
                <w:sz w:val="28"/>
                <w:szCs w:val="28"/>
              </w:rPr>
              <w:t>*</w:t>
            </w:r>
            <w:bookmarkEnd w:id="58"/>
            <w:r>
              <w:rPr>
                <w:rFonts w:hint="default" w:ascii="Times New Roman" w:hAnsi="Times New Roman" w:eastAsia="仿宋_GB2312" w:cs="Times New Roman"/>
                <w:b w:val="0"/>
                <w:bCs w:val="0"/>
                <w:snapToGrid w:val="0"/>
                <w:color w:val="000000"/>
                <w:kern w:val="32"/>
                <w:sz w:val="28"/>
                <w:szCs w:val="28"/>
              </w:rPr>
              <w:t>左右</w:t>
            </w:r>
          </w:p>
        </w:tc>
        <w:tc>
          <w:tcPr>
            <w:tcW w:w="1297" w:type="dxa"/>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制造业增加值占地区生产总值比重（%）</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24.4</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25左右</w:t>
            </w:r>
          </w:p>
        </w:tc>
        <w:tc>
          <w:tcPr>
            <w:tcW w:w="1297" w:type="dxa"/>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生产性服务业增加值占地区生产总值比重（%）</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43.2</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46左右</w:t>
            </w:r>
          </w:p>
        </w:tc>
        <w:tc>
          <w:tcPr>
            <w:tcW w:w="1297" w:type="dxa"/>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5</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海洋生产总值（亿元）</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3820</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4900</w:t>
            </w:r>
          </w:p>
        </w:tc>
        <w:tc>
          <w:tcPr>
            <w:tcW w:w="1297" w:type="dxa"/>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创新驱动（4个）</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6</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全社会研发经费投入强度（%）</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3.5以上</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4左右</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7</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每万人口高价值发明专利拥有量（件）</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70</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100</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8</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数字经济核心产业增加值占地区生产总值比重（%）</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11左右</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15</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9</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工业战略性新兴产业总产值占工业总产值比重（%）</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34</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35左右</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改革开放（3个）</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bookmarkStart w:id="59" w:name="OLE_LINK30" w:colFirst="1" w:colLast="66"/>
            <w:bookmarkStart w:id="60" w:name="OLE_LINK31" w:colFirst="1" w:colLast="66"/>
            <w:bookmarkStart w:id="61" w:name="_Hlk220400548"/>
            <w:r>
              <w:rPr>
                <w:rFonts w:hint="default" w:ascii="Times New Roman" w:hAnsi="Times New Roman" w:eastAsia="仿宋_GB2312" w:cs="Times New Roman"/>
                <w:b w:val="0"/>
                <w:bCs w:val="0"/>
                <w:snapToGrid w:val="0"/>
                <w:color w:val="000000"/>
                <w:kern w:val="32"/>
                <w:sz w:val="28"/>
                <w:szCs w:val="28"/>
              </w:rPr>
              <w:t>10</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外贸进出口额增速（%）</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1.96*</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bookmarkEnd w:id="59"/>
      <w:bookmarkEnd w:id="60"/>
      <w:bookmarkEnd w:id="61"/>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11</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天津港集装箱吞吐量</w:t>
            </w:r>
          </w:p>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（万标准箱）</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2400</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2900</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12</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highlight w:val="yellow"/>
              </w:rPr>
            </w:pPr>
            <w:bookmarkStart w:id="62" w:name="_Hlk218415614"/>
            <w:r>
              <w:rPr>
                <w:rFonts w:hint="default" w:ascii="Times New Roman" w:hAnsi="Times New Roman" w:eastAsia="仿宋_GB2312" w:cs="Times New Roman"/>
                <w:b w:val="0"/>
                <w:bCs w:val="0"/>
                <w:snapToGrid w:val="0"/>
                <w:color w:val="000000"/>
                <w:kern w:val="32"/>
                <w:sz w:val="28"/>
                <w:szCs w:val="28"/>
              </w:rPr>
              <w:t>全市复制推广自贸试验区制度创新成果</w:t>
            </w:r>
            <w:bookmarkEnd w:id="62"/>
            <w:r>
              <w:rPr>
                <w:rFonts w:hint="default" w:ascii="Times New Roman" w:hAnsi="Times New Roman" w:eastAsia="仿宋_GB2312" w:cs="Times New Roman"/>
                <w:b w:val="0"/>
                <w:bCs w:val="0"/>
                <w:snapToGrid w:val="0"/>
                <w:color w:val="000000"/>
                <w:kern w:val="32"/>
                <w:sz w:val="28"/>
                <w:szCs w:val="28"/>
              </w:rPr>
              <w:t>（项）</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〔197〕</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highlight w:val="yellow"/>
              </w:rPr>
            </w:pPr>
            <w:r>
              <w:rPr>
                <w:rFonts w:hint="default" w:ascii="Times New Roman" w:hAnsi="Times New Roman" w:eastAsia="仿宋_GB2312" w:cs="Times New Roman"/>
                <w:b w:val="0"/>
                <w:bCs w:val="0"/>
                <w:snapToGrid w:val="0"/>
                <w:color w:val="000000"/>
                <w:kern w:val="32"/>
                <w:sz w:val="28"/>
                <w:szCs w:val="28"/>
              </w:rPr>
              <w:t>〔≥200〕</w:t>
            </w:r>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民生福祉（7个）</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jc w:val="center"/>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13</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城镇居民人均可支配收入增长（%）</w:t>
            </w:r>
          </w:p>
        </w:tc>
        <w:tc>
          <w:tcPr>
            <w:tcW w:w="1469" w:type="dxa"/>
            <w:tcBorders>
              <w:top w:val="single" w:color="auto" w:sz="4" w:space="0"/>
              <w:bottom w:val="single" w:color="auto" w:sz="4" w:space="0"/>
              <w:right w:val="single" w:color="auto" w:sz="4" w:space="0"/>
            </w:tcBorders>
            <w:shd w:val="clear" w:color="auto"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5.2*</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bookmarkStart w:id="63" w:name="OLE_LINK19"/>
            <w:r>
              <w:rPr>
                <w:rFonts w:hint="default" w:ascii="Times New Roman" w:hAnsi="Times New Roman" w:eastAsia="仿宋_GB2312" w:cs="Times New Roman"/>
                <w:b w:val="0"/>
                <w:bCs w:val="0"/>
                <w:snapToGrid w:val="0"/>
                <w:color w:val="000000"/>
                <w:kern w:val="32"/>
                <w:sz w:val="28"/>
                <w:szCs w:val="28"/>
              </w:rPr>
              <w:t>与经济增长同步</w:t>
            </w:r>
            <w:bookmarkEnd w:id="63"/>
          </w:p>
        </w:tc>
        <w:tc>
          <w:tcPr>
            <w:tcW w:w="1297" w:type="dxa"/>
            <w:tcBorders>
              <w:top w:val="nil"/>
              <w:left w:val="nil"/>
              <w:bottom w:val="single" w:color="auto" w:sz="4" w:space="0"/>
              <w:right w:val="single" w:color="auto" w:sz="4" w:space="0"/>
            </w:tcBorders>
            <w:shd w:val="clear" w:color="000000" w:fill="auto"/>
            <w:noWrap w:val="0"/>
            <w:vAlign w:val="center"/>
          </w:tcPr>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trHeight w:val="752" w:hRule="atLeast"/>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14</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劳动年龄人口平均受教育年限（年）</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12.3</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12.4</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约束性</w:t>
            </w:r>
          </w:p>
        </w:tc>
      </w:tr>
      <w:tr>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15</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人均预期寿命（岁）</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83.85</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83.89</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16</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城镇调查失业率（%）</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4.7</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5左右</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17</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每千名65岁以上人口养老机构护理型床位数（张）</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15.25</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17</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18</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万人拥有公共文化设施面积（平方米）</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3500</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3500</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rPr>
          <w:jc w:val="center"/>
        </w:trPr>
        <w:tc>
          <w:tcPr>
            <w:tcW w:w="903" w:type="dxa"/>
            <w:vMerge w:val="restart"/>
            <w:tcBorders>
              <w:top w:val="nil"/>
              <w:left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bookmarkStart w:id="64" w:name="_Hlk220398746"/>
            <w:bookmarkStart w:id="65" w:name="OLE_LINK29" w:colFirst="1" w:colLast="67"/>
            <w:bookmarkStart w:id="66" w:name="OLE_LINK28" w:colFirst="1" w:colLast="67"/>
            <w:r>
              <w:rPr>
                <w:rFonts w:hint="default" w:ascii="Times New Roman" w:hAnsi="Times New Roman" w:eastAsia="仿宋_GB2312" w:cs="Times New Roman"/>
                <w:b w:val="0"/>
                <w:bCs w:val="0"/>
                <w:snapToGrid w:val="0"/>
                <w:color w:val="000000"/>
                <w:kern w:val="32"/>
                <w:sz w:val="28"/>
                <w:szCs w:val="28"/>
              </w:rPr>
              <w:t>19</w:t>
            </w:r>
          </w:p>
        </w:tc>
        <w:tc>
          <w:tcPr>
            <w:tcW w:w="1627" w:type="dxa"/>
            <w:vMerge w:val="restart"/>
            <w:tcBorders>
              <w:top w:val="single" w:color="auto" w:sz="4" w:space="0"/>
              <w:left w:val="nil"/>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每千人口拥有医护人员数</w:t>
            </w:r>
          </w:p>
        </w:tc>
        <w:tc>
          <w:tcPr>
            <w:tcW w:w="225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执业医师数（人）</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4.3</w:t>
            </w:r>
          </w:p>
        </w:tc>
        <w:tc>
          <w:tcPr>
            <w:tcW w:w="1297" w:type="dxa"/>
            <w:vMerge w:val="restart"/>
            <w:tcBorders>
              <w:top w:val="nil"/>
              <w:left w:val="nil"/>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trHeight w:val="606" w:hRule="atLeast"/>
          <w:jc w:val="center"/>
        </w:trPr>
        <w:tc>
          <w:tcPr>
            <w:tcW w:w="903" w:type="dxa"/>
            <w:vMerge w:val="continue"/>
            <w:tcBorders>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p>
        </w:tc>
        <w:tc>
          <w:tcPr>
            <w:tcW w:w="1627" w:type="dxa"/>
            <w:vMerge w:val="continue"/>
            <w:tcBorders>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p>
        </w:tc>
        <w:tc>
          <w:tcPr>
            <w:tcW w:w="225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注册护士数（人）</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3.6</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4.7</w:t>
            </w:r>
          </w:p>
        </w:tc>
        <w:tc>
          <w:tcPr>
            <w:tcW w:w="1297" w:type="dxa"/>
            <w:vMerge w:val="continue"/>
            <w:tcBorders>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p>
        </w:tc>
      </w:tr>
      <w:bookmarkEnd w:id="64"/>
      <w:bookmarkEnd w:id="65"/>
      <w:bookmarkEnd w:id="66"/>
      <w:tr>
        <w:tblPrEx>
          <w:tblCellMar>
            <w:top w:w="57" w:type="dxa"/>
            <w:left w:w="108" w:type="dxa"/>
            <w:bottom w:w="57" w:type="dxa"/>
            <w:right w:w="108" w:type="dxa"/>
          </w:tblCellMar>
        </w:tblPrEx>
        <w:trPr>
          <w:jc w:val="center"/>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绿色发展（5个）</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20</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单位地区生产总值二氧化碳排放降低（%）</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完成市</w:t>
            </w:r>
          </w:p>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下达目标</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完成市</w:t>
            </w:r>
          </w:p>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下达目标</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约束性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21</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非化石能源占能源消费总量比重（%）</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与全市目标任务保持同步</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与全市目标任务保持同步</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约束性</w:t>
            </w:r>
          </w:p>
        </w:tc>
      </w:tr>
      <w:tr>
        <w:tblPrEx>
          <w:tblCellMar>
            <w:top w:w="57" w:type="dxa"/>
            <w:left w:w="108" w:type="dxa"/>
            <w:bottom w:w="57" w:type="dxa"/>
            <w:right w:w="108" w:type="dxa"/>
          </w:tblCellMar>
        </w:tblPrEx>
        <w:trPr>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22</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细颗粒物（PM</w:t>
            </w:r>
            <w:r>
              <w:rPr>
                <w:rFonts w:hint="default" w:ascii="Times New Roman" w:hAnsi="Times New Roman" w:eastAsia="仿宋_GB2312" w:cs="Times New Roman"/>
                <w:b w:val="0"/>
                <w:bCs w:val="0"/>
                <w:snapToGrid w:val="0"/>
                <w:color w:val="000000"/>
                <w:kern w:val="32"/>
                <w:sz w:val="28"/>
                <w:szCs w:val="28"/>
                <w:vertAlign w:val="subscript"/>
              </w:rPr>
              <w:t>2.5</w:t>
            </w:r>
            <w:r>
              <w:rPr>
                <w:rFonts w:hint="default" w:ascii="Times New Roman" w:hAnsi="Times New Roman" w:eastAsia="仿宋_GB2312" w:cs="Times New Roman"/>
                <w:b w:val="0"/>
                <w:bCs w:val="0"/>
                <w:snapToGrid w:val="0"/>
                <w:color w:val="000000"/>
                <w:kern w:val="32"/>
                <w:sz w:val="28"/>
                <w:szCs w:val="28"/>
              </w:rPr>
              <w:t>）浓度（微克/立方米）</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35</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完成市</w:t>
            </w:r>
          </w:p>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下达目标</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约束性</w:t>
            </w:r>
          </w:p>
        </w:tc>
      </w:tr>
      <w:tr>
        <w:tblPrEx>
          <w:tblCellMar>
            <w:top w:w="57" w:type="dxa"/>
            <w:left w:w="108" w:type="dxa"/>
            <w:bottom w:w="57" w:type="dxa"/>
            <w:right w:w="108" w:type="dxa"/>
          </w:tblCellMar>
        </w:tblPrEx>
        <w:trPr>
          <w:trHeight w:val="740" w:hRule="atLeast"/>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23</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近岸海域水质优良比例（%）</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73.3</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完成市</w:t>
            </w:r>
          </w:p>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下达目标</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约束性</w:t>
            </w:r>
          </w:p>
        </w:tc>
      </w:tr>
      <w:tr>
        <w:tblPrEx>
          <w:tblCellMar>
            <w:top w:w="57" w:type="dxa"/>
            <w:left w:w="108" w:type="dxa"/>
            <w:bottom w:w="57" w:type="dxa"/>
            <w:right w:w="108" w:type="dxa"/>
          </w:tblCellMar>
        </w:tblPrEx>
        <w:trPr>
          <w:trHeight w:val="790" w:hRule="atLeast"/>
          <w:jc w:val="center"/>
        </w:trPr>
        <w:tc>
          <w:tcPr>
            <w:tcW w:w="903"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24</w:t>
            </w:r>
          </w:p>
        </w:tc>
        <w:tc>
          <w:tcPr>
            <w:tcW w:w="3881" w:type="dxa"/>
            <w:gridSpan w:val="2"/>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森林覆盖率（%）</w:t>
            </w:r>
          </w:p>
        </w:tc>
        <w:tc>
          <w:tcPr>
            <w:tcW w:w="1469" w:type="dxa"/>
            <w:tcBorders>
              <w:top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5.71</w:t>
            </w:r>
          </w:p>
        </w:tc>
        <w:tc>
          <w:tcPr>
            <w:tcW w:w="1510" w:type="dxa"/>
            <w:tcBorders>
              <w:top w:val="nil"/>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完成市</w:t>
            </w:r>
          </w:p>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下达目标</w:t>
            </w:r>
          </w:p>
        </w:tc>
        <w:tc>
          <w:tcPr>
            <w:tcW w:w="1297" w:type="dxa"/>
            <w:tcBorders>
              <w:top w:val="nil"/>
              <w:left w:val="nil"/>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约束性</w:t>
            </w:r>
          </w:p>
        </w:tc>
      </w:tr>
      <w:tr>
        <w:tblPrEx>
          <w:tblCellMar>
            <w:top w:w="57" w:type="dxa"/>
            <w:left w:w="108" w:type="dxa"/>
            <w:bottom w:w="57" w:type="dxa"/>
            <w:right w:w="108" w:type="dxa"/>
          </w:tblCellMar>
        </w:tblPrEx>
        <w:trPr>
          <w:jc w:val="center"/>
        </w:trPr>
        <w:tc>
          <w:tcPr>
            <w:tcW w:w="906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安全保障（2个）</w:t>
            </w:r>
          </w:p>
        </w:tc>
      </w:tr>
      <w:tr>
        <w:tblPrEx>
          <w:tblCellMar>
            <w:top w:w="57" w:type="dxa"/>
            <w:left w:w="108" w:type="dxa"/>
            <w:bottom w:w="57"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bookmarkStart w:id="67" w:name="_Hlk217552143"/>
            <w:r>
              <w:rPr>
                <w:rFonts w:hint="default" w:ascii="Times New Roman" w:hAnsi="Times New Roman" w:eastAsia="仿宋_GB2312" w:cs="Times New Roman"/>
                <w:b w:val="0"/>
                <w:bCs w:val="0"/>
                <w:snapToGrid w:val="0"/>
                <w:color w:val="000000"/>
                <w:kern w:val="32"/>
                <w:sz w:val="28"/>
                <w:szCs w:val="28"/>
              </w:rPr>
              <w:t>25</w:t>
            </w:r>
          </w:p>
        </w:tc>
        <w:tc>
          <w:tcPr>
            <w:tcW w:w="3881"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核心区人均应急避难场所面积（平方米）</w:t>
            </w:r>
          </w:p>
        </w:tc>
        <w:tc>
          <w:tcPr>
            <w:tcW w:w="1469" w:type="dxa"/>
            <w:tcBorders>
              <w:top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1.78</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w:t>
            </w:r>
          </w:p>
        </w:tc>
        <w:tc>
          <w:tcPr>
            <w:tcW w:w="129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tr>
        <w:tblPrEx>
          <w:tblCellMar>
            <w:top w:w="57" w:type="dxa"/>
            <w:left w:w="108" w:type="dxa"/>
            <w:bottom w:w="57" w:type="dxa"/>
            <w:right w:w="108" w:type="dxa"/>
          </w:tblCellMar>
        </w:tblPrEx>
        <w:trPr>
          <w:jc w:val="center"/>
        </w:trPr>
        <w:tc>
          <w:tcPr>
            <w:tcW w:w="90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26</w:t>
            </w:r>
          </w:p>
        </w:tc>
        <w:tc>
          <w:tcPr>
            <w:tcW w:w="3881" w:type="dxa"/>
            <w:gridSpan w:val="2"/>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重点行业领域安全风险监测预警覆盖率（%）</w:t>
            </w:r>
          </w:p>
        </w:tc>
        <w:tc>
          <w:tcPr>
            <w:tcW w:w="1469" w:type="dxa"/>
            <w:tcBorders>
              <w:top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86.4</w:t>
            </w:r>
          </w:p>
        </w:tc>
        <w:tc>
          <w:tcPr>
            <w:tcW w:w="1510"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highlight w:val="yellow"/>
              </w:rPr>
            </w:pPr>
            <w:r>
              <w:rPr>
                <w:rFonts w:hint="default" w:ascii="Times New Roman" w:hAnsi="Times New Roman" w:eastAsia="仿宋_GB2312" w:cs="Times New Roman"/>
                <w:b w:val="0"/>
                <w:bCs w:val="0"/>
                <w:snapToGrid w:val="0"/>
                <w:color w:val="000000"/>
                <w:kern w:val="32"/>
                <w:sz w:val="28"/>
                <w:szCs w:val="28"/>
              </w:rPr>
              <w:t>≥90</w:t>
            </w:r>
          </w:p>
        </w:tc>
        <w:tc>
          <w:tcPr>
            <w:tcW w:w="129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pageBreakBefore w:val="0"/>
              <w:widowControl w:val="0"/>
              <w:kinsoku/>
              <w:wordWrap/>
              <w:overflowPunct w:val="0"/>
              <w:topLinePunct w:val="0"/>
              <w:autoSpaceDE/>
              <w:autoSpaceDN/>
              <w:bidi w:val="0"/>
              <w:adjustRightInd/>
              <w:snapToGrid/>
              <w:spacing w:after="0" w:line="320" w:lineRule="exact"/>
              <w:textAlignment w:val="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预期性</w:t>
            </w:r>
          </w:p>
        </w:tc>
      </w:tr>
      <w:bookmarkEnd w:id="67"/>
    </w:tbl>
    <w:p>
      <w:pPr>
        <w:overflowPunct w:val="0"/>
        <w:adjustRightInd w:val="0"/>
        <w:snapToGrid w:val="0"/>
        <w:spacing w:after="0" w:line="240" w:lineRule="auto"/>
        <w:rPr>
          <w:rFonts w:hint="default" w:ascii="Times New Roman" w:hAnsi="Times New Roman" w:eastAsia="仿宋_GB2312" w:cs="Times New Roman"/>
          <w:b w:val="0"/>
          <w:bCs w:val="0"/>
          <w:snapToGrid w:val="0"/>
          <w:color w:val="000000"/>
          <w:kern w:val="32"/>
          <w:sz w:val="28"/>
          <w:szCs w:val="28"/>
        </w:rPr>
      </w:pPr>
      <w:r>
        <w:rPr>
          <w:rFonts w:hint="default" w:ascii="Times New Roman" w:hAnsi="Times New Roman" w:eastAsia="仿宋_GB2312" w:cs="Times New Roman"/>
          <w:b w:val="0"/>
          <w:bCs w:val="0"/>
          <w:snapToGrid w:val="0"/>
          <w:color w:val="000000"/>
          <w:kern w:val="32"/>
          <w:sz w:val="28"/>
          <w:szCs w:val="28"/>
        </w:rPr>
        <w:t>注：〔〕为五年累计数，*为五年平均数</w:t>
      </w:r>
    </w:p>
    <w:bookmarkEnd w:id="56"/>
    <w:p>
      <w:pPr>
        <w:pStyle w:val="3"/>
        <w:keepLines w:val="0"/>
        <w:widowControl w:val="0"/>
        <w:kinsoku/>
        <w:wordWrap/>
        <w:overflowPunct w:val="0"/>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68" w:name="_Toc219296977"/>
      <w:bookmarkStart w:id="69" w:name="OLE_LINK4"/>
      <w:r>
        <w:rPr>
          <w:rFonts w:hint="default" w:ascii="Times New Roman" w:hAnsi="Times New Roman" w:cs="Times New Roman"/>
          <w:b w:val="0"/>
          <w:bCs w:val="0"/>
        </w:rPr>
        <w:t>第三章</w:t>
      </w:r>
      <w:bookmarkStart w:id="70" w:name="_Toc10242"/>
      <w:bookmarkStart w:id="71" w:name="_Toc5358"/>
      <w:bookmarkStart w:id="72" w:name="_Toc19996"/>
      <w:bookmarkStart w:id="73" w:name="_Toc24587"/>
      <w:r>
        <w:rPr>
          <w:rFonts w:hint="default" w:ascii="Times New Roman" w:hAnsi="Times New Roman" w:cs="Times New Roman"/>
          <w:b w:val="0"/>
          <w:bCs w:val="0"/>
        </w:rPr>
        <w:t xml:space="preserve">  纵深推进京津冀协同发展，全力打造战略合作功能区</w:t>
      </w:r>
      <w:bookmarkEnd w:id="68"/>
      <w:bookmarkEnd w:id="70"/>
      <w:bookmarkEnd w:id="71"/>
      <w:bookmarkEnd w:id="72"/>
      <w:bookmarkEnd w:id="73"/>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落实推动京津冀协同发展走深走实行动，统筹深度融入和积极引入，促进区域创新链产业链高效协作，加强滨海新区与河北雄安新区、北京城市副中心错位联动发展，在服务重大国家战略、建设京津冀世界级城市群中提升发展能级，助力打造中国式现代化建设先行区、示范区。</w:t>
      </w:r>
      <w:bookmarkStart w:id="74" w:name="_Toc141"/>
      <w:bookmarkStart w:id="75" w:name="_Toc19650"/>
      <w:bookmarkStart w:id="76" w:name="_Toc14215"/>
      <w:bookmarkStart w:id="77" w:name="_Toc8750"/>
    </w:p>
    <w:p>
      <w:pPr>
        <w:pStyle w:val="4"/>
        <w:keepLines w:val="0"/>
        <w:widowControl w:val="0"/>
        <w:kinsoku/>
        <w:wordWrap/>
        <w:overflowPunct w:val="0"/>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78" w:name="_Toc219296978"/>
      <w:r>
        <w:rPr>
          <w:rFonts w:hint="default" w:ascii="Times New Roman" w:hAnsi="Times New Roman" w:cs="Times New Roman"/>
          <w:b w:val="0"/>
          <w:bCs w:val="0"/>
          <w:color w:val="000000"/>
        </w:rPr>
        <w:t>第一节  全力服务北京非首都功能疏解</w:t>
      </w:r>
      <w:bookmarkEnd w:id="74"/>
      <w:bookmarkEnd w:id="75"/>
      <w:bookmarkEnd w:id="76"/>
      <w:bookmarkEnd w:id="77"/>
      <w:bookmarkEnd w:id="78"/>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优化重点承接平台。</w:t>
      </w:r>
      <w:bookmarkStart w:id="79" w:name="_Hlk219107309"/>
      <w:r>
        <w:rPr>
          <w:rFonts w:hint="default" w:ascii="Times New Roman" w:hAnsi="Times New Roman" w:eastAsia="仿宋_GB2312" w:cs="Times New Roman"/>
          <w:b w:val="0"/>
          <w:bCs w:val="0"/>
          <w:snapToGrid w:val="0"/>
          <w:color w:val="000000"/>
          <w:kern w:val="32"/>
          <w:sz w:val="32"/>
          <w:szCs w:val="36"/>
        </w:rPr>
        <w:t>加强各开发区与京津冀园区合作，完善打造一批特色化承接平台。构建各平台梯度承接格局，推动滨海—中关村科技园打造科技创新与产业创新深度融合新高地，逸仙智创园打造承接非首都功能疏解“桥头堡”。</w:t>
      </w:r>
      <w:bookmarkEnd w:id="79"/>
      <w:r>
        <w:rPr>
          <w:rFonts w:hint="default" w:ascii="Times New Roman" w:hAnsi="Times New Roman" w:eastAsia="仿宋_GB2312" w:cs="Times New Roman"/>
          <w:b w:val="0"/>
          <w:bCs w:val="0"/>
          <w:snapToGrid w:val="0"/>
          <w:color w:val="000000"/>
          <w:kern w:val="32"/>
          <w:sz w:val="32"/>
          <w:szCs w:val="36"/>
        </w:rPr>
        <w:t>深化站产城融合发展，依托滨海站等，创新“交通枢纽+特色主题园区”辐射合作模式，培育一批首都外溢资源承接“微中心”。</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完善承接疏解机制。</w:t>
      </w:r>
      <w:bookmarkStart w:id="80" w:name="_Hlk219107390"/>
      <w:r>
        <w:rPr>
          <w:rFonts w:hint="default" w:ascii="Times New Roman" w:hAnsi="Times New Roman" w:eastAsia="仿宋_GB2312" w:cs="Times New Roman"/>
          <w:b w:val="0"/>
          <w:bCs w:val="0"/>
          <w:snapToGrid w:val="0"/>
          <w:color w:val="000000"/>
          <w:kern w:val="32"/>
          <w:sz w:val="32"/>
          <w:szCs w:val="36"/>
        </w:rPr>
        <w:t>建立疏解项目利益共享机制，打破跨区域的管理制度与政策壁垒，最大限度激发疏解和承接双方合作积极性。建立完善与中央机构、京津冀三地联合机构、三地协同机构的三级高效对接会商机制，积极参与新一轮疏解清单编制。建立健全服务企业整体迁移、功能板块设立的支持政策体系，增强园区综合配套服务能力。</w:t>
      </w:r>
      <w:bookmarkEnd w:id="80"/>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加强疏解项目导入。坚持政府和市场双向发力，</w:t>
      </w:r>
      <w:bookmarkStart w:id="81" w:name="_Hlk219107420"/>
      <w:r>
        <w:rPr>
          <w:rFonts w:hint="default" w:ascii="Times New Roman" w:hAnsi="Times New Roman" w:eastAsia="仿宋_GB2312" w:cs="Times New Roman"/>
          <w:b w:val="0"/>
          <w:bCs w:val="0"/>
          <w:snapToGrid w:val="0"/>
          <w:color w:val="000000"/>
          <w:kern w:val="32"/>
          <w:sz w:val="32"/>
          <w:szCs w:val="36"/>
        </w:rPr>
        <w:t>加快导入符合滨海新区功能定位、产业特色的在京企业总部及分支机构，市场化引入更多标志性、带动性项目。重点承接成果转化、现代物流、先进制造等功能，争取布局一批重大生产力项目，</w:t>
      </w:r>
      <w:bookmarkEnd w:id="81"/>
      <w:r>
        <w:rPr>
          <w:rFonts w:hint="default" w:ascii="Times New Roman" w:hAnsi="Times New Roman" w:eastAsia="仿宋_GB2312" w:cs="Times New Roman"/>
          <w:b w:val="0"/>
          <w:bCs w:val="0"/>
          <w:snapToGrid w:val="0"/>
          <w:color w:val="000000"/>
          <w:kern w:val="32"/>
          <w:sz w:val="32"/>
          <w:szCs w:val="36"/>
        </w:rPr>
        <w:t>带动创新、产业、人才等资源向滨海新区集聚。完善京津冀重点招商企业清单和服务专员制度，加强对入驻央企及京津冀重大合作项目全生命周期管理服务。</w:t>
      </w:r>
    </w:p>
    <w:p>
      <w:pPr>
        <w:pStyle w:val="4"/>
        <w:keepLines w:val="0"/>
        <w:widowControl w:val="0"/>
        <w:kinsoku/>
        <w:wordWrap/>
        <w:overflowPunct w:val="0"/>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82" w:name="_Toc219296979"/>
      <w:r>
        <w:rPr>
          <w:rFonts w:hint="default" w:ascii="Times New Roman" w:hAnsi="Times New Roman" w:cs="Times New Roman"/>
          <w:b w:val="0"/>
          <w:bCs w:val="0"/>
          <w:color w:val="000000"/>
        </w:rPr>
        <w:t>第二节  全面加强协同创新和产业协作</w:t>
      </w:r>
      <w:bookmarkEnd w:id="82"/>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融入构建协同创新共同体。</w:t>
      </w:r>
      <w:bookmarkStart w:id="83" w:name="_Hlk219107459"/>
      <w:r>
        <w:rPr>
          <w:rFonts w:hint="default" w:ascii="Times New Roman" w:hAnsi="Times New Roman" w:eastAsia="仿宋_GB2312" w:cs="Times New Roman"/>
          <w:b w:val="0"/>
          <w:bCs w:val="0"/>
          <w:snapToGrid w:val="0"/>
          <w:color w:val="000000"/>
          <w:kern w:val="32"/>
          <w:sz w:val="32"/>
          <w:szCs w:val="36"/>
        </w:rPr>
        <w:t>加强与北京“三城一区”、河北雄安新区联动，打造高效协同创新网络，在脑机接口等领域谋划布局国家级创新平台基地。加强与怀柔科学城等地的重大科研基础设施和大型科研仪器开放共享、算力基础设施共用，推动关键核心技术联合攻关、应用场景联建联用。</w:t>
      </w:r>
      <w:bookmarkEnd w:id="83"/>
      <w:r>
        <w:rPr>
          <w:rFonts w:hint="default" w:ascii="Times New Roman" w:hAnsi="Times New Roman" w:eastAsia="仿宋_GB2312" w:cs="Times New Roman"/>
          <w:b w:val="0"/>
          <w:bCs w:val="0"/>
          <w:snapToGrid w:val="0"/>
          <w:color w:val="000000"/>
          <w:kern w:val="32"/>
          <w:sz w:val="32"/>
          <w:szCs w:val="36"/>
        </w:rPr>
        <w:t>建好建优建强芯片微系统、天津药物研究院等京津冀概念验证平台和北化院天津基地化工材料、细胞与基因治疗、智能生物制造等中试平台，布局建设一批人工智能、清洁低碳氢、重大技术装备等关键行业领域概念验证中心、小试中试平台，支持北京高水平科技服务机构、孵化器在滨海新区设立分支机构，提升技术熟化、产业试制等全链条服务能力。</w:t>
      </w:r>
      <w:bookmarkStart w:id="84" w:name="_Hlk219107478"/>
      <w:r>
        <w:rPr>
          <w:rFonts w:hint="default" w:ascii="Times New Roman" w:hAnsi="Times New Roman" w:eastAsia="仿宋_GB2312" w:cs="Times New Roman"/>
          <w:b w:val="0"/>
          <w:bCs w:val="0"/>
          <w:snapToGrid w:val="0"/>
          <w:color w:val="000000"/>
          <w:kern w:val="32"/>
          <w:sz w:val="32"/>
          <w:szCs w:val="36"/>
        </w:rPr>
        <w:t>健全科技成果转化机制，提高区域内成果转化效率和比重，协同构建“京津研发、区域转化”格局。</w:t>
      </w:r>
    </w:p>
    <w:bookmarkEnd w:id="84"/>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  科技创新协同重点平台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24" w:firstLineChars="200"/>
              <w:rPr>
                <w:rFonts w:hint="default" w:ascii="Times New Roman" w:hAnsi="Times New Roman" w:eastAsia="仿宋_GB2312" w:cs="Times New Roman"/>
                <w:b w:val="0"/>
                <w:bCs w:val="0"/>
                <w:snapToGrid w:val="0"/>
                <w:color w:val="000000"/>
                <w:spacing w:val="-4"/>
                <w:kern w:val="32"/>
                <w:sz w:val="32"/>
                <w:szCs w:val="36"/>
              </w:rPr>
            </w:pPr>
            <w:r>
              <w:rPr>
                <w:rFonts w:hint="default" w:ascii="Times New Roman" w:hAnsi="Times New Roman" w:eastAsia="仿宋_GB2312" w:cs="Times New Roman"/>
                <w:b w:val="0"/>
                <w:bCs w:val="0"/>
                <w:snapToGrid w:val="0"/>
                <w:color w:val="000000"/>
                <w:spacing w:val="-4"/>
                <w:kern w:val="32"/>
                <w:sz w:val="32"/>
                <w:szCs w:val="36"/>
              </w:rPr>
              <w:t>颠覆性创新平台：用好脑机交互技术实验室、细胞生态技术实验室、微纳光电子技术共建实验室、电子信息技术实验室、生物医药工程实验室、智能传感创新中心、信创产业创新中心等创新平台，共建区域创新中心，推动颠覆性技术创新项目落地转化。</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概念验证平台：建强天津药物研究院等12家京津冀概念验证平台，聚焦智能科技、生命科技、低碳科技等重点领域，布局建设一批概念验证平台。</w:t>
            </w:r>
          </w:p>
          <w:p>
            <w:pPr>
              <w:keepLines w:val="0"/>
              <w:widowControl w:val="0"/>
              <w:kinsoku/>
              <w:wordWrap/>
              <w:overflowPunct w:val="0"/>
              <w:topLinePunct w:val="0"/>
              <w:autoSpaceDE/>
              <w:autoSpaceDN/>
              <w:bidi w:val="0"/>
              <w:adjustRightInd/>
              <w:snapToGrid/>
              <w:spacing w:line="560" w:lineRule="exact"/>
              <w:ind w:firstLine="632" w:firstLineChars="200"/>
              <w:rPr>
                <w:rFonts w:hint="default" w:ascii="Times New Roman" w:hAnsi="Times New Roman" w:eastAsia="仿宋_GB2312" w:cs="Times New Roman"/>
                <w:b w:val="0"/>
                <w:bCs w:val="0"/>
                <w:snapToGrid w:val="0"/>
                <w:color w:val="000000"/>
                <w:spacing w:val="-2"/>
                <w:kern w:val="32"/>
                <w:sz w:val="32"/>
                <w:szCs w:val="36"/>
              </w:rPr>
            </w:pPr>
            <w:r>
              <w:rPr>
                <w:rFonts w:hint="default" w:ascii="Times New Roman" w:hAnsi="Times New Roman" w:eastAsia="仿宋_GB2312" w:cs="Times New Roman"/>
                <w:b w:val="0"/>
                <w:bCs w:val="0"/>
                <w:snapToGrid w:val="0"/>
                <w:color w:val="000000"/>
                <w:spacing w:val="-2"/>
                <w:kern w:val="32"/>
                <w:sz w:val="32"/>
                <w:szCs w:val="36"/>
              </w:rPr>
              <w:t>中试平台：做优北化院天津基地化工材料、细胞与基因治疗、智能生物制造等国家级制造业中试平台，争创国家级制造业中试平台，推动产业科技创新成果工程化突破和产业化应用。</w:t>
            </w:r>
          </w:p>
        </w:tc>
      </w:tr>
    </w:tbl>
    <w:p>
      <w:pPr>
        <w:keepLines w:val="0"/>
        <w:pageBreakBefore w:val="0"/>
        <w:widowControl w:val="0"/>
        <w:kinsoku/>
        <w:wordWrap/>
        <w:overflowPunct w:val="0"/>
        <w:topLinePunct w:val="0"/>
        <w:autoSpaceDE/>
        <w:autoSpaceDN/>
        <w:bidi w:val="0"/>
        <w:adjustRightInd/>
        <w:snapToGrid/>
        <w:spacing w:line="560" w:lineRule="exact"/>
        <w:ind w:firstLine="616" w:firstLineChars="200"/>
        <w:rPr>
          <w:rFonts w:hint="default" w:ascii="Times New Roman" w:hAnsi="Times New Roman" w:eastAsia="仿宋_GB2312" w:cs="Times New Roman"/>
          <w:b w:val="0"/>
          <w:bCs w:val="0"/>
          <w:snapToGrid w:val="0"/>
          <w:color w:val="000000"/>
          <w:spacing w:val="-6"/>
          <w:kern w:val="32"/>
          <w:sz w:val="32"/>
          <w:szCs w:val="36"/>
        </w:rPr>
      </w:pPr>
      <w:r>
        <w:rPr>
          <w:rFonts w:hint="default" w:ascii="Times New Roman" w:hAnsi="Times New Roman" w:eastAsia="仿宋_GB2312" w:cs="Times New Roman"/>
          <w:b w:val="0"/>
          <w:bCs w:val="0"/>
          <w:snapToGrid w:val="0"/>
          <w:color w:val="000000"/>
          <w:spacing w:val="-6"/>
          <w:kern w:val="32"/>
          <w:sz w:val="32"/>
          <w:szCs w:val="36"/>
        </w:rPr>
        <w:t>打造引领区域转型升级的重要引擎。</w:t>
      </w:r>
      <w:bookmarkStart w:id="85" w:name="_Hlk219107543"/>
      <w:r>
        <w:rPr>
          <w:rFonts w:hint="default" w:ascii="Times New Roman" w:hAnsi="Times New Roman" w:eastAsia="仿宋_GB2312" w:cs="Times New Roman"/>
          <w:b w:val="0"/>
          <w:bCs w:val="0"/>
          <w:snapToGrid w:val="0"/>
          <w:color w:val="000000"/>
          <w:spacing w:val="-6"/>
          <w:kern w:val="32"/>
          <w:sz w:val="32"/>
          <w:szCs w:val="36"/>
        </w:rPr>
        <w:t>深度服务京津冀“六链五群”共建</w:t>
      </w:r>
      <w:bookmarkEnd w:id="85"/>
      <w:r>
        <w:rPr>
          <w:rFonts w:hint="default" w:ascii="Times New Roman" w:hAnsi="Times New Roman" w:eastAsia="仿宋_GB2312" w:cs="Times New Roman"/>
          <w:b w:val="0"/>
          <w:bCs w:val="0"/>
          <w:snapToGrid w:val="0"/>
          <w:color w:val="000000"/>
          <w:spacing w:val="-6"/>
          <w:kern w:val="32"/>
          <w:sz w:val="32"/>
          <w:szCs w:val="36"/>
        </w:rPr>
        <w:t>，推动网络安全和工业互联网等重点产业链图谱落地。实施京津冀新一代信息技术等国家级先进制造业集群提升行动。升级新能源和智能网联汽车、生物医药、氢能、机器人和工业母机等产业链配套能力，构建梯次有序、优势互补的区域产业体系。拓展重点产业协作新领域，协同培育新的产业链、产业集群。用足用好京津冀协同发展产业投资基金，合力打造世界级先进制造业集群。</w:t>
      </w:r>
    </w:p>
    <w:bookmarkEnd w:id="69"/>
    <w:p>
      <w:pPr>
        <w:pStyle w:val="4"/>
        <w:keepLines w:val="0"/>
        <w:pageBreakBefore w:val="0"/>
        <w:widowControl w:val="0"/>
        <w:kinsoku/>
        <w:wordWrap/>
        <w:overflowPunct w:val="0"/>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86" w:name="_Toc219296980"/>
      <w:r>
        <w:rPr>
          <w:rFonts w:hint="default" w:ascii="Times New Roman" w:hAnsi="Times New Roman" w:cs="Times New Roman"/>
          <w:b w:val="0"/>
          <w:bCs w:val="0"/>
          <w:color w:val="000000"/>
        </w:rPr>
        <w:t>第三节  深化拓展重点领域一体化同城化</w:t>
      </w:r>
      <w:bookmarkEnd w:id="86"/>
    </w:p>
    <w:p>
      <w:pPr>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87" w:name="_Hlk219107771"/>
      <w:r>
        <w:rPr>
          <w:rFonts w:hint="default" w:ascii="Times New Roman" w:hAnsi="Times New Roman" w:eastAsia="仿宋_GB2312" w:cs="Times New Roman"/>
          <w:b w:val="0"/>
          <w:bCs w:val="0"/>
          <w:snapToGrid w:val="0"/>
          <w:color w:val="000000"/>
          <w:kern w:val="32"/>
          <w:sz w:val="32"/>
          <w:szCs w:val="36"/>
        </w:rPr>
        <w:t>融入现代化首都城市功能圈</w:t>
      </w:r>
      <w:bookmarkEnd w:id="87"/>
      <w:r>
        <w:rPr>
          <w:rFonts w:hint="default" w:ascii="Times New Roman" w:hAnsi="Times New Roman" w:eastAsia="仿宋_GB2312" w:cs="Times New Roman"/>
          <w:b w:val="0"/>
          <w:bCs w:val="0"/>
          <w:snapToGrid w:val="0"/>
          <w:color w:val="000000"/>
          <w:kern w:val="32"/>
          <w:sz w:val="32"/>
          <w:szCs w:val="36"/>
        </w:rPr>
        <w:t>。</w:t>
      </w:r>
      <w:bookmarkStart w:id="88" w:name="_Hlk219107574"/>
      <w:r>
        <w:rPr>
          <w:rFonts w:hint="default" w:ascii="Times New Roman" w:hAnsi="Times New Roman" w:eastAsia="仿宋_GB2312" w:cs="Times New Roman"/>
          <w:b w:val="0"/>
          <w:bCs w:val="0"/>
          <w:snapToGrid w:val="0"/>
          <w:color w:val="000000"/>
          <w:kern w:val="32"/>
          <w:sz w:val="32"/>
          <w:szCs w:val="36"/>
        </w:rPr>
        <w:t>提升公共服务设施国际化水平，高标准承接国际会展、会议，打造服务首都国际交往功能“首选地”。建设国家能源储运基地，完善粮食应急保障体系，完善国家骨干冷链物流基地，打造京津冀能源物资保障“供应地”。强化与京冀地区文旅资源对接、区域消费联动，联合开发特色旅游产品和精品路线，协同推出文旅消费惠民措施，促进消费品牌共建、市场互拓、服务互联，打造京津冀宜游宜乐“后花园”。</w:t>
      </w:r>
    </w:p>
    <w:bookmarkEnd w:id="88"/>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专栏2  能源物资保障重点工程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能源工程：渤中26-6油田开发二期、实华原油储备库扩能升级改造、油田千米桥储气库二期、天津液化天然气外输管道复线等工程。</w:t>
            </w:r>
          </w:p>
          <w:p>
            <w:pPr>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粮食工程：天津港保税区现代粮食物流（产业）示范园区多式联运二期、港口型国家粮食物流核心枢纽新建20万吨粮食仓储等工程。</w:t>
            </w:r>
          </w:p>
          <w:p>
            <w:pPr>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冷链工程：中心渔港国家骨干冷链物流基地示范园区、天津滨海国际农产品交易中心等工程。</w:t>
            </w:r>
          </w:p>
        </w:tc>
      </w:tr>
    </w:tbl>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bookmarkStart w:id="89" w:name="_Hlk219107799"/>
      <w:r>
        <w:rPr>
          <w:rFonts w:hint="default" w:ascii="Times New Roman" w:hAnsi="Times New Roman" w:eastAsia="仿宋_GB2312" w:cs="Times New Roman"/>
          <w:b w:val="0"/>
          <w:bCs w:val="0"/>
          <w:snapToGrid w:val="0"/>
          <w:color w:val="000000"/>
          <w:kern w:val="32"/>
          <w:sz w:val="32"/>
          <w:szCs w:val="36"/>
        </w:rPr>
        <w:t>优化一体化交通网络。深度融入“轨道上的京津冀”，强化铁路枢纽地位，增加开行列车车次，打造密接京冀、通达环渤海的铁路交通网络。</w:t>
      </w:r>
      <w:bookmarkEnd w:id="89"/>
      <w:r>
        <w:rPr>
          <w:rFonts w:hint="default" w:ascii="Times New Roman" w:hAnsi="Times New Roman" w:eastAsia="仿宋_GB2312" w:cs="Times New Roman"/>
          <w:b w:val="0"/>
          <w:bCs w:val="0"/>
          <w:snapToGrid w:val="0"/>
          <w:color w:val="000000"/>
          <w:kern w:val="32"/>
          <w:sz w:val="32"/>
          <w:szCs w:val="36"/>
        </w:rPr>
        <w:t>助力打造“航道上的京津冀”，深化津冀港口政府间协同和市场化合作，提升河北雄安新区至天津港出海通道功能。深化津冀港口投资运营合作，提升天津港对北京、雄安企业的定制化个性化服务，强化与北京大兴等机场协调联动，协同建设世界级港口群、机场群。</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专栏3  一体化交通网络重点工程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轨道交通工程：津潍高铁（天津段）、京滨城际（南段）、黄万铁路电气化改造、南港港铁物流专用线二期、新港北集装箱中心站第三线束、大沽口港区临港粮油产业园专用线、临港综合保税区专用线等工程。</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干线公路工程：兴港高速公路、滨唐高速公路、秦滨高速南段改扩建等工程。</w:t>
            </w:r>
          </w:p>
        </w:tc>
      </w:tr>
    </w:tbl>
    <w:p>
      <w:pPr>
        <w:keepLines w:val="0"/>
        <w:widowControl w:val="0"/>
        <w:kinsoku/>
        <w:wordWrap/>
        <w:overflowPunct w:val="0"/>
        <w:topLinePunct w:val="0"/>
        <w:autoSpaceDE/>
        <w:autoSpaceDN/>
        <w:bidi w:val="0"/>
        <w:adjustRightInd/>
        <w:snapToGrid/>
        <w:spacing w:line="560" w:lineRule="exact"/>
        <w:ind w:firstLine="616" w:firstLineChars="200"/>
        <w:rPr>
          <w:rFonts w:hint="default" w:ascii="Times New Roman" w:hAnsi="Times New Roman" w:eastAsia="仿宋_GB2312" w:cs="Times New Roman"/>
          <w:b w:val="0"/>
          <w:bCs w:val="0"/>
          <w:snapToGrid w:val="0"/>
          <w:color w:val="000000"/>
          <w:spacing w:val="-6"/>
          <w:kern w:val="32"/>
          <w:sz w:val="32"/>
          <w:szCs w:val="36"/>
        </w:rPr>
      </w:pPr>
      <w:r>
        <w:rPr>
          <w:rFonts w:hint="default" w:ascii="Times New Roman" w:hAnsi="Times New Roman" w:eastAsia="仿宋_GB2312" w:cs="Times New Roman"/>
          <w:b w:val="0"/>
          <w:bCs w:val="0"/>
          <w:snapToGrid w:val="0"/>
          <w:color w:val="000000"/>
          <w:spacing w:val="-6"/>
          <w:kern w:val="32"/>
          <w:sz w:val="32"/>
          <w:szCs w:val="36"/>
        </w:rPr>
        <w:t>加强公共服务共建共享。依托京津冀教育协同发展共同体，深入开展教育交流合作，创新名师交流、职业教育共建等合作机制，加强“京津协同班”建设。推动医疗卫生服务资源共享和联动协作，优化京津冀异地就医直接结算服务，扩大医疗机构检查检验结果互认范围。不断完善社保服务机制，拓展“一卡通”应用范围。</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推动政务服务提质扩容。扩大京津冀资质资格互认范围，参与建设京津冀行政许可结果互认负面清单制度，推动政务数据共享互联。深化管理政务服务“跨省通办”“同事同标”事项，</w:t>
      </w:r>
      <w:bookmarkStart w:id="90" w:name="_Hlk219107686"/>
      <w:r>
        <w:rPr>
          <w:rFonts w:hint="default" w:ascii="Times New Roman" w:hAnsi="Times New Roman" w:eastAsia="仿宋_GB2312" w:cs="Times New Roman"/>
          <w:b w:val="0"/>
          <w:bCs w:val="0"/>
          <w:snapToGrid w:val="0"/>
          <w:color w:val="000000"/>
          <w:kern w:val="32"/>
          <w:sz w:val="32"/>
          <w:szCs w:val="36"/>
        </w:rPr>
        <w:t>推动更多直接关系企业群众的高频次应用事项跨域通办、异地可办</w:t>
      </w:r>
      <w:bookmarkEnd w:id="90"/>
      <w:r>
        <w:rPr>
          <w:rFonts w:hint="default" w:ascii="Times New Roman" w:hAnsi="Times New Roman" w:eastAsia="仿宋_GB2312" w:cs="Times New Roman"/>
          <w:b w:val="0"/>
          <w:bCs w:val="0"/>
          <w:snapToGrid w:val="0"/>
          <w:color w:val="000000"/>
          <w:kern w:val="32"/>
          <w:sz w:val="32"/>
          <w:szCs w:val="36"/>
        </w:rPr>
        <w:t>。推进企业开办、变更、注销等政策一致、流程统一。打通非京籍北京人口落户滨海新区渠道，探索实施已缴纳北京社保期限在落户时视同在津已缴期限等政策。</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91" w:name="_Hlk219107706"/>
      <w:r>
        <w:rPr>
          <w:rFonts w:hint="default" w:ascii="Times New Roman" w:hAnsi="Times New Roman" w:eastAsia="仿宋_GB2312" w:cs="Times New Roman"/>
          <w:b w:val="0"/>
          <w:bCs w:val="0"/>
          <w:snapToGrid w:val="0"/>
          <w:color w:val="000000"/>
          <w:kern w:val="32"/>
          <w:sz w:val="32"/>
          <w:szCs w:val="36"/>
        </w:rPr>
        <w:t>加强生态环境联建联防联治</w:t>
      </w:r>
      <w:bookmarkEnd w:id="91"/>
      <w:r>
        <w:rPr>
          <w:rFonts w:hint="default" w:ascii="Times New Roman" w:hAnsi="Times New Roman" w:eastAsia="仿宋_GB2312" w:cs="Times New Roman"/>
          <w:b w:val="0"/>
          <w:bCs w:val="0"/>
          <w:snapToGrid w:val="0"/>
          <w:color w:val="000000"/>
          <w:kern w:val="32"/>
          <w:sz w:val="32"/>
          <w:szCs w:val="36"/>
        </w:rPr>
        <w:t>。深化京津冀大气污染联防联控、水环境联防联治、危险废物处置区域合作、生态环境执法和应急联动，助力美丽中国先行区建设。强化重污染天气预警会商，加强京津冀跨界河流管理调度联动，深化湿地自然保护区保护修复，加强渤海近岸海域生态防护带建设。</w:t>
      </w:r>
    </w:p>
    <w:p>
      <w:pPr>
        <w:pStyle w:val="3"/>
        <w:keepLines w:val="0"/>
        <w:widowControl w:val="0"/>
        <w:kinsoku/>
        <w:wordWrap/>
        <w:overflowPunct w:val="0"/>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92" w:name="_Toc219296981"/>
      <w:r>
        <w:rPr>
          <w:rFonts w:hint="default" w:ascii="Times New Roman" w:hAnsi="Times New Roman" w:cs="Times New Roman"/>
          <w:b w:val="0"/>
          <w:bCs w:val="0"/>
        </w:rPr>
        <w:t>第四章</w:t>
      </w:r>
      <w:bookmarkStart w:id="93" w:name="_Toc32434"/>
      <w:bookmarkEnd w:id="93"/>
      <w:bookmarkStart w:id="94" w:name="_Toc25316"/>
      <w:bookmarkEnd w:id="94"/>
      <w:bookmarkStart w:id="95" w:name="_Toc25285"/>
      <w:bookmarkEnd w:id="95"/>
      <w:bookmarkStart w:id="96" w:name="_Toc3619"/>
      <w:bookmarkEnd w:id="96"/>
      <w:r>
        <w:rPr>
          <w:rFonts w:hint="default" w:ascii="Times New Roman" w:hAnsi="Times New Roman" w:cs="Times New Roman"/>
          <w:b w:val="0"/>
          <w:bCs w:val="0"/>
        </w:rPr>
        <w:t xml:space="preserve">  坚持制造强区，壮大现代化产业体系</w:t>
      </w:r>
      <w:bookmarkEnd w:id="92"/>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坚持智能化、绿色化、融合化方向，推动产业结构优化升级、新旧动能接续转换，更好统筹先进制造业和现代服务业发展，促进主导产业集群集聚、全产业链创新发展，完善“八大主导产业、八大服务业、八大未来产业”现代化产业体系，巩固壮大实体经济根基，打造全国先进制造研发基地核心区。</w:t>
      </w:r>
    </w:p>
    <w:p>
      <w:pPr>
        <w:pStyle w:val="4"/>
        <w:keepLines w:val="0"/>
        <w:widowControl w:val="0"/>
        <w:kinsoku/>
        <w:wordWrap/>
        <w:overflowPunct w:val="0"/>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97" w:name="_Toc27578"/>
      <w:bookmarkStart w:id="98" w:name="_Toc219296982"/>
      <w:r>
        <w:rPr>
          <w:rFonts w:hint="default" w:ascii="Times New Roman" w:hAnsi="Times New Roman" w:cs="Times New Roman"/>
          <w:b w:val="0"/>
          <w:bCs w:val="0"/>
          <w:color w:val="000000"/>
        </w:rPr>
        <w:t>第一节</w:t>
      </w:r>
      <w:bookmarkEnd w:id="97"/>
      <w:r>
        <w:rPr>
          <w:rFonts w:hint="default" w:ascii="Times New Roman" w:hAnsi="Times New Roman" w:cs="Times New Roman"/>
          <w:b w:val="0"/>
          <w:bCs w:val="0"/>
          <w:color w:val="000000"/>
        </w:rPr>
        <w:t xml:space="preserve">  优化提升传统产业</w:t>
      </w:r>
      <w:bookmarkEnd w:id="98"/>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加快传统产业“焕新蝶变”。</w:t>
      </w:r>
      <w:bookmarkStart w:id="99" w:name="_Hlk219108612"/>
      <w:r>
        <w:rPr>
          <w:rFonts w:hint="default" w:ascii="Times New Roman" w:hAnsi="Times New Roman" w:eastAsia="仿宋_GB2312" w:cs="Times New Roman"/>
          <w:b w:val="0"/>
          <w:bCs w:val="0"/>
          <w:snapToGrid w:val="0"/>
          <w:color w:val="000000"/>
          <w:kern w:val="32"/>
          <w:sz w:val="32"/>
          <w:szCs w:val="36"/>
        </w:rPr>
        <w:t>巩固传统产业支柱地位，推动重点产业提质升级，支持石化、汽车、装备制造等领域龙头企业依规扩大产能，推进产品向中高端迈进，填补化工新材料、特种装备等领域国内空白。提升产业链供应链自主可控水平，加快产业链“锻长补短”，深度参与国家制造业重点产业链高质量发展行动。强化产业基础再造和重大技术装备攻关，以技术突破带动产品升级、流程优化和产业转型。推动装备制造产业核心环节建链布局，加快精密轴承、工业传感器等关键零部件技术攻关与国产化替代。建强汽车产业电机电控电池、智能网联等产业链，积极融入北京整车供应链体系。推动石化、装备制造等产业延链增值，补齐芳烃产业链短板。大力发展智能制造，支持中小企业开展“低成本、轻量化、模块化”数字化改造，推动生产要素数字化配置、生产过程智能化管控，提升生产效率和管理水平。大力发展绿色制造，强化标准引领，建立健全绿色供应链管理体系，强化新技术、新材料、新装备、新工艺运用，研发推广一批低碳零碳负碳工艺装备产品，有效降低资源能源消耗。加强品牌建设，培育一批国家和市级企业标准“领跑者”，提升传统产业市场品牌影响力。</w:t>
      </w:r>
    </w:p>
    <w:bookmarkEnd w:id="99"/>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专栏4  传统产业“焕新蝶变”行动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绿色石化：向高端化、绿色化、融合化发展，重点发展特种烯烃衍生物、先进化工材料、高端精细及专用化学品。特种烯烃衍生物，发展乙烯、丙烯、丁烯及其衍生物、戊烯及其衍生物等产品。先进化工材料，发展高端聚烯烃专用树脂、特种工程塑料、先进复合材料、新能源材料、膜材料、生物医用材料等产品。高端精细及专用化学品，发展新型催化剂、特种添加剂、新型助剂、生活消费化学品等产品。</w:t>
            </w:r>
          </w:p>
          <w:p>
            <w:pPr>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汽车及新能源汽车：向新能源、智能网联化转型，重点发展整车、核心零部件、智能网联应用。整车制造，发展中高端乘用车，导入新能源适销车型，布局醇氢电动汽车、氢燃料电池商用车等产品。关键核心零部件，发展车身及底盘、动力系统、汽车电子、车辆控制器、车载控制单元等产品，补齐燃料电池电堆、电控系统电桥总成、雷达、智能座舱等短板。智能网联汽车，扩大智能车身、座舱、网联系统等产能，开展商业化示范应用。</w:t>
            </w:r>
          </w:p>
          <w:p>
            <w:pPr>
              <w:keepLines w:val="0"/>
              <w:pageBreakBefore w:val="0"/>
              <w:widowControl w:val="0"/>
              <w:kinsoku/>
              <w:wordWrap/>
              <w:overflowPunct w:val="0"/>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装备制造：向自主化、成套化发展，重点发展海工装备、智能装备。海工装备，做强大型船舶、特种船舶、大型船舶海工修造和改装，发展大型膜法、热法海水淡化成套装备等海水淡化装备。智能装备，发展高精度传感器、智能诊断终端、碳纤维结构件、精密传动部件等产品。</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00" w:name="_Toc219296983"/>
      <w:r>
        <w:rPr>
          <w:rFonts w:hint="default" w:ascii="Times New Roman" w:hAnsi="Times New Roman" w:cs="Times New Roman"/>
          <w:b w:val="0"/>
          <w:bCs w:val="0"/>
          <w:color w:val="000000"/>
        </w:rPr>
        <w:t>第二节</w:t>
      </w:r>
      <w:bookmarkStart w:id="101" w:name="_Hlk219108724"/>
      <w:r>
        <w:rPr>
          <w:rFonts w:hint="default" w:ascii="Times New Roman" w:hAnsi="Times New Roman" w:cs="Times New Roman"/>
          <w:b w:val="0"/>
          <w:bCs w:val="0"/>
          <w:color w:val="000000"/>
        </w:rPr>
        <w:t xml:space="preserve">  培育壮大新兴产业和未来产业</w:t>
      </w:r>
      <w:bookmarkEnd w:id="100"/>
      <w:bookmarkEnd w:id="101"/>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02" w:name="_Hlk219108748"/>
      <w:r>
        <w:rPr>
          <w:rFonts w:hint="default" w:ascii="Times New Roman" w:hAnsi="Times New Roman" w:eastAsia="仿宋_GB2312" w:cs="Times New Roman"/>
          <w:b w:val="0"/>
          <w:bCs w:val="0"/>
          <w:snapToGrid w:val="0"/>
          <w:color w:val="000000"/>
          <w:kern w:val="32"/>
          <w:sz w:val="32"/>
          <w:szCs w:val="36"/>
        </w:rPr>
        <w:t>推动新兴产业“厚积成势”。壮大新兴产业规模，培育形成新兴支柱产业，支持新一代信息技术、生物医药、新能源、新材料、航空航天等产业扩能倍增，创建一批国家新兴产业发展示范基地。完善产业生态，支持产业链上下游企业联合构建开放创新平台、产业创新生态系统，围绕龙头企业加快航空产业垂直整合。引导关联产业链耦合发展，催生更多新产业、新业态、新商业模式，有序发展低空经济，壮大整机生产、关键系统及核心零部件规模。加快推进技术研究开发，促进新技术新产品规模化应用和迭代升级，培育壮大一批科技领军企业。促进场景培育和开放，打造更多数字经济、人工智能、生物技术等新领域新赛道应用场景，进一步开放社会治理、民生服务等应用场景，支持信息技术与应用创新产品在金融、通信、能源等行业应用推广，构建自主开源社区与生态，强化创新药、高端医疗器械在临床诊断、治疗、康复等方面应用，拓展卫星在气象监测、导航定位、应急通信等领域应用。加快军民融合发展。</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促进未来产业“抢滩竞跑”。前瞻布局未来产业，重点发展生物制造、细胞和基因治疗、脑机接口、核心软硬件、空天利用等高成长赛道，积极培育具身智能、纳米制造、第六代移动通信（6G）等高潜力赛道，加快建设未来产业先导区。打造未来技术应用和未来产业融合实验场，构建“早期验证—融合试验—综合推广”场景应用创新体系。</w:t>
      </w:r>
    </w:p>
    <w:bookmarkEnd w:id="102"/>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专栏5  新兴产业“厚积成势”行动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新一代信息技术产业：巩固信息技术与应用创新产业优势，发展电子信息制造和软件信息服务业。人工智能（信息技术与应用创新），攻关AI芯片、操作系统、数据库及服务器，发展多模态、垂类及轻量化大模型，开展AI计算机、工业控制设备、轻量化智能穿戴设备等产品研发和产业化。电子信息制造，做强中央处理器（CPU）、深度计算单元（DCU）、射频芯片、高端化整机终端，开发边缘服务器、虚拟现实终端、视听电子终端等产品。软件和信息技术服务业，布局下一代信息技术与应用创新操作系统，发展自主内核与国产芯片数据库，开发计算机辅助设计（CAD）等核心产品。推动超算互联网汇聚接入全国算力资源，布局超节点。</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生物医药：发展化学药、现代中药、生物药、高端医疗器械、医药服务外包服务。化学药，针对肿瘤、代谢性疾病、神经系统疾病等重大疾病，开发基于新靶点、新机制的放射性药物、小分子化学创新药。现代中药，开展抗肿瘤、心脑血管疾病、代谢类疾病等领域药物研发和产业化。生物药，开展自身免疫性疾病、血液系统等药物关键技术研发，发展核酸药物原料药及制剂，开展干细胞和免疫细胞药物临床研究。高端医疗器械，发展磁共振、光学相干断层扫描、超声成像等高端医学诊断设备，开发新型医用耗材、人工关节、冠状动脉药物支架等高端植介入器械，做强体外诊断产品。</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新能源：发展风电、光伏、新型电池、氢能。风能，开展大功率风电整机研发制造，攻关复合材料风电叶片、齿轮箱、控制系统等关键部件技术。光伏，发展新型高效大尺寸电池组件、高效光伏逆变器，攻关钙钛矿薄膜电池、叠层电池等关键部件核心技术。新型电池，发展高能量高硅电池、超级快充电池、超薄电池等产品，开展固态电池、液流电池等新型储能电池研发。氢能，研发固体氧化物电解池制氢、光解水制氢、海水制氢、质子交换膜燃料电池，开展高效制氢电解槽、高压氢气储氢容器等产业化攻关。</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新材料：发展电子信息材料、高端金属材料、新型无机非金属材料。新一代信息技术材料，发展大尺寸高纯硅及硅基材料、新型半导体材料、高稳定性有机发光材料、工艺辅助及封装材料。高端金属材料，开发海洋工程用耐蚀合金无缝钢管、船用超低温耐蚀合金、航空航天用高强铝合金管材等产品，突破低氢高韧性焊丝制备工艺、核电用镍基焊材精密成型技术。新型无机非金属材料，开发超薄真空绝热保温板、断热稀土涂层等保温材料和高端纤维产品。</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航空航天：发展航空产业、航天产业、低空经济。航空产业，发展机身系统装配、结构件、客舱系统、发动机装配，建设天津直升机产业化基地。航天产业，提升长征五号、长征七号等中大型火箭产能，发展商业卫星及大型航天器总装生产测试。低空经济，重点发展整机和关键零部件、原材料等研发制造业，发展维修、仿真验证、培训和金融等服务业，攻关机载传感器、低空飞行器发动机、飞行控制等关键核心技术，探索新型空管与运行保障模式，加强适航审定服务，完善区域内飞行测试场功能，建立健全低空安全监管规则制度，打造环渤海低空经济综合应用平台。</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03" w:name="_Toc219296984"/>
      <w:r>
        <w:rPr>
          <w:rFonts w:hint="default" w:ascii="Times New Roman" w:hAnsi="Times New Roman" w:cs="Times New Roman"/>
          <w:b w:val="0"/>
          <w:bCs w:val="0"/>
          <w:color w:val="000000"/>
        </w:rPr>
        <w:t>第三节  促进服务业优质高效发展</w:t>
      </w:r>
      <w:bookmarkEnd w:id="103"/>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打造现代服务业发展新格局。</w:t>
      </w:r>
      <w:bookmarkStart w:id="104" w:name="_Hlk219108858"/>
      <w:r>
        <w:rPr>
          <w:rFonts w:hint="default" w:ascii="Times New Roman" w:hAnsi="Times New Roman" w:eastAsia="仿宋_GB2312" w:cs="Times New Roman"/>
          <w:b w:val="0"/>
          <w:bCs w:val="0"/>
          <w:snapToGrid w:val="0"/>
          <w:color w:val="000000"/>
          <w:kern w:val="32"/>
          <w:sz w:val="32"/>
          <w:szCs w:val="36"/>
        </w:rPr>
        <w:t>以科技服务为驱动，以港航服务、产业金融为支柱，巩固现代物流优势地位，发展商务、信息等新兴服务，推动生产性服务业向专业化和价值链高端延伸、向数智化和品牌化升级。创新休闲康养服务多元融合新场景，丰富居民生活服务供给，促进生活性服务业高品质、多样化、便利化发展。</w:t>
      </w:r>
      <w:bookmarkEnd w:id="104"/>
      <w:r>
        <w:rPr>
          <w:rFonts w:hint="default" w:ascii="Times New Roman" w:hAnsi="Times New Roman" w:eastAsia="仿宋_GB2312" w:cs="Times New Roman"/>
          <w:b w:val="0"/>
          <w:bCs w:val="0"/>
          <w:snapToGrid w:val="0"/>
          <w:color w:val="000000"/>
          <w:kern w:val="32"/>
          <w:sz w:val="32"/>
          <w:szCs w:val="36"/>
        </w:rPr>
        <w:t>培育发展新动能，创新租赁、保理业务模式，提升服务中小企业能力，强化对重点产业支持，鼓励灵活用工平台向人力资源综合服务商转型，发展无接触、无人配送、共享云仓等物流配送新模式，拓展航空运营、航空培训、航空会展等航空服务业。</w:t>
      </w:r>
      <w:bookmarkStart w:id="105" w:name="_Hlk219108871"/>
      <w:r>
        <w:rPr>
          <w:rFonts w:hint="default" w:ascii="Times New Roman" w:hAnsi="Times New Roman" w:eastAsia="仿宋_GB2312" w:cs="Times New Roman"/>
          <w:b w:val="0"/>
          <w:bCs w:val="0"/>
          <w:snapToGrid w:val="0"/>
          <w:color w:val="000000"/>
          <w:kern w:val="32"/>
          <w:sz w:val="32"/>
          <w:szCs w:val="36"/>
        </w:rPr>
        <w:t>提高服务专业化水平，创新产品、技术、设计服务，引育优质经营主体，加强服务标准和质量品牌建设，提升定制化服务供给能力，培育更多链主型、平台型、生态型企业。推动生产性服务业和生活性服务业协同发展。</w:t>
      </w:r>
    </w:p>
    <w:bookmarkEnd w:id="105"/>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专栏6  服务业优质高效发展行动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现代物流：巩固交通运输传统物流优势。发展冷链物流，推动物流企业向集贸易、深加工等于一体的综合服务商转型。培育供应链物流、低空物流等新业态。提质发展网络货运。</w:t>
            </w:r>
          </w:p>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科技服务：提升技术研发、成果转化、创意设计、检验检测服务能级。壮大新型研发组织、研发中介和研发服务外包规模。引导设计企业与软件企业、制造企业联动，开放共享设计平台。引育具有“一带一路”国家和地区检测认证采信互认资质的机构，共建共享研发、检测、检验一体化服务平台。</w:t>
            </w:r>
          </w:p>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金融服务：巩固融资租赁、商业保理、航运金融等特色金融优势，发展绿色租赁，建设国际一流国家租赁创新示范区和全国商业保理之都。健全供应链金融支持体系，开展信用贷款，发展基于订单、存货、仓单等动产和权利的质押融资业务。完善科技金融综合服务生态，支持滨海产业基金加大对种子期、初创期科技型企业投资力度，引导开发性、政策性金融机构支持关键核心技术攻关和装备技术攻关。</w:t>
            </w:r>
          </w:p>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港航服务：升级航运代理，扩大货源集拼半径，打造于响、东疆等航运服务集聚区。建强商贸服务，引导企业设立物流分拨中心、贸易结算中心、新兴经济平台，建设重要商品骨干物流走廊。拓展港航技术、海事法律等现代航运服务，发展绿色智能船舶、飞行器等检验认证，提升可持续航空燃料技术研发服务能力，支持船用新能源技术研究与决策咨询。</w:t>
            </w:r>
          </w:p>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商务服务：做强管理服务、会展服务，发展商务咨询、人力资源服务。提升重点区域商业配套服务，打造企业总部聚集区。做强国际直升机博览会、汽车产业发展（泰达）国际论坛、中国（东疆）航运产业周等特色会展活动，引进国内外知名展会活动和会展服务企业。建设国家级人力资源服务产业园。</w:t>
            </w:r>
          </w:p>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信息服务：做强信息技术服务、互联网平台服务，提升数据要素服务。提升计算机和通信产品设计、芯片设计服务、高端软件研发与集成应用水平。发展计算机辅助工程、计算机辅助制造等工业软件，高水平建设天津软件园。提升网络安全服务及信息处理、存储、计算、加工等互联网数据服务水平。培育数据经纪、数据托管、数据金融、数据加密等新业态。</w:t>
            </w:r>
          </w:p>
          <w:p>
            <w:pPr>
              <w:keepLines w:val="0"/>
              <w:pageBreakBefore w:val="0"/>
              <w:widowControl w:val="0"/>
              <w:kinsoku/>
              <w:wordWrap/>
              <w:overflowPunct w:val="0"/>
              <w:topLinePunct w:val="0"/>
              <w:autoSpaceDE/>
              <w:autoSpaceDN/>
              <w:bidi w:val="0"/>
              <w:adjustRightInd/>
              <w:snapToGrid/>
              <w:spacing w:line="580" w:lineRule="exact"/>
              <w:ind w:firstLine="648" w:firstLineChars="200"/>
              <w:textAlignment w:val="auto"/>
              <w:rPr>
                <w:rFonts w:hint="default" w:ascii="Times New Roman" w:hAnsi="Times New Roman" w:eastAsia="仿宋_GB2312" w:cs="Times New Roman"/>
                <w:b w:val="0"/>
                <w:bCs w:val="0"/>
                <w:snapToGrid w:val="0"/>
                <w:color w:val="000000"/>
                <w:spacing w:val="2"/>
                <w:kern w:val="32"/>
                <w:sz w:val="32"/>
                <w:szCs w:val="36"/>
              </w:rPr>
            </w:pPr>
            <w:r>
              <w:rPr>
                <w:rFonts w:hint="default" w:ascii="Times New Roman" w:hAnsi="Times New Roman" w:eastAsia="仿宋_GB2312" w:cs="Times New Roman"/>
                <w:b w:val="0"/>
                <w:bCs w:val="0"/>
                <w:snapToGrid w:val="0"/>
                <w:color w:val="000000"/>
                <w:spacing w:val="2"/>
                <w:kern w:val="32"/>
                <w:sz w:val="32"/>
                <w:szCs w:val="36"/>
              </w:rPr>
              <w:t>居民生活服务：丰富零售、餐饮、出行等服务供给。优化城乡商业网点布局，打造集生鲜超市、便利店、家政服务等于</w:t>
            </w:r>
            <w:r>
              <w:rPr>
                <w:rFonts w:hint="default" w:ascii="Times New Roman" w:hAnsi="Times New Roman" w:eastAsia="仿宋_GB2312" w:cs="Times New Roman"/>
                <w:b w:val="0"/>
                <w:bCs w:val="0"/>
                <w:snapToGrid w:val="0"/>
                <w:color w:val="000000"/>
                <w:spacing w:val="10"/>
                <w:kern w:val="32"/>
                <w:sz w:val="32"/>
                <w:szCs w:val="36"/>
              </w:rPr>
              <w:t>一体的多业态融合社区商业中心。餐饮业向品质化、标准化、</w:t>
            </w:r>
            <w:r>
              <w:rPr>
                <w:rFonts w:hint="default" w:ascii="Times New Roman" w:hAnsi="Times New Roman" w:eastAsia="仿宋_GB2312" w:cs="Times New Roman"/>
                <w:b w:val="0"/>
                <w:bCs w:val="0"/>
                <w:snapToGrid w:val="0"/>
                <w:color w:val="000000"/>
                <w:spacing w:val="2"/>
                <w:kern w:val="32"/>
                <w:sz w:val="32"/>
                <w:szCs w:val="36"/>
              </w:rPr>
              <w:t>品牌化发展，支持本地老字号深挖文化内涵，提升品牌影响力和市场竞争力。完善居民出行服务网络，推广智慧出行应用场景。</w:t>
            </w:r>
          </w:p>
          <w:p>
            <w:pPr>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休闲康养服务：提升文化、养老、旅游等服务供给质量，打造特色休闲康养服务品牌。养老服务与健康管理、文化教育、家政服务、特色旅游等行业融合发展，丰富老年文体娱乐、健康疗养等多元服务业态。依托海滨、森林、湿地、盐田等特色生态资源，培育康养旅居服务业态，开发“露营+沙滩”、沙滩赶海、水上运动等亲海休闲体验项目。</w:t>
            </w:r>
          </w:p>
        </w:tc>
      </w:tr>
    </w:tbl>
    <w:p>
      <w:pPr>
        <w:keepLines w:val="0"/>
        <w:pageBreakBefore w:val="0"/>
        <w:widowControl w:val="0"/>
        <w:kinsoku/>
        <w:wordWrap/>
        <w:overflowPunct w:val="0"/>
        <w:topLinePunct w:val="0"/>
        <w:autoSpaceDE/>
        <w:autoSpaceDN/>
        <w:bidi w:val="0"/>
        <w:adjustRightInd/>
        <w:snapToGrid/>
        <w:spacing w:line="52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06" w:name="_Hlk219108893"/>
    </w:p>
    <w:p>
      <w:pPr>
        <w:keepLines w:val="0"/>
        <w:pageBreakBefore w:val="0"/>
        <w:widowControl w:val="0"/>
        <w:kinsoku/>
        <w:wordWrap/>
        <w:overflowPunct w:val="0"/>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促进现代服务业与先进制造业深度融合。推动制造业向价值链高端服务环节延伸，支持制造业企业布局工业设计、供应链管理、共享制造等生产性服务业。</w:t>
      </w:r>
      <w:bookmarkEnd w:id="106"/>
      <w:r>
        <w:rPr>
          <w:rFonts w:hint="default" w:ascii="Times New Roman" w:hAnsi="Times New Roman" w:eastAsia="仿宋_GB2312" w:cs="Times New Roman"/>
          <w:b w:val="0"/>
          <w:bCs w:val="0"/>
          <w:snapToGrid w:val="0"/>
          <w:color w:val="000000"/>
          <w:kern w:val="32"/>
          <w:sz w:val="32"/>
          <w:szCs w:val="36"/>
        </w:rPr>
        <w:t>推动汽车产业集群向设计、制造、销售、后市场服务等全链条发展。</w:t>
      </w:r>
      <w:bookmarkStart w:id="107" w:name="_Hlk219108936"/>
      <w:r>
        <w:rPr>
          <w:rFonts w:hint="default" w:ascii="Times New Roman" w:hAnsi="Times New Roman" w:eastAsia="仿宋_GB2312" w:cs="Times New Roman"/>
          <w:b w:val="0"/>
          <w:bCs w:val="0"/>
          <w:snapToGrid w:val="0"/>
          <w:color w:val="000000"/>
          <w:kern w:val="32"/>
          <w:sz w:val="32"/>
          <w:szCs w:val="36"/>
        </w:rPr>
        <w:t>鼓励生产性服务业企业拓展制造环节业务，发挥工业设计中心、检验检测中心、认证认可中心等优势，发展服务型制造。</w:t>
      </w:r>
      <w:bookmarkEnd w:id="107"/>
      <w:r>
        <w:rPr>
          <w:rFonts w:hint="default" w:ascii="Times New Roman" w:hAnsi="Times New Roman" w:eastAsia="仿宋_GB2312" w:cs="Times New Roman"/>
          <w:b w:val="0"/>
          <w:bCs w:val="0"/>
          <w:snapToGrid w:val="0"/>
          <w:color w:val="000000"/>
          <w:kern w:val="32"/>
          <w:sz w:val="32"/>
          <w:szCs w:val="36"/>
        </w:rPr>
        <w:t>鼓励产业联盟开展应用场景联合构建行动，支持龙头企业搭建共性技术平台，引领行业关键技术突破和商业模式创新。大力发展工业互联网、总集成总承包、全生命周期管理等融合新业态新模式，打造一批具有较强示范引领性的融合应用场景。</w:t>
      </w:r>
    </w:p>
    <w:p>
      <w:pPr>
        <w:pStyle w:val="4"/>
        <w:keepLines w:val="0"/>
        <w:pageBreakBefore w:val="0"/>
        <w:widowControl w:val="0"/>
        <w:kinsoku/>
        <w:wordWrap/>
        <w:overflowPunct w:val="0"/>
        <w:topLinePunct w:val="0"/>
        <w:autoSpaceDE/>
        <w:autoSpaceDN/>
        <w:bidi w:val="0"/>
        <w:adjustRightInd/>
        <w:snapToGrid/>
        <w:spacing w:before="0" w:beforeLines="0" w:after="0" w:afterLines="0" w:line="580" w:lineRule="exact"/>
        <w:rPr>
          <w:rFonts w:hint="default" w:ascii="Times New Roman" w:hAnsi="Times New Roman" w:cs="Times New Roman"/>
          <w:b w:val="0"/>
          <w:bCs w:val="0"/>
          <w:color w:val="000000"/>
        </w:rPr>
      </w:pPr>
      <w:bookmarkStart w:id="108" w:name="_Toc219296985"/>
      <w:r>
        <w:rPr>
          <w:rFonts w:hint="default" w:ascii="Times New Roman" w:hAnsi="Times New Roman" w:cs="Times New Roman"/>
          <w:b w:val="0"/>
          <w:bCs w:val="0"/>
          <w:color w:val="000000"/>
        </w:rPr>
        <w:t>第四节  大力发展海洋经济</w:t>
      </w:r>
      <w:bookmarkEnd w:id="108"/>
    </w:p>
    <w:p>
      <w:pPr>
        <w:keepLines w:val="0"/>
        <w:pageBreakBefore w:val="0"/>
        <w:widowControl w:val="0"/>
        <w:kinsoku/>
        <w:wordWrap/>
        <w:overflowPunct w:val="0"/>
        <w:topLinePunct w:val="0"/>
        <w:autoSpaceDE/>
        <w:autoSpaceDN/>
        <w:bidi w:val="0"/>
        <w:adjustRightInd/>
        <w:snapToGrid/>
        <w:spacing w:line="58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09" w:name="_Hlk219108976"/>
      <w:r>
        <w:rPr>
          <w:rFonts w:hint="default" w:ascii="Times New Roman" w:hAnsi="Times New Roman" w:eastAsia="仿宋_GB2312" w:cs="Times New Roman"/>
          <w:b w:val="0"/>
          <w:bCs w:val="0"/>
          <w:snapToGrid w:val="0"/>
          <w:color w:val="000000"/>
          <w:kern w:val="32"/>
          <w:sz w:val="32"/>
          <w:szCs w:val="36"/>
        </w:rPr>
        <w:t>巩固提升海洋油气业、海洋化工业、海洋交通运输业、海洋工程建筑业等传统产业，提高海洋油气装备产能，推进天津船舶制造基地等项目建设。培育海洋工程装备制造、海洋船舶、海水淡化与综合利用、海洋药物和生物制品、海洋电力、海洋新材料等新兴产业。前瞻布局海洋未来产业。落实国家现代航运服务政策，大力发展现代海洋服务业，做强航运金融等传统优势产业，壮大航运技术服务、海事仲裁、航运信息服务等高端业态，拓展中转配送、加工、供应链服务等物流增值服务。强化海洋科技创新引领，开展深海科学与技术等重点领域核心技术攻关。实施海洋综合调查。打造高水平海洋合作平台。</w:t>
      </w:r>
    </w:p>
    <w:bookmarkEnd w:id="109"/>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bookmarkStart w:id="110" w:name="_Toc21929698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第五节</w:t>
      </w:r>
      <w:bookmarkStart w:id="111" w:name="_Hlk219109001"/>
      <w:r>
        <w:rPr>
          <w:rFonts w:hint="default" w:ascii="Times New Roman" w:hAnsi="Times New Roman" w:eastAsia="楷体_GB2312" w:cs="Times New Roman"/>
          <w:sz w:val="32"/>
          <w:szCs w:val="32"/>
        </w:rPr>
        <w:t xml:space="preserve">  推进开发区提质增效</w:t>
      </w:r>
      <w:bookmarkEnd w:id="110"/>
      <w:bookmarkEnd w:id="1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bookmarkStart w:id="112" w:name="_Hlk219109013"/>
      <w:r>
        <w:rPr>
          <w:rFonts w:hint="default" w:ascii="Times New Roman" w:hAnsi="Times New Roman" w:eastAsia="仿宋_GB2312" w:cs="Times New Roman"/>
          <w:sz w:val="32"/>
          <w:szCs w:val="32"/>
        </w:rPr>
        <w:t>支持开发区竞进发展。推动开发区项目、政策、招商、管理等领域改革创新、聚能提级。发挥在“稳链”“补链”“固链”“强链”中重要作用，优化产业载体建设，提升服务集约化、专业化、智能化水平，培育国家级产业集群，打造国际化特色品牌。</w:t>
      </w:r>
      <w:bookmarkEnd w:id="112"/>
      <w:r>
        <w:rPr>
          <w:rFonts w:hint="default" w:ascii="Times New Roman" w:hAnsi="Times New Roman" w:eastAsia="仿宋_GB2312" w:cs="Times New Roman"/>
          <w:sz w:val="32"/>
          <w:szCs w:val="32"/>
        </w:rPr>
        <w:t>支持天津经济技术开发区在国家级开发区综合发展水平考核评价中“保级进位”，天津滨海高新技术产业开发区在国家高新区综合评价中升级晋位，</w:t>
      </w:r>
      <w:bookmarkStart w:id="113" w:name="OLE_LINK10"/>
      <w:r>
        <w:rPr>
          <w:rFonts w:hint="default" w:ascii="Times New Roman" w:hAnsi="Times New Roman" w:eastAsia="仿宋_GB2312" w:cs="Times New Roman"/>
          <w:sz w:val="32"/>
          <w:szCs w:val="32"/>
        </w:rPr>
        <w:t>天津港保税区</w:t>
      </w:r>
      <w:bookmarkEnd w:id="113"/>
      <w:r>
        <w:rPr>
          <w:rFonts w:hint="default" w:ascii="Times New Roman" w:hAnsi="Times New Roman" w:eastAsia="仿宋_GB2312" w:cs="Times New Roman"/>
          <w:sz w:val="32"/>
          <w:szCs w:val="32"/>
        </w:rPr>
        <w:t>、东疆综合保税区在全国综合保税区发展绩效评估中保持“双A”梯队，中新天津生态城持续引领绿色发展示范典范</w:t>
      </w:r>
      <w:r>
        <w:rPr>
          <w:rFonts w:hint="eastAsia" w:eastAsia="仿宋_GB2312" w:cs="Times New Roman"/>
          <w:sz w:val="32"/>
          <w:szCs w:val="32"/>
          <w:lang w:eastAsia="zh-CN"/>
        </w:rPr>
        <w:t>。</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楷体_GB2312" w:cs="Times New Roman"/>
                <w:b w:val="0"/>
                <w:bCs w:val="0"/>
                <w:snapToGrid w:val="0"/>
                <w:color w:val="000000"/>
                <w:kern w:val="32"/>
                <w:sz w:val="32"/>
                <w:szCs w:val="32"/>
              </w:rPr>
            </w:pPr>
            <w:r>
              <w:rPr>
                <w:rFonts w:hint="default" w:ascii="Times New Roman" w:hAnsi="Times New Roman" w:eastAsia="仿宋_GB2312" w:cs="Times New Roman"/>
                <w:b w:val="0"/>
                <w:bCs w:val="0"/>
                <w:snapToGrid w:val="0"/>
                <w:color w:val="000000"/>
                <w:kern w:val="32"/>
                <w:sz w:val="32"/>
                <w:szCs w:val="32"/>
              </w:rPr>
              <w:t>专栏7  开发区产业发展布局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5" w:type="dxa"/>
            <w:noWrap w:val="0"/>
            <w:vAlign w:val="top"/>
          </w:tcPr>
          <w:p>
            <w:pPr>
              <w:keepLines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2"/>
              </w:rPr>
            </w:pPr>
            <w:bookmarkStart w:id="114" w:name="OLE_LINK37"/>
            <w:r>
              <w:rPr>
                <w:rFonts w:hint="default" w:ascii="Times New Roman" w:hAnsi="Times New Roman" w:eastAsia="仿宋_GB2312" w:cs="Times New Roman"/>
                <w:b w:val="0"/>
                <w:bCs w:val="0"/>
                <w:snapToGrid w:val="0"/>
                <w:color w:val="000000"/>
                <w:kern w:val="32"/>
                <w:sz w:val="32"/>
                <w:szCs w:val="32"/>
              </w:rPr>
              <w:t>天津经济技术开发区：重点发展绿色石化、汽车制造、生物医药、新一代信息技术、创新金融等主导产业，深化制造业领域创新，壮大制造业相关生产性服务业，打造先进制造研发基地中心区。</w:t>
            </w:r>
          </w:p>
          <w:p>
            <w:pPr>
              <w:keepLines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2"/>
              </w:rPr>
            </w:pPr>
            <w:r>
              <w:rPr>
                <w:rFonts w:hint="default" w:ascii="Times New Roman" w:hAnsi="Times New Roman" w:eastAsia="仿宋_GB2312" w:cs="Times New Roman"/>
                <w:b w:val="0"/>
                <w:bCs w:val="0"/>
                <w:snapToGrid w:val="0"/>
                <w:color w:val="000000"/>
                <w:kern w:val="32"/>
                <w:sz w:val="32"/>
                <w:szCs w:val="32"/>
              </w:rPr>
              <w:t>天津港保税区：重点发展国际贸易、海工装备、民用航空、食品加工制造等主导产业，深化商贸领域创新，培育商贸相关生产性服务业，打造国家海洋经济发展示范区、现代化国际航空城。</w:t>
            </w:r>
          </w:p>
          <w:p>
            <w:pPr>
              <w:keepLines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spacing w:val="4"/>
                <w:kern w:val="32"/>
                <w:sz w:val="32"/>
                <w:szCs w:val="32"/>
              </w:rPr>
            </w:pPr>
            <w:r>
              <w:rPr>
                <w:rFonts w:hint="default" w:ascii="Times New Roman" w:hAnsi="Times New Roman" w:eastAsia="仿宋_GB2312" w:cs="Times New Roman"/>
                <w:b w:val="0"/>
                <w:bCs w:val="0"/>
                <w:snapToGrid w:val="0"/>
                <w:color w:val="000000"/>
                <w:kern w:val="32"/>
                <w:sz w:val="32"/>
                <w:szCs w:val="32"/>
              </w:rPr>
              <w:t>天津滨海高新技术产业开发区：聚焦科技创新，重点发展信息技术与应用创新、生物医药、新能源新材料、现代服</w:t>
            </w:r>
            <w:r>
              <w:rPr>
                <w:rFonts w:hint="default" w:ascii="Times New Roman" w:hAnsi="Times New Roman" w:eastAsia="仿宋_GB2312" w:cs="Times New Roman"/>
                <w:b w:val="0"/>
                <w:bCs w:val="0"/>
                <w:snapToGrid w:val="0"/>
                <w:color w:val="000000"/>
                <w:spacing w:val="4"/>
                <w:kern w:val="32"/>
                <w:sz w:val="32"/>
                <w:szCs w:val="32"/>
              </w:rPr>
              <w:t>务业等主导产业，打造国家自主创新示范区升级版、北方一流科创城。</w:t>
            </w:r>
          </w:p>
          <w:p>
            <w:pPr>
              <w:keepLines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2"/>
              </w:rPr>
            </w:pPr>
            <w:r>
              <w:rPr>
                <w:rFonts w:hint="default" w:ascii="Times New Roman" w:hAnsi="Times New Roman" w:eastAsia="仿宋_GB2312" w:cs="Times New Roman"/>
                <w:b w:val="0"/>
                <w:bCs w:val="0"/>
                <w:snapToGrid w:val="0"/>
                <w:color w:val="000000"/>
                <w:kern w:val="32"/>
                <w:sz w:val="32"/>
                <w:szCs w:val="32"/>
              </w:rPr>
              <w:t>天津东疆综合保税区：聚焦金融创新，重点发展融资租赁、港口航运、平台经济等主导产业，打造国际一流租赁创新示范区、北方国际航运中心核心功能区。</w:t>
            </w:r>
          </w:p>
          <w:p>
            <w:pPr>
              <w:keepLines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napToGrid w:val="0"/>
                <w:color w:val="000000"/>
                <w:kern w:val="32"/>
                <w:sz w:val="32"/>
                <w:szCs w:val="32"/>
              </w:rPr>
            </w:pPr>
            <w:r>
              <w:rPr>
                <w:rFonts w:hint="default" w:ascii="Times New Roman" w:hAnsi="Times New Roman" w:eastAsia="仿宋_GB2312" w:cs="Times New Roman"/>
                <w:b w:val="0"/>
                <w:bCs w:val="0"/>
                <w:snapToGrid w:val="0"/>
                <w:color w:val="000000"/>
                <w:kern w:val="32"/>
                <w:sz w:val="32"/>
                <w:szCs w:val="32"/>
              </w:rPr>
              <w:t>中新天津生态城：聚焦绿色创新，重点发展绿色低碳产业、文化健康旅游、绿色建筑等主导产业，培育“双碳”相关生产性服务业，打造国家绿色发展示范区升级版。</w:t>
            </w:r>
            <w:bookmarkEnd w:id="114"/>
          </w:p>
        </w:tc>
      </w:tr>
    </w:tbl>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深化开发区法定机构改革。</w:t>
      </w:r>
      <w:bookmarkStart w:id="115" w:name="_Hlk219109037"/>
      <w:r>
        <w:rPr>
          <w:rFonts w:hint="default" w:ascii="Times New Roman" w:hAnsi="Times New Roman" w:eastAsia="仿宋_GB2312" w:cs="Times New Roman"/>
          <w:b w:val="0"/>
          <w:bCs w:val="0"/>
          <w:snapToGrid w:val="0"/>
          <w:color w:val="000000"/>
          <w:kern w:val="32"/>
          <w:sz w:val="32"/>
          <w:szCs w:val="36"/>
        </w:rPr>
        <w:t>坚持市场化、企业化、内涵式发展方向，优化开发区法定机构模式，开展开发区目录调整，持续推进管理、科技创新、要素保障、对内对外开放等改革，深化“管委会+平台公司”开发建设模式，推动开发区进一步聚焦主责主业，促进经济发展职能和社会管理职能相分离。</w:t>
      </w:r>
    </w:p>
    <w:bookmarkEnd w:id="115"/>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16" w:name="_Hlk219109076"/>
      <w:r>
        <w:rPr>
          <w:rFonts w:hint="default" w:ascii="Times New Roman" w:hAnsi="Times New Roman" w:eastAsia="仿宋_GB2312" w:cs="Times New Roman"/>
          <w:b w:val="0"/>
          <w:bCs w:val="0"/>
          <w:snapToGrid w:val="0"/>
          <w:color w:val="000000"/>
          <w:kern w:val="32"/>
          <w:sz w:val="32"/>
          <w:szCs w:val="36"/>
        </w:rPr>
        <w:t>推动街镇经济高质量发展。</w:t>
      </w:r>
      <w:bookmarkEnd w:id="116"/>
      <w:r>
        <w:rPr>
          <w:rFonts w:hint="default" w:ascii="Times New Roman" w:hAnsi="Times New Roman" w:eastAsia="仿宋_GB2312" w:cs="Times New Roman"/>
          <w:b w:val="0"/>
          <w:bCs w:val="0"/>
          <w:snapToGrid w:val="0"/>
          <w:color w:val="000000"/>
          <w:kern w:val="32"/>
          <w:sz w:val="32"/>
          <w:szCs w:val="36"/>
        </w:rPr>
        <w:t>加强街镇和开发区全面协同，深度融入港产城融合发展格局，推动八大支撑引领、六大乡村振兴、四大创新示范街镇和三大融合发展街道差异化特色化发展，</w:t>
      </w:r>
      <w:bookmarkStart w:id="117" w:name="_Hlk219109086"/>
      <w:r>
        <w:rPr>
          <w:rFonts w:hint="default" w:ascii="Times New Roman" w:hAnsi="Times New Roman" w:eastAsia="仿宋_GB2312" w:cs="Times New Roman"/>
          <w:b w:val="0"/>
          <w:bCs w:val="0"/>
          <w:snapToGrid w:val="0"/>
          <w:color w:val="000000"/>
          <w:kern w:val="32"/>
          <w:sz w:val="32"/>
          <w:szCs w:val="36"/>
        </w:rPr>
        <w:t>打造经济发展新阵地、主导产业配套区、中小微企业集聚区、休闲经济活力区。</w:t>
      </w:r>
      <w:bookmarkEnd w:id="117"/>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专栏8  街镇发展定位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八大支撑引领街镇：包括中塘镇、大港街、古林街、海滨街、新港街、新村街、大沽街、寨上街。集聚中小企业，发展汽车零部件、精细化工、机械装备制造等产业，巩固街镇经济增长“压舱石”作用。</w:t>
            </w:r>
          </w:p>
          <w:p>
            <w:pPr>
              <w:keepLines w:val="0"/>
              <w:widowControl w:val="0"/>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六大乡村振兴街镇：包括太平镇、小王庄镇、北塘街、汉沽街、茶淀街、杨家泊镇。</w:t>
            </w:r>
            <w:bookmarkStart w:id="118" w:name="_Toc13967"/>
            <w:bookmarkStart w:id="119" w:name="_Toc6461"/>
            <w:bookmarkStart w:id="120" w:name="_Toc21664"/>
            <w:bookmarkStart w:id="121" w:name="_Toc4061"/>
            <w:bookmarkStart w:id="122" w:name="_Toc28682"/>
            <w:bookmarkStart w:id="123" w:name="_Toc28430"/>
            <w:r>
              <w:rPr>
                <w:rFonts w:hint="default" w:ascii="Times New Roman" w:hAnsi="Times New Roman" w:eastAsia="仿宋_GB2312" w:cs="Times New Roman"/>
                <w:b w:val="0"/>
                <w:bCs w:val="0"/>
                <w:snapToGrid w:val="0"/>
                <w:color w:val="000000"/>
                <w:kern w:val="32"/>
                <w:sz w:val="32"/>
                <w:szCs w:val="36"/>
              </w:rPr>
              <w:t>发展智慧种植、循环养殖等现代农业，挖掘盐田文化、湿地生态等本土文旅IP，打造“特色农业打底、文化赋能增值、生态反哺产业”的可持续发展模式，建设农文商旅融合发展主阵地。</w:t>
            </w:r>
          </w:p>
          <w:bookmarkEnd w:id="118"/>
          <w:bookmarkEnd w:id="119"/>
          <w:bookmarkEnd w:id="120"/>
          <w:bookmarkEnd w:id="121"/>
          <w:bookmarkEnd w:id="122"/>
          <w:bookmarkEnd w:id="123"/>
          <w:p>
            <w:pPr>
              <w:keepLines w:val="0"/>
              <w:widowControl w:val="0"/>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24" w:name="_Toc3721"/>
            <w:bookmarkStart w:id="125" w:name="_Toc21927"/>
            <w:bookmarkStart w:id="126" w:name="_Toc4762"/>
            <w:bookmarkStart w:id="127" w:name="_Toc14117"/>
            <w:bookmarkStart w:id="128" w:name="_Toc27904"/>
            <w:bookmarkStart w:id="129" w:name="_Toc20164"/>
            <w:r>
              <w:rPr>
                <w:rFonts w:hint="default" w:ascii="Times New Roman" w:hAnsi="Times New Roman" w:eastAsia="仿宋_GB2312" w:cs="Times New Roman"/>
                <w:b w:val="0"/>
                <w:bCs w:val="0"/>
                <w:snapToGrid w:val="0"/>
                <w:color w:val="000000"/>
                <w:kern w:val="32"/>
                <w:sz w:val="32"/>
                <w:szCs w:val="36"/>
              </w:rPr>
              <w:t>四大创新示范街镇：包括塘沽街、杭州道街、胡家园街、新城镇。优化城市空间布局与公共服务配套，推进商城深度融合发展，高质量推进城市更新，激发老城新活力，建设宜居宜业美丽新城镇</w:t>
            </w:r>
            <w:bookmarkEnd w:id="124"/>
            <w:bookmarkEnd w:id="125"/>
            <w:bookmarkEnd w:id="126"/>
            <w:bookmarkEnd w:id="127"/>
            <w:bookmarkEnd w:id="128"/>
            <w:bookmarkEnd w:id="129"/>
            <w:r>
              <w:rPr>
                <w:rFonts w:hint="default" w:ascii="Times New Roman" w:hAnsi="Times New Roman" w:eastAsia="仿宋_GB2312" w:cs="Times New Roman"/>
                <w:b w:val="0"/>
                <w:bCs w:val="0"/>
                <w:snapToGrid w:val="0"/>
                <w:color w:val="000000"/>
                <w:kern w:val="32"/>
                <w:sz w:val="32"/>
                <w:szCs w:val="36"/>
              </w:rPr>
              <w:t>。</w:t>
            </w:r>
          </w:p>
          <w:p>
            <w:pPr>
              <w:keepLines w:val="0"/>
              <w:widowControl w:val="0"/>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三大融合发展街道：包括新北街、新河街、泰达街。强化与开发区功能互补、深度融合，承接产业外溢，完善配套服务，提升人居环境，高水平开展社会治理，打造产城融合、职住平衡的示范街区。</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30" w:name="_Toc219296987"/>
      <w:r>
        <w:rPr>
          <w:rFonts w:hint="default" w:ascii="Times New Roman" w:hAnsi="Times New Roman" w:cs="Times New Roman"/>
          <w:b w:val="0"/>
          <w:bCs w:val="0"/>
          <w:color w:val="000000"/>
        </w:rPr>
        <w:t>第六节  打造产业梯度发展新格局</w:t>
      </w:r>
      <w:bookmarkEnd w:id="130"/>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31" w:name="_Hlk219109147"/>
      <w:r>
        <w:rPr>
          <w:rFonts w:hint="default" w:ascii="Times New Roman" w:hAnsi="Times New Roman" w:eastAsia="仿宋_GB2312" w:cs="Times New Roman"/>
          <w:b w:val="0"/>
          <w:bCs w:val="0"/>
          <w:snapToGrid w:val="0"/>
          <w:color w:val="000000"/>
          <w:kern w:val="32"/>
          <w:sz w:val="32"/>
          <w:szCs w:val="36"/>
        </w:rPr>
        <w:t>深化集群集聚集约发展。优化提升“主导产业+主题园区”模式，推动重点产业向特定空间集聚、重点园区向特色产业聚焦，促进产业成龙配套、成链成群，壮大重点产业集群规模。</w:t>
      </w:r>
      <w:bookmarkEnd w:id="131"/>
      <w:r>
        <w:rPr>
          <w:rFonts w:hint="default" w:ascii="Times New Roman" w:hAnsi="Times New Roman" w:eastAsia="仿宋_GB2312" w:cs="Times New Roman"/>
          <w:b w:val="0"/>
          <w:bCs w:val="0"/>
          <w:snapToGrid w:val="0"/>
          <w:color w:val="000000"/>
          <w:kern w:val="32"/>
          <w:sz w:val="32"/>
          <w:szCs w:val="36"/>
        </w:rPr>
        <w:t>提升</w:t>
      </w:r>
      <w:bookmarkStart w:id="132" w:name="_Hlk219109187"/>
      <w:r>
        <w:rPr>
          <w:rFonts w:hint="default" w:ascii="Times New Roman" w:hAnsi="Times New Roman" w:eastAsia="仿宋_GB2312" w:cs="Times New Roman"/>
          <w:b w:val="0"/>
          <w:bCs w:val="0"/>
          <w:snapToGrid w:val="0"/>
          <w:color w:val="000000"/>
          <w:kern w:val="32"/>
          <w:sz w:val="32"/>
          <w:szCs w:val="36"/>
        </w:rPr>
        <w:t>含“新”量</w:t>
      </w:r>
      <w:bookmarkEnd w:id="132"/>
      <w:r>
        <w:rPr>
          <w:rFonts w:hint="default" w:ascii="Times New Roman" w:hAnsi="Times New Roman" w:eastAsia="仿宋_GB2312" w:cs="Times New Roman"/>
          <w:b w:val="0"/>
          <w:bCs w:val="0"/>
          <w:snapToGrid w:val="0"/>
          <w:color w:val="000000"/>
          <w:kern w:val="32"/>
          <w:sz w:val="32"/>
          <w:szCs w:val="36"/>
        </w:rPr>
        <w:t>，以产业集聚催生新技术、新产品、新业态、新商业模式。提升含“科”量，集聚创新资源，增强创新策源、成果孵化、科创服务能力。提升</w:t>
      </w:r>
      <w:bookmarkStart w:id="133" w:name="_Hlk219109173"/>
      <w:r>
        <w:rPr>
          <w:rFonts w:hint="default" w:ascii="Times New Roman" w:hAnsi="Times New Roman" w:eastAsia="仿宋_GB2312" w:cs="Times New Roman"/>
          <w:b w:val="0"/>
          <w:bCs w:val="0"/>
          <w:snapToGrid w:val="0"/>
          <w:color w:val="000000"/>
          <w:kern w:val="32"/>
          <w:sz w:val="32"/>
          <w:szCs w:val="36"/>
        </w:rPr>
        <w:t>含“金”量</w:t>
      </w:r>
      <w:bookmarkEnd w:id="133"/>
      <w:r>
        <w:rPr>
          <w:rFonts w:hint="default" w:ascii="Times New Roman" w:hAnsi="Times New Roman" w:eastAsia="仿宋_GB2312" w:cs="Times New Roman"/>
          <w:b w:val="0"/>
          <w:bCs w:val="0"/>
          <w:snapToGrid w:val="0"/>
          <w:color w:val="000000"/>
          <w:kern w:val="32"/>
          <w:sz w:val="32"/>
          <w:szCs w:val="36"/>
        </w:rPr>
        <w:t>，推动园区规模稳步增长、主题率持续攀升、单位产出质效升级。提升</w:t>
      </w:r>
      <w:bookmarkStart w:id="134" w:name="_Hlk219109203"/>
      <w:r>
        <w:rPr>
          <w:rFonts w:hint="default" w:ascii="Times New Roman" w:hAnsi="Times New Roman" w:eastAsia="仿宋_GB2312" w:cs="Times New Roman"/>
          <w:b w:val="0"/>
          <w:bCs w:val="0"/>
          <w:snapToGrid w:val="0"/>
          <w:color w:val="000000"/>
          <w:kern w:val="32"/>
          <w:sz w:val="32"/>
          <w:szCs w:val="36"/>
        </w:rPr>
        <w:t>含“绿”量</w:t>
      </w:r>
      <w:bookmarkEnd w:id="134"/>
      <w:r>
        <w:rPr>
          <w:rFonts w:hint="default" w:ascii="Times New Roman" w:hAnsi="Times New Roman" w:eastAsia="仿宋_GB2312" w:cs="Times New Roman"/>
          <w:b w:val="0"/>
          <w:bCs w:val="0"/>
          <w:snapToGrid w:val="0"/>
          <w:color w:val="000000"/>
          <w:kern w:val="32"/>
          <w:sz w:val="32"/>
          <w:szCs w:val="36"/>
        </w:rPr>
        <w:t>，培育一批国家级绿色制造单位，打造绿色低碳示范标杆。依托重点龙头企业和重大产业项目，提升研发、制造、服务的集聚能力，培育一批具有核心竞争力和行业影响力的标志性产业集群，壮大一批有主题、有灵魂的主题园区。</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135" w:name="_Hlk219109222"/>
      <w:r>
        <w:rPr>
          <w:rFonts w:hint="default" w:ascii="Times New Roman" w:hAnsi="Times New Roman" w:eastAsia="仿宋_GB2312" w:cs="Times New Roman"/>
          <w:b w:val="0"/>
          <w:bCs w:val="0"/>
          <w:snapToGrid w:val="0"/>
          <w:color w:val="000000"/>
          <w:kern w:val="32"/>
          <w:sz w:val="32"/>
          <w:szCs w:val="36"/>
        </w:rPr>
        <w:t>推动大中小企业协同融通发展。支持链主企业、龙头企业制定产品标准、技术规范和管理体系，开放供应链体系，引导产业链中小企业提升能力、统一接口，提高供应链稳定性和响应速度。支持中小企业与行业龙头深度合作，做精做强特定领域，形成专业配套支撑。</w:t>
      </w:r>
      <w:bookmarkEnd w:id="135"/>
      <w:r>
        <w:rPr>
          <w:rFonts w:hint="default" w:ascii="Times New Roman" w:hAnsi="Times New Roman" w:eastAsia="仿宋_GB2312" w:cs="Times New Roman"/>
          <w:b w:val="0"/>
          <w:bCs w:val="0"/>
          <w:snapToGrid w:val="0"/>
          <w:color w:val="000000"/>
          <w:kern w:val="32"/>
          <w:sz w:val="32"/>
          <w:szCs w:val="36"/>
        </w:rPr>
        <w:t>促进大中小企业协同，构建公平互信合作关系，合理分享收益，形成融通发展、优势互补的产业生态。鼓励工业、服务业企业梯度晋级，</w:t>
      </w:r>
      <w:bookmarkStart w:id="136" w:name="_Hlk219109242"/>
      <w:r>
        <w:rPr>
          <w:rFonts w:hint="default" w:ascii="Times New Roman" w:hAnsi="Times New Roman" w:eastAsia="仿宋_GB2312" w:cs="Times New Roman"/>
          <w:b w:val="0"/>
          <w:bCs w:val="0"/>
          <w:snapToGrid w:val="0"/>
          <w:color w:val="000000"/>
          <w:kern w:val="32"/>
          <w:sz w:val="32"/>
          <w:szCs w:val="36"/>
        </w:rPr>
        <w:t>健全“国家科技型中小企业—国家高新技术企业—国家科技领军企业”培育体系，分级分类、有序推进“小升规”“规升巨”“巨转股”。</w:t>
      </w:r>
    </w:p>
    <w:bookmarkEnd w:id="136"/>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专栏9  梯度培育晋级行动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产业集群：新一代信息技术、绿色石化等五千亿级产业集群；现代物流、商务服务等三千亿级产业集群；汽车及新能源汽车、科技服务、信息服务等两千亿级产业集群；生物医药、新能源新材料、轻工、产业金融等千亿级产业集群。</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主题园区：石油化工、汽车及新能源汽车、新经济、国际贸易等千亿级主题园区；生物医药、高端装备制造、智能科技、冷链物流等五百亿级主题园区；新材料、新能源、数字产业、电子商务等百亿级主题园区。</w:t>
            </w:r>
          </w:p>
          <w:p>
            <w:pPr>
              <w:pStyle w:val="13"/>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 w:val="32"/>
                <w:szCs w:val="36"/>
                <w:lang w:val="en-US" w:eastAsia="zh-CN"/>
              </w:rPr>
            </w:pPr>
            <w:r>
              <w:rPr>
                <w:rFonts w:hint="default" w:ascii="Times New Roman" w:hAnsi="Times New Roman" w:eastAsia="仿宋_GB2312" w:cs="Times New Roman"/>
                <w:b w:val="0"/>
                <w:bCs w:val="0"/>
                <w:snapToGrid w:val="0"/>
                <w:color w:val="000000"/>
                <w:kern w:val="32"/>
                <w:sz w:val="32"/>
                <w:szCs w:val="36"/>
                <w:lang w:val="en-US" w:eastAsia="zh-CN"/>
              </w:rPr>
              <w:t>市场主体：5家千亿级企业；9家五百亿级企业；90家百亿级企业。</w:t>
            </w:r>
          </w:p>
        </w:tc>
      </w:tr>
    </w:tbl>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137" w:name="_Toc219296988"/>
      <w:r>
        <w:rPr>
          <w:rFonts w:hint="default" w:ascii="Times New Roman" w:hAnsi="Times New Roman" w:cs="Times New Roman"/>
          <w:b w:val="0"/>
          <w:bCs w:val="0"/>
        </w:rPr>
        <w:t>第五章  坚持创新立区，因地制宜发展新质生产力</w:t>
      </w:r>
      <w:bookmarkEnd w:id="137"/>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38" w:name="OLE_LINK1"/>
      <w:r>
        <w:rPr>
          <w:rFonts w:hint="default" w:ascii="Times New Roman" w:hAnsi="Times New Roman" w:eastAsia="仿宋_GB2312" w:cs="Times New Roman"/>
          <w:b w:val="0"/>
          <w:bCs w:val="0"/>
          <w:snapToGrid w:val="0"/>
          <w:color w:val="000000"/>
          <w:kern w:val="32"/>
          <w:sz w:val="32"/>
          <w:szCs w:val="36"/>
        </w:rPr>
        <w:t>抓住新一轮科技革命和产业变革历史机遇，</w:t>
      </w:r>
      <w:bookmarkStart w:id="139" w:name="_Hlk219107494"/>
      <w:r>
        <w:rPr>
          <w:rFonts w:hint="default" w:ascii="Times New Roman" w:hAnsi="Times New Roman" w:eastAsia="仿宋_GB2312" w:cs="Times New Roman"/>
          <w:b w:val="0"/>
          <w:bCs w:val="0"/>
          <w:snapToGrid w:val="0"/>
          <w:color w:val="000000"/>
          <w:kern w:val="32"/>
          <w:sz w:val="32"/>
          <w:szCs w:val="36"/>
        </w:rPr>
        <w:t>主动参与共建北京（京津冀）国际科技创新中心，</w:t>
      </w:r>
      <w:bookmarkEnd w:id="139"/>
      <w:r>
        <w:rPr>
          <w:rFonts w:hint="default" w:ascii="Times New Roman" w:hAnsi="Times New Roman" w:eastAsia="仿宋_GB2312" w:cs="Times New Roman"/>
          <w:b w:val="0"/>
          <w:bCs w:val="0"/>
          <w:snapToGrid w:val="0"/>
          <w:color w:val="000000"/>
          <w:kern w:val="32"/>
          <w:sz w:val="32"/>
          <w:szCs w:val="36"/>
        </w:rPr>
        <w:t>加快集聚战略科技力量，突出企业科技创新主体地位，全面增强创新策源能力、成果转化能力、科创服务能力，切实提升创新体系整体效能，不断引领新质生产力发展。</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40" w:name="_Toc21214"/>
      <w:bookmarkStart w:id="141" w:name="_Toc7989"/>
      <w:bookmarkStart w:id="142" w:name="_Toc22831"/>
      <w:bookmarkStart w:id="143" w:name="_Toc219296989"/>
      <w:bookmarkStart w:id="144" w:name="_Toc16453"/>
      <w:r>
        <w:rPr>
          <w:rFonts w:hint="default" w:ascii="Times New Roman" w:hAnsi="Times New Roman" w:cs="Times New Roman"/>
          <w:b w:val="0"/>
          <w:bCs w:val="0"/>
          <w:color w:val="000000"/>
        </w:rPr>
        <w:t>第一节  增强创新策源能力</w:t>
      </w:r>
      <w:bookmarkEnd w:id="140"/>
      <w:bookmarkEnd w:id="141"/>
      <w:bookmarkEnd w:id="142"/>
      <w:bookmarkEnd w:id="143"/>
      <w:bookmarkEnd w:id="144"/>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45" w:name="_Toc4942"/>
      <w:bookmarkStart w:id="146" w:name="_Toc11790"/>
      <w:bookmarkStart w:id="147" w:name="_Toc28131"/>
      <w:r>
        <w:rPr>
          <w:rFonts w:hint="default" w:ascii="Times New Roman" w:hAnsi="Times New Roman" w:eastAsia="仿宋_GB2312" w:cs="Times New Roman"/>
          <w:b w:val="0"/>
          <w:bCs w:val="0"/>
          <w:snapToGrid w:val="0"/>
          <w:color w:val="000000"/>
          <w:kern w:val="32"/>
          <w:sz w:val="32"/>
          <w:szCs w:val="36"/>
        </w:rPr>
        <w:t>加强战略科技力量</w:t>
      </w:r>
      <w:bookmarkEnd w:id="145"/>
      <w:bookmarkEnd w:id="146"/>
      <w:bookmarkEnd w:id="147"/>
      <w:r>
        <w:rPr>
          <w:rFonts w:hint="default" w:ascii="Times New Roman" w:hAnsi="Times New Roman" w:eastAsia="仿宋_GB2312" w:cs="Times New Roman"/>
          <w:b w:val="0"/>
          <w:bCs w:val="0"/>
          <w:snapToGrid w:val="0"/>
          <w:color w:val="000000"/>
          <w:kern w:val="32"/>
          <w:sz w:val="32"/>
          <w:szCs w:val="36"/>
        </w:rPr>
        <w:t>建设。</w:t>
      </w:r>
      <w:bookmarkStart w:id="148" w:name="_Hlk219107964"/>
      <w:r>
        <w:rPr>
          <w:rFonts w:hint="default" w:ascii="Times New Roman" w:hAnsi="Times New Roman" w:eastAsia="仿宋_GB2312" w:cs="Times New Roman"/>
          <w:b w:val="0"/>
          <w:bCs w:val="0"/>
          <w:snapToGrid w:val="0"/>
          <w:color w:val="000000"/>
          <w:kern w:val="32"/>
          <w:sz w:val="32"/>
          <w:szCs w:val="36"/>
        </w:rPr>
        <w:t>优化整合科技资源，积极争取国家级创新平台基地等战略科技力量在滨海新区布局，打造科技创新“国之重器”。全面提升实验室体系建设能级，打造以全国重点实验室为前沿驱动、海河实验室为核心突破、市级重点实验室为网络支撑的原始创新策源体系。</w:t>
      </w:r>
      <w:bookmarkEnd w:id="148"/>
      <w:r>
        <w:rPr>
          <w:rFonts w:hint="default" w:ascii="Times New Roman" w:hAnsi="Times New Roman" w:eastAsia="仿宋_GB2312" w:cs="Times New Roman"/>
          <w:b w:val="0"/>
          <w:bCs w:val="0"/>
          <w:snapToGrid w:val="0"/>
          <w:color w:val="000000"/>
          <w:kern w:val="32"/>
          <w:sz w:val="32"/>
          <w:szCs w:val="36"/>
        </w:rPr>
        <w:t>推动以海河实验室为代表的研发平台融入国家实验室体系，推进脑机接口技术创新中心、国家超算互联网、工业菌种铸造、极端环境通航安全综合试验等重大基础设施建设落地。</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加强关键核心技术攻关。</w:t>
      </w:r>
      <w:bookmarkStart w:id="149" w:name="_Hlk219107986"/>
      <w:r>
        <w:rPr>
          <w:rFonts w:hint="default" w:ascii="Times New Roman" w:hAnsi="Times New Roman" w:eastAsia="仿宋_GB2312" w:cs="Times New Roman"/>
          <w:b w:val="0"/>
          <w:bCs w:val="0"/>
          <w:snapToGrid w:val="0"/>
          <w:color w:val="000000"/>
          <w:kern w:val="32"/>
          <w:sz w:val="32"/>
          <w:szCs w:val="36"/>
        </w:rPr>
        <w:t>坚持“四个面向”，实施服务国家战略的重大科研项目和科技攻关任务。</w:t>
      </w:r>
      <w:bookmarkEnd w:id="149"/>
      <w:bookmarkStart w:id="150" w:name="_Hlk219108028"/>
      <w:r>
        <w:rPr>
          <w:rFonts w:hint="default" w:ascii="Times New Roman" w:hAnsi="Times New Roman" w:eastAsia="仿宋_GB2312" w:cs="Times New Roman"/>
          <w:b w:val="0"/>
          <w:bCs w:val="0"/>
          <w:snapToGrid w:val="0"/>
          <w:color w:val="000000"/>
          <w:kern w:val="32"/>
          <w:sz w:val="32"/>
          <w:szCs w:val="36"/>
        </w:rPr>
        <w:t>聚焦产业创新，加强集成电路、基础软件及工业软件、“AI+信息技术与应用创新”、绿色石化、海洋科技、资源再生等领域关键技术突破。聚焦未来产业，超前布局合成生物、细胞和基因治疗、脑机接口等领域前沿引领技术。</w:t>
      </w:r>
      <w:bookmarkEnd w:id="150"/>
      <w:r>
        <w:rPr>
          <w:rFonts w:hint="default" w:ascii="Times New Roman" w:hAnsi="Times New Roman" w:eastAsia="仿宋_GB2312" w:cs="Times New Roman"/>
          <w:b w:val="0"/>
          <w:bCs w:val="0"/>
          <w:snapToGrid w:val="0"/>
          <w:color w:val="000000"/>
          <w:kern w:val="32"/>
          <w:sz w:val="32"/>
          <w:szCs w:val="36"/>
        </w:rPr>
        <w:t>加大产业基础研究投入，探索多元技术路线与应用场景，强化长期稳定支持。支持中科院天津工业生物研究所实施生物制造重大科技专项，提升天津国际生物医药联合研究院、天津药物研究院科技创新水平。</w:t>
      </w:r>
    </w:p>
    <w:tbl>
      <w:tblPr>
        <w:tblStyle w:val="15"/>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0"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专栏10  产业关键核心技术攻关工程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0"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绿色石化：发展通用工程塑料改性、高端化一体化生产技术，突破原油直接生产化学品、轻质原料替代等节能降碳技术。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高端装备：研发隧道施工安全控制技术，开展轨道交通供电控制与运维技术、综合能源关键技术研发及系统集成应用，攻关高平坦度半导体硅抛光片技术。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“AI+信息技术与应用创新”：攻关自主全闪存储系统、分布式光交换、边缘推理等服务器领域关键技术，发展自然语言处理、机器视觉、大模型训练架构等算法领域关键技术。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生物医药：突破人工智能辅助新药发现、药物设计与高通量筛选、细胞治疗、高效精准基因编辑、新型神经信号感知理论与检测方法、类器官评价、新型药物递送载体、工业核心菌种创制等关键核心技术，研发细胞快速制备、细胞制品质量检验、药用多肽和核酸合成、原料药绿色合成、高端医疗器械等药械制备技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新能源：开发阴离子交换膜电解水制氢、固体氧化物电解制氢关键技术，攻关高功率、高能量圆柱电池技术，发展固态电池及电池材料研发技术，开展新型飞轮储能技术攻关及产业化应用。</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航空航天：开展轻质高强构件制造、大型曲面构件成型制造等技术攻关，突破高效能旋翼设计、噪声抑制、自动飞行控制等直升机制造技术。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海洋科技：突破高精度地球物理综合勘探关键技术，攻克海洋工程工业软件自主自控生态体系，攻关海水淡化耦合制氢等技术。</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资源再生：开发基于计算机视觉、物联网（IoT）和大数据的固体废弃物多维信息采集技术，研发非接触式检测技术，发展柔性化、精细化拆解产线、安全高效预处理、废弃电解液低温减压蒸馏、污染控制集成等绿色拆解技术，开发混合生活垃圾协同气化、焦油原位催化重整、疏浚底泥等资源再利用技术。</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51" w:name="_Toc219296990"/>
      <w:r>
        <w:rPr>
          <w:rFonts w:hint="default" w:ascii="Times New Roman" w:hAnsi="Times New Roman" w:cs="Times New Roman"/>
          <w:b w:val="0"/>
          <w:bCs w:val="0"/>
          <w:color w:val="000000"/>
        </w:rPr>
        <w:t>第二节  推动科技创新和产业创新深度融合</w:t>
      </w:r>
      <w:bookmarkEnd w:id="151"/>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52" w:name="_Hlk219108135"/>
      <w:r>
        <w:rPr>
          <w:rFonts w:hint="default" w:ascii="Times New Roman" w:hAnsi="Times New Roman" w:eastAsia="仿宋_GB2312" w:cs="Times New Roman"/>
          <w:b w:val="0"/>
          <w:bCs w:val="0"/>
          <w:snapToGrid w:val="0"/>
          <w:color w:val="000000"/>
          <w:kern w:val="32"/>
          <w:sz w:val="32"/>
          <w:szCs w:val="36"/>
        </w:rPr>
        <w:t>强化企业科技创新主体地位。鼓励企业承担重大科技任务，推动企业从“创新参与者”向“科研组织者、成果转化者、生态构建者”转变。</w:t>
      </w:r>
      <w:bookmarkEnd w:id="152"/>
      <w:bookmarkStart w:id="153" w:name="_Hlk219108179"/>
      <w:r>
        <w:rPr>
          <w:rFonts w:hint="default" w:ascii="Times New Roman" w:hAnsi="Times New Roman" w:eastAsia="仿宋_GB2312" w:cs="Times New Roman"/>
          <w:b w:val="0"/>
          <w:bCs w:val="0"/>
          <w:snapToGrid w:val="0"/>
          <w:color w:val="000000"/>
          <w:kern w:val="32"/>
          <w:sz w:val="32"/>
          <w:szCs w:val="36"/>
        </w:rPr>
        <w:t>支持科技型骨干企业与高校院所、产业链上下游企业组建体系化、任务型创新联合体。</w:t>
      </w:r>
      <w:bookmarkEnd w:id="153"/>
      <w:r>
        <w:rPr>
          <w:rFonts w:hint="default" w:ascii="Times New Roman" w:hAnsi="Times New Roman" w:eastAsia="仿宋_GB2312" w:cs="Times New Roman"/>
          <w:b w:val="0"/>
          <w:bCs w:val="0"/>
          <w:snapToGrid w:val="0"/>
          <w:color w:val="000000"/>
          <w:kern w:val="32"/>
          <w:sz w:val="32"/>
          <w:szCs w:val="36"/>
        </w:rPr>
        <w:t>探索龙头企业“行业出题人代表+开放式创新组织者+科技投资引领者”的体系化产业技术需求攻关模式。支持科技创新平台设施、仪器设备等资源向企业开放共享。落实企业研发费用加计扣除政策。加大政府采购自主创新产品力度。</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54" w:name="_Hlk219108194"/>
      <w:r>
        <w:rPr>
          <w:rFonts w:hint="default" w:ascii="Times New Roman" w:hAnsi="Times New Roman" w:eastAsia="仿宋_GB2312" w:cs="Times New Roman"/>
          <w:b w:val="0"/>
          <w:bCs w:val="0"/>
          <w:snapToGrid w:val="0"/>
          <w:color w:val="000000"/>
          <w:kern w:val="32"/>
          <w:sz w:val="32"/>
          <w:szCs w:val="36"/>
        </w:rPr>
        <w:t>加快科技成果转化。支持重点高校、企业等主体建设战略性新兴产业、未来产业概念验证中心。加快构建从研究开发、概念验证、中试熟化到工业化试生产的全链条转化平台，产学研联合共建一批小试、中试基地。</w:t>
      </w:r>
      <w:bookmarkEnd w:id="154"/>
      <w:r>
        <w:rPr>
          <w:rFonts w:hint="default" w:ascii="Times New Roman" w:hAnsi="Times New Roman" w:eastAsia="仿宋_GB2312" w:cs="Times New Roman"/>
          <w:b w:val="0"/>
          <w:bCs w:val="0"/>
          <w:snapToGrid w:val="0"/>
          <w:color w:val="000000"/>
          <w:kern w:val="32"/>
          <w:sz w:val="32"/>
          <w:szCs w:val="36"/>
        </w:rPr>
        <w:t>推动高校科技成果转化为现实生产力，完善科技成果市场化评价机制。健全“揭榜挂帅+创新孵化+成果转化”一站式科创服务机制，推动“滨科荟</w:t>
      </w:r>
      <w:r>
        <w:rPr>
          <w:rFonts w:hint="default" w:ascii="Times New Roman" w:hAnsi="Times New Roman" w:eastAsia="MS Mincho" w:cs="Times New Roman"/>
          <w:b w:val="0"/>
          <w:bCs w:val="0"/>
          <w:snapToGrid w:val="0"/>
          <w:color w:val="000000"/>
          <w:kern w:val="32"/>
          <w:sz w:val="32"/>
          <w:szCs w:val="36"/>
        </w:rPr>
        <w:t>・</w:t>
      </w:r>
      <w:r>
        <w:rPr>
          <w:rFonts w:hint="default" w:ascii="Times New Roman" w:hAnsi="Times New Roman" w:eastAsia="仿宋_GB2312" w:cs="Times New Roman"/>
          <w:b w:val="0"/>
          <w:bCs w:val="0"/>
          <w:snapToGrid w:val="0"/>
          <w:color w:val="000000"/>
          <w:kern w:val="32"/>
          <w:sz w:val="32"/>
          <w:szCs w:val="36"/>
        </w:rPr>
        <w:t>数字科创服务平台”提质升级。</w:t>
      </w:r>
      <w:bookmarkStart w:id="155" w:name="_Hlk219108250"/>
      <w:r>
        <w:rPr>
          <w:rFonts w:hint="default" w:ascii="Times New Roman" w:hAnsi="Times New Roman" w:eastAsia="仿宋_GB2312" w:cs="Times New Roman"/>
          <w:b w:val="0"/>
          <w:bCs w:val="0"/>
          <w:snapToGrid w:val="0"/>
          <w:color w:val="000000"/>
          <w:kern w:val="32"/>
          <w:sz w:val="32"/>
          <w:szCs w:val="36"/>
        </w:rPr>
        <w:t>支持专业服务机构和技术转移人才队伍建设，</w:t>
      </w:r>
      <w:bookmarkEnd w:id="155"/>
      <w:r>
        <w:rPr>
          <w:rFonts w:hint="default" w:ascii="Times New Roman" w:hAnsi="Times New Roman" w:eastAsia="仿宋_GB2312" w:cs="Times New Roman"/>
          <w:b w:val="0"/>
          <w:bCs w:val="0"/>
          <w:snapToGrid w:val="0"/>
          <w:color w:val="000000"/>
          <w:kern w:val="32"/>
          <w:sz w:val="32"/>
          <w:szCs w:val="36"/>
        </w:rPr>
        <w:t>布局一批专业化技术转移机构，加强技术经理人队伍建设。</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56" w:name="_Hlk219108276"/>
      <w:r>
        <w:rPr>
          <w:rFonts w:hint="default" w:ascii="Times New Roman" w:hAnsi="Times New Roman" w:eastAsia="仿宋_GB2312" w:cs="Times New Roman"/>
          <w:b w:val="0"/>
          <w:bCs w:val="0"/>
          <w:snapToGrid w:val="0"/>
          <w:color w:val="000000"/>
          <w:kern w:val="32"/>
          <w:sz w:val="32"/>
          <w:szCs w:val="36"/>
        </w:rPr>
        <w:t>营造科技创新生态</w:t>
      </w:r>
      <w:bookmarkEnd w:id="156"/>
      <w:r>
        <w:rPr>
          <w:rFonts w:hint="default" w:ascii="Times New Roman" w:hAnsi="Times New Roman" w:eastAsia="仿宋_GB2312" w:cs="Times New Roman"/>
          <w:b w:val="0"/>
          <w:bCs w:val="0"/>
          <w:snapToGrid w:val="0"/>
          <w:color w:val="000000"/>
          <w:kern w:val="32"/>
          <w:sz w:val="32"/>
          <w:szCs w:val="36"/>
        </w:rPr>
        <w:t>。</w:t>
      </w:r>
      <w:bookmarkStart w:id="157" w:name="_Hlk219108302"/>
      <w:r>
        <w:rPr>
          <w:rFonts w:hint="default" w:ascii="Times New Roman" w:hAnsi="Times New Roman" w:eastAsia="仿宋_GB2312" w:cs="Times New Roman"/>
          <w:b w:val="0"/>
          <w:bCs w:val="0"/>
          <w:snapToGrid w:val="0"/>
          <w:color w:val="000000"/>
          <w:kern w:val="32"/>
          <w:sz w:val="32"/>
          <w:szCs w:val="36"/>
        </w:rPr>
        <w:t>创新科技成果转化模式，建立市场化社会化科技成果评价机制，探索“先研后股”“先投后股”等转化方式。发挥政府投资基金作用，推动天使投资基金、产业投资基金、耐心资本服务科技创新。</w:t>
      </w:r>
      <w:bookmarkEnd w:id="157"/>
      <w:bookmarkStart w:id="158" w:name="_Hlk219108350"/>
      <w:r>
        <w:rPr>
          <w:rFonts w:hint="default" w:ascii="Times New Roman" w:hAnsi="Times New Roman" w:eastAsia="仿宋_GB2312" w:cs="Times New Roman"/>
          <w:b w:val="0"/>
          <w:bCs w:val="0"/>
          <w:snapToGrid w:val="0"/>
          <w:color w:val="000000"/>
          <w:kern w:val="32"/>
          <w:sz w:val="32"/>
          <w:szCs w:val="36"/>
        </w:rPr>
        <w:t>推广企业创新积分制，完善“投贷保担”联动的科技金融服务体系。加强全链条知识产权保护体系建设</w:t>
      </w:r>
      <w:bookmarkEnd w:id="158"/>
      <w:r>
        <w:rPr>
          <w:rFonts w:hint="default" w:ascii="Times New Roman" w:hAnsi="Times New Roman" w:eastAsia="仿宋_GB2312" w:cs="Times New Roman"/>
          <w:b w:val="0"/>
          <w:bCs w:val="0"/>
          <w:snapToGrid w:val="0"/>
          <w:color w:val="000000"/>
          <w:kern w:val="32"/>
          <w:sz w:val="32"/>
          <w:szCs w:val="36"/>
        </w:rPr>
        <w:t>，健全以天津知识产权交易中心和国家级产业知识产权运营中心为核心的知识产权运营体系，打造国家知识产权强市建设示范城市和知识产权保护高地。支持青年科技人才创新创业。培育创新文化，弘扬科学家精神，营造尊重创新、尊重人才、尊重知识、宽容失败的创新文化氛围。加大科普投入，做好新时代科学普及。</w:t>
      </w:r>
      <w:bookmarkStart w:id="159" w:name="_Toc219296991"/>
    </w:p>
    <w:p>
      <w:pPr>
        <w:keepNext w:val="0"/>
        <w:keepLines w:val="0"/>
        <w:pageBreakBefore w:val="0"/>
        <w:widowControl w:val="0"/>
        <w:tabs>
          <w:tab w:val="right" w:leader="dot" w:pos="8554"/>
        </w:tabs>
        <w:kinsoku/>
        <w:wordWrap/>
        <w:overflowPunct w:val="0"/>
        <w:topLinePunct w:val="0"/>
        <w:autoSpaceDE/>
        <w:autoSpaceDN/>
        <w:bidi w:val="0"/>
        <w:adjustRightInd/>
        <w:snapToGrid/>
        <w:spacing w:line="560" w:lineRule="exact"/>
        <w:ind w:firstLine="0" w:firstLineChars="0"/>
        <w:jc w:val="center"/>
        <w:textAlignment w:val="baseline"/>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第三节  加强科创平台建设</w:t>
      </w:r>
      <w:bookmarkEnd w:id="159"/>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推进重点园区建设。</w:t>
      </w:r>
      <w:bookmarkStart w:id="160" w:name="_Hlk219108403"/>
      <w:r>
        <w:rPr>
          <w:rFonts w:hint="default" w:ascii="Times New Roman" w:hAnsi="Times New Roman" w:eastAsia="仿宋_GB2312" w:cs="Times New Roman"/>
          <w:b w:val="0"/>
          <w:bCs w:val="0"/>
          <w:snapToGrid w:val="0"/>
          <w:color w:val="000000"/>
          <w:kern w:val="32"/>
          <w:sz w:val="32"/>
          <w:szCs w:val="36"/>
        </w:rPr>
        <w:t>深度融入天开高教科创园建设，推动华苑片区与周边区域联动发展，促进创新政策共享共通，探索政策先行先试，打造制度集成创新试验区。</w:t>
      </w:r>
      <w:bookmarkEnd w:id="160"/>
      <w:bookmarkStart w:id="161" w:name="_Hlk219108439"/>
      <w:r>
        <w:rPr>
          <w:rFonts w:hint="default" w:ascii="Times New Roman" w:hAnsi="Times New Roman" w:eastAsia="仿宋_GB2312" w:cs="Times New Roman"/>
          <w:b w:val="0"/>
          <w:bCs w:val="0"/>
          <w:snapToGrid w:val="0"/>
          <w:color w:val="000000"/>
          <w:kern w:val="32"/>
          <w:sz w:val="32"/>
          <w:szCs w:val="36"/>
        </w:rPr>
        <w:t>优化滨城科创区“一核一城一带N园”布局，建设特色鲜明、资源集聚的科创园区。</w:t>
      </w:r>
      <w:bookmarkStart w:id="162" w:name="OLE_LINK34"/>
      <w:r>
        <w:rPr>
          <w:rFonts w:hint="default" w:ascii="Times New Roman" w:hAnsi="Times New Roman" w:eastAsia="仿宋_GB2312" w:cs="Times New Roman"/>
          <w:b w:val="0"/>
          <w:bCs w:val="0"/>
          <w:snapToGrid w:val="0"/>
          <w:color w:val="000000"/>
          <w:kern w:val="32"/>
          <w:sz w:val="32"/>
          <w:szCs w:val="36"/>
        </w:rPr>
        <w:t>提升天津科技大学科技园能级，构建与滨海—中关村科技园联动发展的“校区+园区+社区”模式</w:t>
      </w:r>
      <w:bookmarkEnd w:id="162"/>
      <w:r>
        <w:rPr>
          <w:rFonts w:hint="default" w:ascii="Times New Roman" w:hAnsi="Times New Roman" w:eastAsia="仿宋_GB2312" w:cs="Times New Roman"/>
          <w:b w:val="0"/>
          <w:bCs w:val="0"/>
          <w:snapToGrid w:val="0"/>
          <w:color w:val="000000"/>
          <w:kern w:val="32"/>
          <w:sz w:val="32"/>
          <w:szCs w:val="36"/>
        </w:rPr>
        <w:t>。</w:t>
      </w:r>
      <w:bookmarkEnd w:id="161"/>
      <w:r>
        <w:rPr>
          <w:rFonts w:hint="default" w:ascii="Times New Roman" w:hAnsi="Times New Roman" w:eastAsia="仿宋_GB2312" w:cs="Times New Roman"/>
          <w:b w:val="0"/>
          <w:bCs w:val="0"/>
          <w:snapToGrid w:val="0"/>
          <w:color w:val="000000"/>
          <w:kern w:val="32"/>
          <w:sz w:val="32"/>
          <w:szCs w:val="36"/>
        </w:rPr>
        <w:t>加快南港工业区绿色石化科创中心和中试基地建设，打造环渤海乃至全国新材料创新策源地、新产业发展驱动器。创新央地合作模式，加快建设国家开发投资集团生物制造创新研究院和中国资源循环集团绿色科技研究院。</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63" w:name="_Hlk219108457"/>
      <w:r>
        <w:rPr>
          <w:rFonts w:hint="default" w:ascii="Times New Roman" w:hAnsi="Times New Roman" w:eastAsia="仿宋_GB2312" w:cs="Times New Roman"/>
          <w:b w:val="0"/>
          <w:bCs w:val="0"/>
          <w:snapToGrid w:val="0"/>
          <w:color w:val="000000"/>
          <w:kern w:val="32"/>
          <w:sz w:val="32"/>
          <w:szCs w:val="36"/>
        </w:rPr>
        <w:t>提升研发载体功能。实施重大科技创新平台建设工程，健全“实验室原始创新+创新中心技术创新+工程中心应用创新+企业技术中心转化”全链条科技创新体系</w:t>
      </w:r>
      <w:bookmarkEnd w:id="163"/>
      <w:r>
        <w:rPr>
          <w:rFonts w:hint="default" w:ascii="Times New Roman" w:hAnsi="Times New Roman" w:eastAsia="仿宋_GB2312" w:cs="Times New Roman"/>
          <w:b w:val="0"/>
          <w:bCs w:val="0"/>
          <w:snapToGrid w:val="0"/>
          <w:color w:val="000000"/>
          <w:kern w:val="32"/>
          <w:sz w:val="32"/>
          <w:szCs w:val="36"/>
        </w:rPr>
        <w:t>，支持科技领军企业联合高校院所打造一批国家技术创新中心、制造业创新中心、新兴产业创新中心、产业技术工程化中心。推动国家超级计算天津中心、浙江大学滨海产业技术研究院等新型研发机构创新发展。</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健全创新孵化载体。</w:t>
      </w:r>
      <w:bookmarkStart w:id="164" w:name="_Hlk219108481"/>
      <w:r>
        <w:rPr>
          <w:rFonts w:hint="default" w:ascii="Times New Roman" w:hAnsi="Times New Roman" w:eastAsia="仿宋_GB2312" w:cs="Times New Roman"/>
          <w:b w:val="0"/>
          <w:bCs w:val="0"/>
          <w:snapToGrid w:val="0"/>
          <w:color w:val="000000"/>
          <w:kern w:val="32"/>
          <w:sz w:val="32"/>
          <w:szCs w:val="36"/>
        </w:rPr>
        <w:t>聚焦新兴产业和未来产业，建设生物制造、细胞和基因治疗等领域科技型孵化器。</w:t>
      </w:r>
      <w:bookmarkEnd w:id="164"/>
      <w:r>
        <w:rPr>
          <w:rFonts w:hint="default" w:ascii="Times New Roman" w:hAnsi="Times New Roman" w:eastAsia="仿宋_GB2312" w:cs="Times New Roman"/>
          <w:b w:val="0"/>
          <w:bCs w:val="0"/>
          <w:snapToGrid w:val="0"/>
          <w:color w:val="000000"/>
          <w:kern w:val="32"/>
          <w:sz w:val="32"/>
          <w:szCs w:val="36"/>
        </w:rPr>
        <w:t>引导孵化器强化人才牵引、投资赋能等功能，提升前端资源整合、后端成果转化能力，支持认定部级、市级科技型企业孵化器。引导孵化器与龙头企业合作，</w:t>
      </w:r>
      <w:bookmarkStart w:id="165" w:name="_Hlk219108494"/>
      <w:r>
        <w:rPr>
          <w:rFonts w:hint="default" w:ascii="Times New Roman" w:hAnsi="Times New Roman" w:eastAsia="仿宋_GB2312" w:cs="Times New Roman"/>
          <w:b w:val="0"/>
          <w:bCs w:val="0"/>
          <w:snapToGrid w:val="0"/>
          <w:color w:val="000000"/>
          <w:kern w:val="32"/>
          <w:sz w:val="32"/>
          <w:szCs w:val="36"/>
        </w:rPr>
        <w:t>推广“投孵联动”模式，鼓励市级及以上孵化器设立孵化基金或专项资金。</w:t>
      </w:r>
      <w:bookmarkEnd w:id="165"/>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66" w:name="_Toc219296992"/>
      <w:r>
        <w:rPr>
          <w:rFonts w:hint="default" w:ascii="Times New Roman" w:hAnsi="Times New Roman" w:cs="Times New Roman"/>
          <w:b w:val="0"/>
          <w:bCs w:val="0"/>
          <w:color w:val="000000"/>
        </w:rPr>
        <w:t xml:space="preserve">第四节 </w:t>
      </w:r>
      <w:bookmarkStart w:id="167" w:name="_Hlk219108511"/>
      <w:r>
        <w:rPr>
          <w:rFonts w:hint="default" w:ascii="Times New Roman" w:hAnsi="Times New Roman" w:cs="Times New Roman"/>
          <w:b w:val="0"/>
          <w:bCs w:val="0"/>
          <w:color w:val="000000"/>
        </w:rPr>
        <w:t xml:space="preserve"> 一体推进教育科技人才发展</w:t>
      </w:r>
      <w:bookmarkEnd w:id="166"/>
      <w:bookmarkEnd w:id="167"/>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68" w:name="_Toc9609"/>
      <w:bookmarkStart w:id="169" w:name="_Toc5190"/>
      <w:bookmarkStart w:id="170" w:name="_Toc15637"/>
      <w:bookmarkStart w:id="171" w:name="_Hlk219108529"/>
      <w:r>
        <w:rPr>
          <w:rFonts w:hint="default" w:ascii="Times New Roman" w:hAnsi="Times New Roman" w:eastAsia="仿宋_GB2312" w:cs="Times New Roman"/>
          <w:b w:val="0"/>
          <w:bCs w:val="0"/>
          <w:snapToGrid w:val="0"/>
          <w:color w:val="000000"/>
          <w:kern w:val="32"/>
          <w:sz w:val="32"/>
          <w:szCs w:val="36"/>
        </w:rPr>
        <w:t>构建拔尖人才早期发现培养新机制，加快引育具有战略科学家潜质的高层次复合型人才、科技领军人才、创新企业家、大国工匠。完善协同育人机制，建立健全青年科技人才培养制度，深化与高水平大学合作，共建滨海校区、卓越工程师创新研究院、未来技术学院，加强博士后工作站建设。高标准建设产教联合体，培养一流产业技术工人和高技能人才。深化“智汇滨海”系列人才活动，升级具有滨城特色的人才服务，全力构建“滨海优才生活圈”。高标准推进国家海外人才离岸创新创业基地（天津滨海新区）等载体建设，加速国际人才集聚。优化技术人才职称评价体系，支持科研院所在科研活动中扩大选人用人、科研立项、职称评审、薪酬分配等自主权，支持市场主体自主评价人才，激发创新创造活力。</w:t>
      </w:r>
      <w:bookmarkEnd w:id="138"/>
      <w:bookmarkEnd w:id="168"/>
      <w:bookmarkEnd w:id="169"/>
      <w:bookmarkEnd w:id="170"/>
    </w:p>
    <w:bookmarkEnd w:id="171"/>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72" w:name="_Toc219296993"/>
      <w:r>
        <w:rPr>
          <w:rFonts w:hint="default" w:ascii="Times New Roman" w:hAnsi="Times New Roman" w:cs="Times New Roman"/>
          <w:b w:val="0"/>
          <w:bCs w:val="0"/>
          <w:color w:val="000000"/>
        </w:rPr>
        <w:t>第五节  加快发展数字经济</w:t>
      </w:r>
      <w:bookmarkEnd w:id="172"/>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数字产业化高质量发展。提升数据资源开发利用水平，大力发展数字产品制造业、数字产品服务业、数字技术应用业、数字要素驱动业，打造更多数据融合典型应用场景。加快突破高端芯片设计制造、智能传感器、服务器整机等关键环节，壮大软件与信息技术服务集群，培育壮大无人驾驶、数字内容创作等产业集群，推动数据金融产品创新、服务集聚发展，鼓励平台企业培育共享研发设计、共享制造等共享经济新业态。建强北方大数据交易中心，推进纳入国家数据交易体系。</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快推进产业数字化转型。促进实体经济与数字经济深度融合，引导龙头企业牵头建设工业互联网平台，深化“5G+工业互联网”融合应用，促进工业互联网与重点产业链“链网协同”，分级分类推进智能工厂、数字车间和数字园区建设。支持智算中心与本地先进制造、生物医药等产业应用深度结合。探索建立异构算力资源统筹机制，完善跨区域算力调度市场化运营模式，促进算力共享共用。</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实施“人工智能+”行动。以人工智能引领科研范式变革、赋能千行百业发展，支持多模态大模型、垂类大模型等研发应用。深化在具身智能、大模型等领域的技术创新。鼓励企业、科研院所、行业协会建设人工智能领域开放创新平台、开源社区、评测验证适配中心、创新中心等公用技术服务平台和重点实验室、企业技术中心等创新平台。加快人工智能在全社会应用，打造一批人工智能在城市治理、政务服务、医疗、教育、文旅、民生等方面的典型应用场景。支持人工智能赋能新型工业化，推动人工智能+新药研发、防爆安全、新材料研发等领域示范应用。建强国家人工智能创新应用先导区。</w:t>
      </w:r>
    </w:p>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173" w:name="_Toc219296994"/>
      <w:r>
        <w:rPr>
          <w:rFonts w:hint="default" w:ascii="Times New Roman" w:hAnsi="Times New Roman" w:cs="Times New Roman"/>
          <w:b w:val="0"/>
          <w:bCs w:val="0"/>
        </w:rPr>
        <w:t>第六章  坚持消费旺区，打造“双中心”城市聚集区</w:t>
      </w:r>
      <w:bookmarkEnd w:id="173"/>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坚持促消费和惠民生紧密结合、投资于物和投资于人紧密结合，更好统筹提振消费和扩大投资，推动供给和需求良性互动，在服务国际消费中心城市和区域商贸中心城市建设、做强国内大循环中发挥更大作用。</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74" w:name="_Hlk219109812"/>
      <w:bookmarkStart w:id="175" w:name="_Toc219296995"/>
      <w:r>
        <w:rPr>
          <w:rFonts w:hint="default" w:ascii="Times New Roman" w:hAnsi="Times New Roman" w:cs="Times New Roman"/>
          <w:b w:val="0"/>
          <w:bCs w:val="0"/>
          <w:color w:val="000000"/>
        </w:rPr>
        <w:t>第一节  构建“大消费”格局</w:t>
      </w:r>
      <w:bookmarkEnd w:id="174"/>
      <w:bookmarkEnd w:id="175"/>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76" w:name="_Hlk219109833"/>
      <w:r>
        <w:rPr>
          <w:rFonts w:hint="default" w:ascii="Times New Roman" w:hAnsi="Times New Roman" w:eastAsia="仿宋_GB2312" w:cs="Times New Roman"/>
          <w:b w:val="0"/>
          <w:bCs w:val="0"/>
          <w:snapToGrid w:val="0"/>
          <w:color w:val="000000"/>
          <w:kern w:val="32"/>
          <w:sz w:val="32"/>
          <w:szCs w:val="36"/>
        </w:rPr>
        <w:t>提振商品消费。推动汽车、家电、数码产品等消费品升级，培育智能穿戴、智能家居、美妆、宠物等消费新增长点，举办滨城国际消费季、以旧换新购物节等系列主题活动。大力发展国货“潮品”“老字号”，增强“海鸥”“芦花”“海河”“山海关”等自有品牌影响力</w:t>
      </w:r>
      <w:bookmarkEnd w:id="176"/>
      <w:r>
        <w:rPr>
          <w:rFonts w:hint="default" w:ascii="Times New Roman" w:hAnsi="Times New Roman" w:eastAsia="仿宋_GB2312" w:cs="Times New Roman"/>
          <w:b w:val="0"/>
          <w:bCs w:val="0"/>
          <w:snapToGrid w:val="0"/>
          <w:color w:val="000000"/>
          <w:kern w:val="32"/>
          <w:sz w:val="32"/>
          <w:szCs w:val="36"/>
        </w:rPr>
        <w:t>，壮大消费品牌矩阵。规范发展平行进口车、二手车市场。拓展汽车后市场消费，延伸汽车改装、金融保险等消费链条，打造汽车文化消费新热点。</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77" w:name="_Hlk219109869"/>
      <w:r>
        <w:rPr>
          <w:rFonts w:hint="default" w:ascii="Times New Roman" w:hAnsi="Times New Roman" w:eastAsia="仿宋_GB2312" w:cs="Times New Roman"/>
          <w:b w:val="0"/>
          <w:bCs w:val="0"/>
          <w:snapToGrid w:val="0"/>
          <w:color w:val="000000"/>
          <w:kern w:val="32"/>
          <w:sz w:val="32"/>
          <w:szCs w:val="36"/>
        </w:rPr>
        <w:t>做优服务消费。扩围升级城市一刻钟便民生活圈，提升餐饮住宿、家政服务、医疗健康、养老育幼、教育体育等基础型消费能级。做强“海陆联动”特色矩阵，激活邮轮经济、低空经济、文创经济等消费新引擎。培育演艺经济、赛事经济、假日经济、</w:t>
      </w:r>
      <w:r>
        <w:rPr>
          <w:rFonts w:hint="default" w:ascii="Times New Roman" w:hAnsi="Times New Roman" w:eastAsia="仿宋_GB2312" w:cs="Times New Roman"/>
          <w:b w:val="0"/>
          <w:bCs w:val="0"/>
          <w:snapToGrid w:val="0"/>
          <w:color w:val="000000"/>
          <w:spacing w:val="-4"/>
          <w:kern w:val="32"/>
          <w:sz w:val="32"/>
          <w:szCs w:val="36"/>
        </w:rPr>
        <w:t>展会经济等消费新热点，</w:t>
      </w:r>
      <w:bookmarkEnd w:id="177"/>
      <w:r>
        <w:rPr>
          <w:rFonts w:hint="default" w:ascii="Times New Roman" w:hAnsi="Times New Roman" w:eastAsia="仿宋_GB2312" w:cs="Times New Roman"/>
          <w:b w:val="0"/>
          <w:bCs w:val="0"/>
          <w:snapToGrid w:val="0"/>
          <w:color w:val="000000"/>
          <w:spacing w:val="-4"/>
          <w:kern w:val="32"/>
          <w:sz w:val="32"/>
          <w:szCs w:val="36"/>
        </w:rPr>
        <w:t>打造一批商旅文体健融合的消费新场</w:t>
      </w:r>
      <w:r>
        <w:rPr>
          <w:rFonts w:hint="default" w:ascii="Times New Roman" w:hAnsi="Times New Roman" w:eastAsia="仿宋_GB2312" w:cs="Times New Roman"/>
          <w:b w:val="0"/>
          <w:bCs w:val="0"/>
          <w:snapToGrid w:val="0"/>
          <w:color w:val="000000"/>
          <w:kern w:val="32"/>
          <w:sz w:val="32"/>
          <w:szCs w:val="36"/>
        </w:rPr>
        <w:t>景。</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78" w:name="_Hlk219109901"/>
      <w:r>
        <w:rPr>
          <w:rFonts w:hint="default" w:ascii="Times New Roman" w:hAnsi="Times New Roman" w:eastAsia="仿宋_GB2312" w:cs="Times New Roman"/>
          <w:b w:val="0"/>
          <w:bCs w:val="0"/>
          <w:snapToGrid w:val="0"/>
          <w:color w:val="000000"/>
          <w:kern w:val="32"/>
          <w:sz w:val="32"/>
          <w:szCs w:val="36"/>
        </w:rPr>
        <w:t>拓展新型消费。支持消费业态创新、模式创新，鼓励线上线下深度融合。</w:t>
      </w:r>
      <w:bookmarkEnd w:id="178"/>
      <w:r>
        <w:rPr>
          <w:rFonts w:hint="default" w:ascii="Times New Roman" w:hAnsi="Times New Roman" w:eastAsia="仿宋_GB2312" w:cs="Times New Roman"/>
          <w:b w:val="0"/>
          <w:bCs w:val="0"/>
          <w:snapToGrid w:val="0"/>
          <w:color w:val="000000"/>
          <w:kern w:val="32"/>
          <w:sz w:val="32"/>
          <w:szCs w:val="36"/>
        </w:rPr>
        <w:t>加快培育首发载体，推动动漫、游戏、网络影视等新兴潮玩领域原创性IP集聚。培育数字消费，搭建数字消费平台，加快发展“人工智能+消费”，打造物联网与数智化商业新地标。积极发展直播电商、跨境电商，提升跨境电商创新试验区承载能力，构建一体化跨境电商服务体系。促进绿色消费，提高家装、出行、旅游、快递等领域绿色化水平。拓展健康消费，大力发展“互联网+医疗健康+社会服务”新模式。</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179" w:name="_Hlk219109949"/>
      <w:r>
        <w:rPr>
          <w:rFonts w:hint="default" w:ascii="Times New Roman" w:hAnsi="Times New Roman" w:eastAsia="仿宋_GB2312" w:cs="Times New Roman"/>
          <w:b w:val="0"/>
          <w:bCs w:val="0"/>
          <w:snapToGrid w:val="0"/>
          <w:color w:val="000000"/>
          <w:kern w:val="32"/>
          <w:sz w:val="32"/>
          <w:szCs w:val="36"/>
        </w:rPr>
        <w:t>优化消费环境。升级打造一批城市地标商圈，</w:t>
      </w:r>
      <w:bookmarkEnd w:id="179"/>
      <w:r>
        <w:rPr>
          <w:rFonts w:hint="default" w:ascii="Times New Roman" w:hAnsi="Times New Roman" w:eastAsia="仿宋_GB2312" w:cs="Times New Roman"/>
          <w:b w:val="0"/>
          <w:bCs w:val="0"/>
          <w:snapToGrid w:val="0"/>
          <w:color w:val="000000"/>
          <w:kern w:val="32"/>
          <w:sz w:val="32"/>
          <w:szCs w:val="36"/>
        </w:rPr>
        <w:t>引进知名品牌布局首店首发首展，增强小店经济、夜间消费场景聚集力，构建多层次品质化消费格局。营造国际友好消费环境，支持国际消费、入境消费，推广“文娱+消费”国际便捷支付试点经验，支持重点商圈建设离境退税商店。清理汽车、住房等消费不合理限制性措施。</w:t>
      </w:r>
      <w:bookmarkStart w:id="180" w:name="_Hlk219109977"/>
      <w:r>
        <w:rPr>
          <w:rFonts w:hint="default" w:ascii="Times New Roman" w:hAnsi="Times New Roman" w:eastAsia="仿宋_GB2312" w:cs="Times New Roman"/>
          <w:b w:val="0"/>
          <w:bCs w:val="0"/>
          <w:snapToGrid w:val="0"/>
          <w:color w:val="000000"/>
          <w:kern w:val="32"/>
          <w:sz w:val="32"/>
          <w:szCs w:val="36"/>
        </w:rPr>
        <w:t>强化消费者权益保护，打造“放心消费在滨海”品牌</w:t>
      </w:r>
      <w:bookmarkEnd w:id="180"/>
      <w:r>
        <w:rPr>
          <w:rFonts w:hint="default" w:ascii="Times New Roman" w:hAnsi="Times New Roman" w:eastAsia="仿宋_GB2312" w:cs="Times New Roman"/>
          <w:b w:val="0"/>
          <w:bCs w:val="0"/>
          <w:snapToGrid w:val="0"/>
          <w:color w:val="000000"/>
          <w:kern w:val="32"/>
          <w:sz w:val="32"/>
          <w:szCs w:val="36"/>
        </w:rPr>
        <w:t>。落实带薪错峰休假。</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专栏11  地标商圈布局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泰达MSD组团：发展商业旗舰、总部经济、首店经济、首发经济，引入国际一线品牌旗舰店与高端概念店，承办国际性展会与时尚活动，塑造具有全球知名度的城市消费名片。</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万达—文化中心组团：建设文商体融合的体验式消费中心，加强文化赋能、业态创新、活动联动，打造城市级文创体验与社交休闲目的地。</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泰达足球场组团：发展赛演流量经济，引入国际足球赛事、巨星演唱会等高能级活动，导入优质客流，强化与周边商业联动，打造辐射京津冀的赛演消费目的地。</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海河沿岸组团：建设亲水休闲活力带，策划水岸啤酒节、电音节、龙舟赛等品牌活动，搭建时尚发布舞台，打造融合消费、休闲等功能的滨水活力带。</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解放路组团：发展都市烟火消费，升级传统商场业态，发展品质餐饮，引入沉浸式剧场、精致生活方式主力店等新兴业态，营造充满活力的都市生活消费氛围。</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空港经济区休闲商圈：发展高端购物、保税展销、文化娱乐等业态，做强时尚消费、跨境体验、都市休闲功能，打造服务区域、辐射周边的国际化休闲商圈。</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eastAsia" w:eastAsia="仿宋_GB2312" w:cs="Times New Roman"/>
                <w:b w:val="0"/>
                <w:bCs w:val="0"/>
                <w:snapToGrid w:val="0"/>
                <w:color w:val="000000"/>
                <w:kern w:val="32"/>
                <w:sz w:val="32"/>
                <w:szCs w:val="36"/>
                <w:lang w:eastAsia="zh-CN"/>
              </w:rPr>
              <w:t>中新天津</w:t>
            </w:r>
            <w:r>
              <w:rPr>
                <w:rFonts w:hint="default" w:ascii="Times New Roman" w:hAnsi="Times New Roman" w:eastAsia="仿宋_GB2312" w:cs="Times New Roman"/>
                <w:b w:val="0"/>
                <w:bCs w:val="0"/>
                <w:snapToGrid w:val="0"/>
                <w:color w:val="000000"/>
                <w:kern w:val="32"/>
                <w:sz w:val="32"/>
                <w:szCs w:val="36"/>
              </w:rPr>
              <w:t>生态城亲海商圈：联动国家海洋博物馆、航母主题公园等景区，培育海洋主题消费、生态休闲体验、亲子研学等新业态，构建“观海、游购、趣玩”一体化消费场景，建设绿色低碳、宜居宜游、活力时尚的商业新地标。</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南北“两翼”商圈：聚合多元商业业态，集聚潮流消费与便民服务功能，着力提升城市品质与消费能级，打造南部、北部活力商业中心。</w:t>
            </w:r>
          </w:p>
        </w:tc>
      </w:tr>
    </w:tbl>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畅通商贸流通体系。做大做强区域商贸集散交易功能，建设一批物流分拨中心、贸易结算中心、跨区域批发市场。鼓励传统商贸企业向全渠道运营商、供应链服务商、新零售企业转型，延伸天津港优势货类产业链条，推进港航物贸产一体化发展。焕新升级商贸服务业态，推动零售业线上线下融合发展，引导外贸企业拓展出口转内销营销渠道。加快发展智慧商贸物流，支持供应链企业开展产供销储运一体化运营服务。支持商品类交易场所创新商业模式、扩充交易品类、提升服务能级。探索税务交通联合监管新模式，更好发挥网络货运在降低全社会物流成本中的重要作用。</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81" w:name="_Toc219296996"/>
      <w:r>
        <w:rPr>
          <w:rFonts w:hint="default" w:ascii="Times New Roman" w:hAnsi="Times New Roman" w:cs="Times New Roman"/>
          <w:b w:val="0"/>
          <w:bCs w:val="0"/>
          <w:color w:val="000000"/>
        </w:rPr>
        <w:t>第二节  持续扩大有效投资</w:t>
      </w:r>
      <w:bookmarkEnd w:id="181"/>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优化政府投资结构。提高民生类政府投资比重，以人口变化趋势为导向完善基础设施和公共服务设施布局，加大对生育养育、教育医疗、职业培训、普惠养老、文化体育等领域的公共投入，加强人力资源开发和人的全面发展投资。加大防潮防涝、管网设施改造、安全能力提升等薄弱环节投资，布局一批新型基础设施项目，促进产业转型升级，高质量推进“两重”项目建设。统筹用好超长期特别国债、中央预算内投资、地方政府专项债券等资金，提升政府投资支持基础性、公益性、长远性重大项目建设能力。</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拓展民间投资空间。扩大产业投资规模，鼓励参与国家重大生产力布局项目，实施一批标志性产业项目和引领性科技项目。夯实产业链成龙配套投资，支持设备更新和技术改造投资。规范实施政府和社会资本合作新机制，支持应用特许经营等模式，创新运用基础设施领域不动产投资信托基金（REITs）等金融工具，</w:t>
      </w:r>
      <w:bookmarkStart w:id="182" w:name="_Hlk218459476"/>
      <w:r>
        <w:rPr>
          <w:rFonts w:hint="default" w:ascii="Times New Roman" w:hAnsi="Times New Roman" w:eastAsia="仿宋_GB2312" w:cs="Times New Roman"/>
          <w:b w:val="0"/>
          <w:bCs w:val="0"/>
          <w:snapToGrid w:val="0"/>
          <w:color w:val="000000"/>
          <w:kern w:val="32"/>
          <w:sz w:val="32"/>
          <w:szCs w:val="36"/>
        </w:rPr>
        <w:t>鼓励和引导社会资本参与基础设施和公用事业建设运营。发挥政府投资基金引导带动作用，激发民间投资活力、</w:t>
      </w:r>
      <w:bookmarkEnd w:id="182"/>
      <w:r>
        <w:rPr>
          <w:rFonts w:hint="default" w:ascii="Times New Roman" w:hAnsi="Times New Roman" w:eastAsia="仿宋_GB2312" w:cs="Times New Roman"/>
          <w:b w:val="0"/>
          <w:bCs w:val="0"/>
          <w:snapToGrid w:val="0"/>
          <w:color w:val="000000"/>
          <w:kern w:val="32"/>
          <w:sz w:val="32"/>
          <w:szCs w:val="36"/>
        </w:rPr>
        <w:t>提高民间投资比重，增强市场主导的有效投资增长动力。</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创新投资体制机制。统筹推动投资合理增长、效益持续提升，同步加强“硬投资”和“软建设”，以项目建设牵引政策、规划、体制机制创新。完善重大项目谋划储备机制。制度化发布投资机会清单，明确投资方向和重点。深化投资审批制度改革，持续健全投资项目事前准入、事中监管、事后评价机制，强化后评价管理。完善项目招引协同机制，推广创新链产业链招商、存量要素招商、场景开放招商等模式，打造“投资滨海”品牌。深化重大项目全流程要素保障及精准服务。</w:t>
      </w:r>
    </w:p>
    <w:bookmarkEnd w:id="1"/>
    <w:bookmarkEnd w:id="2"/>
    <w:bookmarkEnd w:id="3"/>
    <w:bookmarkEnd w:id="4"/>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83" w:name="_Toc3888"/>
      <w:bookmarkEnd w:id="183"/>
      <w:bookmarkStart w:id="184" w:name="_Toc12582"/>
      <w:bookmarkEnd w:id="184"/>
      <w:bookmarkStart w:id="185" w:name="_Toc9549"/>
      <w:bookmarkEnd w:id="185"/>
      <w:bookmarkStart w:id="186" w:name="_Toc219296997"/>
      <w:bookmarkStart w:id="187" w:name="_Toc2637"/>
      <w:bookmarkStart w:id="188" w:name="_Toc31320"/>
      <w:bookmarkStart w:id="189" w:name="_Toc17466"/>
      <w:bookmarkStart w:id="190" w:name="_Toc1063"/>
      <w:r>
        <w:rPr>
          <w:rFonts w:hint="default" w:ascii="Times New Roman" w:hAnsi="Times New Roman" w:cs="Times New Roman"/>
          <w:b w:val="0"/>
          <w:bCs w:val="0"/>
          <w:color w:val="000000"/>
        </w:rPr>
        <w:t>第三节  深度融入全国统一大市场</w:t>
      </w:r>
      <w:bookmarkEnd w:id="186"/>
    </w:p>
    <w:p>
      <w:pPr>
        <w:keepLines w:val="0"/>
        <w:widowControl w:val="0"/>
        <w:tabs>
          <w:tab w:val="left" w:pos="1470"/>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规范政府经济促进行为。综合整治“内卷式”竞争，强化公平竞争审查刚性约束，健全产业政策体系，完善招商引资机制。完善产权保护制度，强化产权执法司法保护，加强对查封、扣押、冻结等强制措施的司法监督。健全跨省分支机构纳统联动工作机制，深化推进经营主体活动发生地统计改革。</w:t>
      </w:r>
    </w:p>
    <w:p>
      <w:pPr>
        <w:keepLines w:val="0"/>
        <w:widowControl w:val="0"/>
        <w:tabs>
          <w:tab w:val="left" w:pos="1470"/>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经营主体行为引导。健全市场准入体系，深化市场准入承诺即入制和市场准营承诺即入制改革，鼓励领军企业主导或参与行业标准制修订。推进社会信用体系建设，建立“政府定标、企业履约”的信用审批新机制，拓展“信用+”应用场景。完善市场化、法治化的企业破产制度，建立健全破产重整、破产和解企业信用修复机制。</w:t>
      </w:r>
    </w:p>
    <w:p>
      <w:pPr>
        <w:keepLines w:val="0"/>
        <w:widowControl w:val="0"/>
        <w:tabs>
          <w:tab w:val="left" w:pos="1470"/>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化市场分级分类监管。规范市场监管执法，强化反垄断和反不正当竞争执法司法，拓展“无感监管”“无事不扰”范围。构建重点行业领域“采信、评信、用信”信用监管闭环机制。探索在法律法规尚未明确的新兴产业领域开展商业流程、服务模式或产品形态监管创新，对低空经济、自动驾驶等新技术、新产业、新业态采取柔性监管措施。</w:t>
      </w:r>
    </w:p>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191" w:name="_Toc219296998"/>
      <w:r>
        <w:rPr>
          <w:rFonts w:hint="default" w:ascii="Times New Roman" w:hAnsi="Times New Roman" w:cs="Times New Roman"/>
          <w:b w:val="0"/>
          <w:bCs w:val="0"/>
        </w:rPr>
        <w:t>第七章  深化改革活区，释放高质量发展内生动力</w:t>
      </w:r>
      <w:bookmarkEnd w:id="191"/>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紧紧围绕国家级新区改革开放综合功能平台定位，发挥先行探索、示范引领作用，加快落地实施一批首创性、制度性、系统性、集成式改革，建立健全深化改革的推进、协同、评估机制，增强改革举措的精准性、针对性、实效性，为高质量发展提供动力支撑。</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92" w:name="_Toc219296999"/>
      <w:r>
        <w:rPr>
          <w:rFonts w:hint="default" w:ascii="Times New Roman" w:hAnsi="Times New Roman" w:cs="Times New Roman"/>
          <w:b w:val="0"/>
          <w:bCs w:val="0"/>
          <w:color w:val="000000"/>
        </w:rPr>
        <w:t>第一节  充分激发各类经营主体活力</w:t>
      </w:r>
      <w:bookmarkEnd w:id="192"/>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坚持和落实“两个毫不动摇”，促进各种所有制经济优势互补、共同发展。</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化国资国企改革。优化在滨央企服务机制，推动央地合作、互促发展。加强区属国有企业分级分类监管和穿透式监管，健全权责一致、激励约束相容的责任机制，加强和改进国有企业薪酬管理，推动国有企业和国有资本高质量发展。推进国有经济布局优化和结构调整，加快同类同业整合，健全市场化经营机制，推动国有资本“三个集中”。促进国有存量资产盘活和低效无效资产处置，提升资本配置效率。</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发展壮大民营经济。深入落实民营经济促进法，健全促进民营经济发展政策体系，依法保护民营企业和民营企业家合法权益，深入开展促进民营经济高质量发展“春笋行动”。完善涉企</w:t>
      </w:r>
      <w:r>
        <w:rPr>
          <w:rFonts w:hint="default" w:ascii="Times New Roman" w:hAnsi="Times New Roman" w:eastAsia="仿宋_GB2312" w:cs="Times New Roman"/>
          <w:b w:val="0"/>
          <w:bCs w:val="0"/>
          <w:snapToGrid w:val="0"/>
          <w:color w:val="000000"/>
          <w:spacing w:val="2"/>
          <w:kern w:val="32"/>
          <w:sz w:val="32"/>
          <w:szCs w:val="36"/>
        </w:rPr>
        <w:t>收费监管和拖欠企业账款清偿等长效机制。完善民营企业授信增</w:t>
      </w:r>
      <w:r>
        <w:rPr>
          <w:rFonts w:hint="default" w:ascii="Times New Roman" w:hAnsi="Times New Roman" w:eastAsia="仿宋_GB2312" w:cs="Times New Roman"/>
          <w:b w:val="0"/>
          <w:bCs w:val="0"/>
          <w:snapToGrid w:val="0"/>
          <w:color w:val="000000"/>
          <w:kern w:val="32"/>
          <w:sz w:val="32"/>
          <w:szCs w:val="36"/>
        </w:rPr>
        <w:t>信制度，畅通民营企业融资渠道。推动能源、水利、公用事业等行业竞争性环节向民营资本公平开放。建立健全民营企业培育机制，深化“民企+国企”“民企+外企”合作模式，支持中小企业和个体工商户发展。支持企业建立健全中国特色现代企业制度，弘扬企业家精神，促进民营经济健康发展、民营经济人士健康成长。</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93" w:name="_Toc219297000"/>
      <w:r>
        <w:rPr>
          <w:rFonts w:hint="default" w:ascii="Times New Roman" w:hAnsi="Times New Roman" w:cs="Times New Roman"/>
          <w:b w:val="0"/>
          <w:bCs w:val="0"/>
          <w:color w:val="000000"/>
        </w:rPr>
        <w:t>第二节  深化要素市场化配置改革</w:t>
      </w:r>
      <w:bookmarkEnd w:id="193"/>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充分发挥市场在资源配置中的决定性作用，畅通要素流动渠道，丰富要素供给方式，促进各类要素资源高效配置。</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自然资源要素高效配置。构建城乡统一的建设用地市场。稳妥有序推进低效用地再开发试点。深化工业用地“标准地”改革。优化土地等自然资源利用管理机制，鼓励土地立体化复合利用，推行规划弹性管理，实施用地用海综合改革，深化集体经营性建设用地入市。推动海域立体分层设权，提升海域使用效率，处置围填海历史遗留问题，有效利用填而未批成陆区域土地。聚焦盐田、水、林、湖、海等自然资源，建立健全自然资源资产所有权委托代理机制。</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促进资本市场规范发展。深化天津滨海柜台交易市场与全国性证券交易所合作。推进区域性股权市场私募股权和创业投资基金份额转让试点落地。完善长期资本投早、投小、投长期、投硬科技的支持政策体系。拓展数字人民币应用场景。全面加强金融监管，保障稳健运行。</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人才劳动力合理畅通流动。支持人才适配性合理流动，制定柔性人才政策升级版，扩大境外职业资格认可目录，推动与境内外职称、职业资格互认，完善外籍人才认定和工作居留一站式服务。升级“滨城”户籍新政，推动放宽来滨就业人员落户限制。扩大居住证持有人享有权益和便利范围。完善灵活就业人员各种权益保障措施。</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健全技术要素市场。推进技术资本化改革，探索科技成果赋权改革新机制。探索建立国有企业研发准备金制度，完善容错免责机制。</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数据要素开发利用。加快培育数据要素市场，建立健全数据资源产权、交易流通、安全监管等基础制度和标准规范。开展公共数据资源登记，试点公共数据授权运营，推动公共数据和企业数据融合应用。完善数据跨境传输及审核机制，探索制定数据出境白名单。</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94" w:name="_Toc219297001"/>
      <w:r>
        <w:rPr>
          <w:rFonts w:hint="default" w:ascii="Times New Roman" w:hAnsi="Times New Roman" w:cs="Times New Roman"/>
          <w:b w:val="0"/>
          <w:bCs w:val="0"/>
          <w:color w:val="000000"/>
        </w:rPr>
        <w:t>第三节  创新完善高效管理体制机制</w:t>
      </w:r>
      <w:bookmarkEnd w:id="194"/>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深化开发区、街镇协同机制。</w:t>
      </w:r>
      <w:bookmarkStart w:id="195" w:name="_Hlk215177502"/>
      <w:r>
        <w:rPr>
          <w:rFonts w:hint="default" w:ascii="Times New Roman" w:hAnsi="Times New Roman" w:eastAsia="仿宋_GB2312" w:cs="Times New Roman"/>
          <w:b w:val="0"/>
          <w:bCs w:val="0"/>
          <w:snapToGrid w:val="0"/>
          <w:color w:val="000000"/>
          <w:kern w:val="32"/>
          <w:sz w:val="32"/>
          <w:szCs w:val="36"/>
        </w:rPr>
        <w:t>优化完善开发区、街镇结对帮带和协同招商机制，加强开发区与街镇之间的产业协作、资源共享。</w:t>
      </w:r>
      <w:bookmarkStart w:id="196" w:name="OLE_LINK3"/>
      <w:r>
        <w:rPr>
          <w:rFonts w:hint="default" w:ascii="Times New Roman" w:hAnsi="Times New Roman" w:eastAsia="仿宋_GB2312" w:cs="Times New Roman"/>
          <w:b w:val="0"/>
          <w:bCs w:val="0"/>
          <w:snapToGrid w:val="0"/>
          <w:color w:val="000000"/>
          <w:kern w:val="32"/>
          <w:sz w:val="32"/>
          <w:szCs w:val="36"/>
        </w:rPr>
        <w:t>深化街镇产业园区体制改革，探索“园区+公司”发展模式，完善园区市场化绩效评价体系。</w:t>
      </w:r>
      <w:bookmarkEnd w:id="196"/>
    </w:p>
    <w:bookmarkEnd w:id="195"/>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化财税体制改革。坚持党政机关过紧日子，持续压降行政运行成本。深化预算管理改革，健全“应保尽保、有进有退、讲求质效”的预算分配机制。强化财政可承受能力评估刚性约束，实施重大政府投资项目财政承受能力评估。</w:t>
      </w:r>
      <w:bookmarkStart w:id="197" w:name="_Hlk215177548"/>
      <w:r>
        <w:rPr>
          <w:rFonts w:hint="default" w:ascii="Times New Roman" w:hAnsi="Times New Roman" w:eastAsia="仿宋_GB2312" w:cs="Times New Roman"/>
          <w:b w:val="0"/>
          <w:bCs w:val="0"/>
          <w:snapToGrid w:val="0"/>
          <w:color w:val="000000"/>
          <w:kern w:val="32"/>
          <w:sz w:val="32"/>
          <w:szCs w:val="36"/>
        </w:rPr>
        <w:t>完善财政转移支付体系，优化区本级与开发区、街镇的财政管理体制。</w:t>
      </w:r>
      <w:bookmarkEnd w:id="197"/>
      <w:r>
        <w:rPr>
          <w:rFonts w:hint="default" w:ascii="Times New Roman" w:hAnsi="Times New Roman" w:eastAsia="仿宋_GB2312" w:cs="Times New Roman"/>
          <w:b w:val="0"/>
          <w:bCs w:val="0"/>
          <w:snapToGrid w:val="0"/>
          <w:color w:val="000000"/>
          <w:kern w:val="32"/>
          <w:sz w:val="32"/>
          <w:szCs w:val="36"/>
        </w:rPr>
        <w:t>健全政府债务管理制度，加大对授权经营、公共资源有偿使用、国有资本增值收益等收入的统筹力度。</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化政务服务改革。深入推进管理层级和职能配置扁平化改革，推动区级部门、开发区、国企管理层级优化和放权赋能。深化事业单位改革。深入推进政务运行扁平化改革，实行办文、办会、办事全周期管理。深入推进“三服务”体制机制扁平化改革，强化“一个平台统服务”综合改革，推动“12345热线”群众诉求高效响应，完善基层“吹哨报到”机制，提升服务企业、服务群众、服务基层能力水平。</w:t>
      </w:r>
    </w:p>
    <w:bookmarkEnd w:id="187"/>
    <w:bookmarkEnd w:id="188"/>
    <w:bookmarkEnd w:id="189"/>
    <w:bookmarkEnd w:id="190"/>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完善滨海新区与天津港集团政企协同机制。建立区港联席会议制度，统筹港口规划落地、区域产业联动、政策支持带动等重大事项决策。创新港城基础设施共建机制，探索重大港口和集疏港工程的规划建设、运营管理新模式。</w:t>
      </w:r>
    </w:p>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198" w:name="_Toc219297002"/>
      <w:r>
        <w:rPr>
          <w:rFonts w:hint="default" w:ascii="Times New Roman" w:hAnsi="Times New Roman" w:cs="Times New Roman"/>
          <w:b w:val="0"/>
          <w:bCs w:val="0"/>
        </w:rPr>
        <w:t>第八章  坚持开放兴区，构建全方位对外开放新格局</w:t>
      </w:r>
      <w:bookmarkEnd w:id="198"/>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立足海空两港核心战略资源，以自贸试验区建设为引领，积极扩大自主开放，全面塑造“五型”开放新优势，打造我国北方地区联通国内国际双循环的重要战略支点，实现以开放促改革促发展。</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199" w:name="_Toc219297003"/>
      <w:r>
        <w:rPr>
          <w:rFonts w:hint="default" w:ascii="Times New Roman" w:hAnsi="Times New Roman" w:cs="Times New Roman"/>
          <w:b w:val="0"/>
          <w:bCs w:val="0"/>
          <w:color w:val="000000"/>
        </w:rPr>
        <w:t>第一节  稳步扩大制度型开放</w:t>
      </w:r>
      <w:bookmarkEnd w:id="199"/>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实施自由贸易试验区提升战略，推进自贸试验区首创性、集成式改革探索，健全以贸易、投资、资金流动、交通运输、人员往来自由便利和数据安全有序流动为重点的政策体系，加强事前事中事后联动等全流程审管创新，打造制度创新高地。用好全面对接国际高标准经贸规则试点经验，加大知识产权保护、政府采购等“边境后”领域压力测试，形成更多制度创新成果，在更大范围复制推广。强化高标准数字贸易规则试点试验，优化数据跨境流动机制。加快建设服务业扩大开放综合试点，拓展自由贸易账户功能应用，放宽医疗、电信等服务业市场准入。探索开展外币国际保理业务。优化自贸试验区功能布局，推动自贸试验区扩区。强化京津冀自贸试验区联动，推动政策同向同步、共用共享。</w:t>
      </w:r>
      <w:bookmarkStart w:id="200" w:name="_Toc219297004"/>
    </w:p>
    <w:p>
      <w:pPr>
        <w:keepNext w:val="0"/>
        <w:keepLines w:val="0"/>
        <w:pageBreakBefore w:val="0"/>
        <w:widowControl w:val="0"/>
        <w:tabs>
          <w:tab w:val="right" w:leader="dot" w:pos="8554"/>
        </w:tabs>
        <w:kinsoku/>
        <w:wordWrap/>
        <w:overflowPunct w:val="0"/>
        <w:topLinePunct w:val="0"/>
        <w:autoSpaceDE/>
        <w:autoSpaceDN/>
        <w:bidi w:val="0"/>
        <w:adjustRightInd/>
        <w:snapToGrid/>
        <w:spacing w:line="560" w:lineRule="exact"/>
        <w:ind w:firstLine="0" w:firstLineChars="0"/>
        <w:jc w:val="center"/>
        <w:textAlignment w:val="baseline"/>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第二节  完善开放平台功能</w:t>
      </w:r>
      <w:bookmarkEnd w:id="200"/>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拓展综合保税区功能。创新发展“保税+”业态，加快培育保税研发、保税检测、保税改装、保税维修和再制造、保税展示等新业态新模式。试点开展“两头在外”医疗器械再制造等业务。争取飞机保税拆解业务，建设跨境航材交易市场。巩固扩大保税燃料加注业务。扩大综合保税区与自贸试验区统筹发展优势，探索综合保税区“保税”政策向区外拓展延伸。</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建强开发区开放平台。促进各开发区差异化、特色化、集群化发展，打造高水平对外开放示范窗口。天津经济技术开发区聚焦“产业开放”，打造先进制造研发基地对外开放中心区。天津港保税区聚焦“贸易升级”，打造一流开放型临港、临空经济区。天津滨海高新技术产业开发区聚焦“创新开放”，打造数字经济国际合作重要枢纽。东疆综合保税区聚焦“制度开放”，打造世界级租赁中心。中新天津生态城聚焦“中新开放合作”，打造中国东盟国际经贸合作桥头堡。</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打造特色功能开放平台。发挥创新类、产业类、行业类等基地平台单点突破和示范牵引作用，着力培育特色业态、提升产出质效，形成一批小而精、小而专的对外开放载体。建强信息化开放平台，发挥商品交易平台、权益交易平台资源汇聚作用，升级“互联网”平台，促进货物、服务等资源便捷流动、高效配置，提升商贸带动能力和服务实体经济能力。用好上海合作组织峰会成果，加快打造中国—上海合作组织数字经济合作先行区。</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专栏12  特色功能开放平台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基地类开放平台：创新类基地平台，培育特色小镇、产业园区，支持国家超算天津中心联动创新基地、国家干细胞工程产品产业化基地等载体建设，发展特色产业和对外贸易。产业类基地平台，集群发展跨境电商产业，开展进口跨境电商产品保税仓内直播等业务，推进内外贸产品同线同标同质。行业类基地平台，建设离岸贸易服务平台、创新创业平台和离岸研发基地，支持境外科研成果产业化，探索“两头在外”科技合作模式，布局加工定制、直播展销等高附加值环节。</w:t>
            </w:r>
          </w:p>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信息化开放平台：商品交易平台，发挥天津大宗商品贸易优势，引进国内外知名机构参与战略投资运营，推动商品类交易场所提质发展。权益交易平台，支持滨海OTC、天排所、北方大数据交易中心等提升交易撮合、企业服务、智库咨询能力，探索数据等安全、高效流通途径。互联网平台，聚焦智能制造、车联网、智慧医疗、智慧养老等领域，强化市场准入、劳务支持、安全监管等服务保障。</w:t>
            </w:r>
          </w:p>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数字经济合作先行区：集聚数据、算力等要素资源，打造数字经济生态圈，在跨境数据流动、人工智能应用、智慧城市建设、数字贸易等重点领域与上合组织国家开展多维度、多层次合作，打造数字经济国际合作的重要枢纽，推动上合组织国家数字基础设施“硬联通”、数据规则标准“软联通”、数字经济人才“心联通”。</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01" w:name="_Toc219297005"/>
      <w:r>
        <w:rPr>
          <w:rFonts w:hint="default" w:ascii="Times New Roman" w:hAnsi="Times New Roman" w:cs="Times New Roman"/>
          <w:b w:val="0"/>
          <w:bCs w:val="0"/>
          <w:color w:val="000000"/>
        </w:rPr>
        <w:t>第三节</w:t>
      </w:r>
      <w:bookmarkStart w:id="202" w:name="_Toc7664"/>
      <w:bookmarkStart w:id="203" w:name="_Toc6310"/>
      <w:bookmarkStart w:id="204" w:name="_Toc24878"/>
      <w:r>
        <w:rPr>
          <w:rFonts w:hint="default" w:ascii="Times New Roman" w:hAnsi="Times New Roman" w:cs="Times New Roman"/>
          <w:b w:val="0"/>
          <w:bCs w:val="0"/>
          <w:color w:val="000000"/>
        </w:rPr>
        <w:t xml:space="preserve">  加快建设北方国际航运</w:t>
      </w:r>
      <w:bookmarkEnd w:id="202"/>
      <w:bookmarkEnd w:id="203"/>
      <w:bookmarkEnd w:id="204"/>
      <w:r>
        <w:rPr>
          <w:rFonts w:hint="default" w:ascii="Times New Roman" w:hAnsi="Times New Roman" w:cs="Times New Roman"/>
          <w:b w:val="0"/>
          <w:bCs w:val="0"/>
          <w:color w:val="000000"/>
        </w:rPr>
        <w:t>枢纽</w:t>
      </w:r>
      <w:bookmarkEnd w:id="201"/>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持续打造世界一流的智慧绿色枢纽港口。深化关港合作和智慧口岸建设，促进口岸数据共享和信息互通，打造天津口岸“数智港”。深化与国际一流航运企业合作，拓展欧洲、拉美、中东等远洋干线，开发区域全面经济伙伴关系协定成员国航线，扩大对外开放通道辐射能级，建设以天津港为核心的世界级港口群。完善天津港内陆物流网络布局，加密南北联动的内贸干线，做强环渤海区域内支线运输。推动多式联运“一单制”“一箱制”发展、大宗散货“公转铁+散改集”。加强与山西、内蒙古等中西部省份战略合作，推动天津港服务功能向腹地延伸。建立更具市场弹性的航运支持体系，提升航线货量稳定性和舱位利用率，增强货源集聚能力。</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加快推进国家航空物流中心建设。建设区域枢纽机场、综合交通枢纽，打造全货机和客机腹舱相结合的航线网络。支持空空</w:t>
      </w:r>
      <w:r>
        <w:rPr>
          <w:rFonts w:hint="default" w:ascii="Times New Roman" w:hAnsi="Times New Roman" w:eastAsia="仿宋_GB2312" w:cs="Times New Roman"/>
          <w:b w:val="0"/>
          <w:bCs w:val="0"/>
          <w:snapToGrid w:val="0"/>
          <w:color w:val="000000"/>
          <w:spacing w:val="2"/>
          <w:kern w:val="32"/>
          <w:sz w:val="32"/>
          <w:szCs w:val="36"/>
        </w:rPr>
        <w:t>中转、空地联运，大力发展临空经济、口岸贸易，扩展航空物流</w:t>
      </w:r>
      <w:r>
        <w:rPr>
          <w:rFonts w:hint="default" w:ascii="Times New Roman" w:hAnsi="Times New Roman" w:eastAsia="仿宋_GB2312" w:cs="Times New Roman"/>
          <w:b w:val="0"/>
          <w:bCs w:val="0"/>
          <w:snapToGrid w:val="0"/>
          <w:color w:val="000000"/>
          <w:kern w:val="32"/>
          <w:sz w:val="32"/>
          <w:szCs w:val="36"/>
        </w:rPr>
        <w:t>增值服务，推进航空口岸大通关基地建设。深化海空两港联动创新，形成海陆空一体、快慢结合、客货兼具的综合性港口物流体系。</w:t>
      </w:r>
      <w:bookmarkStart w:id="205" w:name="_Toc219297006"/>
    </w:p>
    <w:p>
      <w:pPr>
        <w:keepNext w:val="0"/>
        <w:keepLines w:val="0"/>
        <w:pageBreakBefore w:val="0"/>
        <w:widowControl w:val="0"/>
        <w:tabs>
          <w:tab w:val="right" w:leader="dot" w:pos="8554"/>
        </w:tabs>
        <w:kinsoku/>
        <w:wordWrap/>
        <w:overflowPunct w:val="0"/>
        <w:topLinePunct w:val="0"/>
        <w:autoSpaceDE/>
        <w:autoSpaceDN/>
        <w:bidi w:val="0"/>
        <w:adjustRightInd/>
        <w:snapToGrid/>
        <w:spacing w:line="560" w:lineRule="exact"/>
        <w:ind w:firstLine="0" w:firstLineChars="0"/>
        <w:jc w:val="center"/>
        <w:textAlignment w:val="baseline"/>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第四节  提升外贸外资外经发展能级</w:t>
      </w:r>
      <w:bookmarkEnd w:id="205"/>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促进外贸创新升级。高标准建设国家进口贸易促进创新示范区、国家外贸转型升级基地。积极引育外贸新主体，培育内外贸一体化经营主体。优化升级货物贸易，巩固提升大宗商品、农产品贸易，扩大智能终端、生物医药、海洋装备等新产品贸易，打造新能源汽车出口基地。拓展中间品贸易、绿色贸易，加速发展贸易新业态新模式。加快建设离岸贸易综合服务平台，复制推广离岸贸易“天津模式”。全面落实跨境服务贸易负面清单，加快发展服务贸易。培育壮大数字产品、数字服务、数字技术等数字贸易，加快建设国家数字服务出口基地。高水平建设国家文化出口基地，扩大研发设计、游戏动漫、数字影视等领域贸易规模。</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提升利用外资质效。依法保障外资企业国民待遇，拓宽利用外资领域。加快引育外资主体，加大区域全面经济伙伴关系协定成员国、欧盟、中东、中亚等重点区域的招商引资力度，鼓励外商投资企业境内再投资。延伸外资利用链条，支持外资企业设立生产基地、研发机构、跨国公司地区总部及总部机构、结算中心、销售中心，推动增值电信、保税维修、生物技术等领域外资项目落地。建立健全对标国际的跨境投融资服务体系，深化合格境外有限合伙人试点，探索融资租赁资产跨境转让，试点以人民币结算。优化外商投资环境，搭建外企与央企、国企、民企合作平台，推动外资更好融入本地市场。健全国际商事纠纷“一站式”多元解纷机制，加强专业型、专家型涉外法治人才培养。</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06" w:name="OLE_LINK13"/>
      <w:r>
        <w:rPr>
          <w:rFonts w:hint="default" w:ascii="Times New Roman" w:hAnsi="Times New Roman" w:eastAsia="仿宋_GB2312" w:cs="Times New Roman"/>
          <w:b w:val="0"/>
          <w:bCs w:val="0"/>
          <w:snapToGrid w:val="0"/>
          <w:color w:val="000000"/>
          <w:kern w:val="32"/>
          <w:sz w:val="32"/>
          <w:szCs w:val="36"/>
        </w:rPr>
        <w:t>拓展外经合作新空间。深度融入高质量共建“一带一路”，构建贯通“三北”、联通中蒙俄经济走廊的腹地运输网络，积极开拓东盟、中东、中亚等多元化市场，推动中欧班列向中亚延伸。加快境外经贸合作区梯队建设，推动中埃·泰达苏伊士等境外经贸合作区和海外园区提档升级。建设“京津冀+‘一带一路’”海外工程承包基地，主动参与沿线国家互联互通基础设施、港口工程、海陆风电等对外承包工程建设，支持船舶海工、电力设备等高端装备“走出去”。支持企业对外开展投资并购和产业链供应链合作，鼓励企业利用海外合作园区和保税仓带动自主品牌出口，支持境外仓储物流中心建设，完善“买全球、卖全球”功能。完善企业出海服务保障机制，健全境外安全风险防范管理体系，积极参与规则标准输出，打造天津—新加坡海外产业服务平台。促进文化、旅游等领域交流合作，推动文化产品出海，加快发展对外文化贸易，支持建设一批“小而美”项目。</w:t>
      </w:r>
    </w:p>
    <w:bookmarkEnd w:id="206"/>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207" w:name="_Toc219297007"/>
      <w:r>
        <w:rPr>
          <w:rFonts w:hint="default" w:ascii="Times New Roman" w:hAnsi="Times New Roman" w:cs="Times New Roman"/>
          <w:b w:val="0"/>
          <w:bCs w:val="0"/>
        </w:rPr>
        <w:t>第九章  坚持港产城融合，打造现代化人民城市“滨城”样板</w:t>
      </w:r>
      <w:bookmarkEnd w:id="207"/>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深入实施港产城融合发展行动，</w:t>
      </w:r>
      <w:bookmarkStart w:id="208" w:name="OLE_LINK16"/>
      <w:r>
        <w:rPr>
          <w:rFonts w:hint="default" w:ascii="Times New Roman" w:hAnsi="Times New Roman" w:eastAsia="仿宋_GB2312" w:cs="Times New Roman"/>
          <w:b w:val="0"/>
          <w:bCs w:val="0"/>
          <w:snapToGrid w:val="0"/>
          <w:color w:val="000000"/>
          <w:kern w:val="32"/>
          <w:sz w:val="32"/>
          <w:szCs w:val="36"/>
        </w:rPr>
        <w:t>统筹新型城镇化建设与乡村全面振兴，坚持走内涵式发展路子，推进空间优化、布局完善、功能提升，深化大城细管、大城智管、大城众管，</w:t>
      </w:r>
      <w:bookmarkEnd w:id="208"/>
      <w:bookmarkStart w:id="209" w:name="OLE_LINK17"/>
      <w:r>
        <w:rPr>
          <w:rFonts w:hint="default" w:ascii="Times New Roman" w:hAnsi="Times New Roman" w:eastAsia="仿宋_GB2312" w:cs="Times New Roman"/>
          <w:b w:val="0"/>
          <w:bCs w:val="0"/>
          <w:snapToGrid w:val="0"/>
          <w:color w:val="000000"/>
          <w:kern w:val="32"/>
          <w:sz w:val="32"/>
          <w:szCs w:val="36"/>
        </w:rPr>
        <w:t>加快建设创新、宜居、美丽、韧性、文明、智慧的现代化人民城市</w:t>
      </w:r>
      <w:bookmarkEnd w:id="209"/>
      <w:r>
        <w:rPr>
          <w:rFonts w:hint="default" w:ascii="Times New Roman" w:hAnsi="Times New Roman" w:eastAsia="仿宋_GB2312" w:cs="Times New Roman"/>
          <w:b w:val="0"/>
          <w:bCs w:val="0"/>
          <w:snapToGrid w:val="0"/>
          <w:color w:val="000000"/>
          <w:kern w:val="32"/>
          <w:sz w:val="32"/>
          <w:szCs w:val="36"/>
        </w:rPr>
        <w:t>。</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10" w:name="_Toc219297008"/>
      <w:r>
        <w:rPr>
          <w:rFonts w:hint="default" w:ascii="Times New Roman" w:hAnsi="Times New Roman" w:cs="Times New Roman"/>
          <w:b w:val="0"/>
          <w:bCs w:val="0"/>
          <w:color w:val="000000"/>
        </w:rPr>
        <w:t>第一节  优化现代化“滨城”发展格局</w:t>
      </w:r>
      <w:bookmarkEnd w:id="210"/>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积极融入区域发展布局。加强与京津冀国土空间规划、现代化首都都市圈空间协同规划衔接，融入京津冀区域空间保护和发展格局，充分凸显滨海新区作为京津发展主轴与环渤海发展带交汇唯一节点的战略优势，强化在首都都市圈圈层结构中的功能，共建京津冀世界级城市群。深化与市级国土空间规划有机衔接，加强“滨城”核心区与“津城”核心区互动联系，支持“飞地”与所在行政区联动发展，服务构建“津滨”双城发展格局。</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优化城市总体空间布局。坚持国土空间规划战略引领和指导约束，严守耕地和永久基本农田、生态保护红线和城镇开发边界等控制线，分区分类实施差别化、精细化用途管制。坚持人口、产业、城镇、交通一体规划，优化生产、生活、生态空间。统筹港产城规划协同管控，完善“北集南散”港口布局和“北航运、中制造、南石化”临港产业布局，形成“前港—中产—后城”的</w:t>
      </w:r>
      <w:r>
        <w:rPr>
          <w:rFonts w:hint="default" w:ascii="Times New Roman" w:hAnsi="Times New Roman" w:eastAsia="仿宋_GB2312" w:cs="Times New Roman"/>
          <w:b w:val="0"/>
          <w:bCs w:val="0"/>
          <w:snapToGrid w:val="0"/>
          <w:color w:val="000000"/>
          <w:spacing w:val="2"/>
          <w:kern w:val="32"/>
          <w:sz w:val="32"/>
          <w:szCs w:val="36"/>
        </w:rPr>
        <w:t>港产城总体格局。构建以“滨城”核心区为引领、南北两翼副城带动、</w:t>
      </w:r>
      <w:r>
        <w:rPr>
          <w:rFonts w:hint="default" w:ascii="Times New Roman" w:hAnsi="Times New Roman" w:eastAsia="仿宋_GB2312" w:cs="Times New Roman"/>
          <w:b w:val="0"/>
          <w:bCs w:val="0"/>
          <w:snapToGrid w:val="0"/>
          <w:color w:val="000000"/>
          <w:kern w:val="32"/>
          <w:sz w:val="32"/>
          <w:szCs w:val="36"/>
        </w:rPr>
        <w:t>多组团支撑、街镇特色化发展的“一核两副多组团”城镇空间格局。</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专栏13  城镇空间格局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一核：“滨城”核心区提升城区功能与活力，集聚创新资源，重点建设“滨城”中央活力区，以及海河湾文化城中心、科学城中心、滨海中关村科技园创新中心、中新天津生态城中心、海洋文化城中心等五处特色中心。</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两副：南北两翼副城片区提升服务能力，建设功能完善的综合性城区。北翼重点发展海滨休闲旅游、海洋产业、循环经济、沿海都市型观光农业，建设海洋生态之城。南翼加快新能源、新材料等绿色产业集聚发展，提升贸易、制造、石化等产业链条，建设绿色石化新城。</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六大组团：海港核心组团建设世界一流大港，临港经济组团打造海洋产业高地，南港石化组团建设世界一流绿色化工新材料基地，空港组团打造智慧空港新城，科技组团打造科技创</w:t>
            </w:r>
            <w:r>
              <w:rPr>
                <w:rFonts w:hint="default" w:ascii="Times New Roman" w:hAnsi="Times New Roman" w:eastAsia="仿宋_GB2312" w:cs="Times New Roman"/>
                <w:b w:val="0"/>
                <w:bCs w:val="0"/>
                <w:snapToGrid w:val="0"/>
                <w:color w:val="000000"/>
                <w:spacing w:val="-2"/>
                <w:kern w:val="32"/>
                <w:sz w:val="32"/>
                <w:szCs w:val="36"/>
              </w:rPr>
              <w:t>新和产业创新深度融合示范区，华苑科技组团打造智慧科技</w:t>
            </w:r>
            <w:r>
              <w:rPr>
                <w:rFonts w:hint="default" w:ascii="Times New Roman" w:hAnsi="Times New Roman" w:eastAsia="仿宋_GB2312" w:cs="Times New Roman"/>
                <w:b w:val="0"/>
                <w:bCs w:val="0"/>
                <w:snapToGrid w:val="0"/>
                <w:color w:val="000000"/>
                <w:kern w:val="32"/>
                <w:sz w:val="32"/>
                <w:szCs w:val="36"/>
              </w:rPr>
              <w:t>城。</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11" w:name="_Toc219297009"/>
      <w:r>
        <w:rPr>
          <w:rFonts w:hint="default" w:ascii="Times New Roman" w:hAnsi="Times New Roman" w:cs="Times New Roman"/>
          <w:b w:val="0"/>
          <w:bCs w:val="0"/>
          <w:color w:val="000000"/>
        </w:rPr>
        <w:t>第二节  提升“滨城”建设能级</w:t>
      </w:r>
      <w:bookmarkEnd w:id="211"/>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高质量开展城市更新。健全城市更新政策体系，建立城市体检和城市更新一体化推进机制，打造政府引导、市场运作、公众参与的城市更新可持续模式。统筹推进重点片区综合更新、“港产城”“站产城”“园产城”融合更新、小型公共空间微更新，实施可持续发展的片区综合类和自主更新多种方式兼顾的城市更新项目。扎实开展城镇老旧小区、城中村改造提升，稳步推进危旧房改造。支持建设创新型产业社区、商务社区，建设完整社区。建立健全可持续的城市建设运营投融资体系。</w:t>
      </w:r>
    </w:p>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有效盘活存量资源资产。健全“1+4+N”盘活政策支持体系，创新资产盘活方式，加快盘活闲置低效土地、工业厂房、商务楼宇等存量资源，探索工商业用地使用权续期路径，引导低效园区共享闲置产能。有效盘活工业产能、股权债权、资质牌照、老字号等无形资产。推进行政事业单位存量国有资产盘活共享。完善市场化、法治化的企业破产制度，推动司法判决与破产制度有机衔接，优化破产财产查解封处置机制，依法有效盘活被冻结资产。推动“117项目”盘活利用，提升城市公共服务品质，打造城市更新样板区。加快“于响”片区、天津港港区等重点区域盘活。</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12" w:name="_Toc219297010"/>
      <w:r>
        <w:rPr>
          <w:rFonts w:hint="default" w:ascii="Times New Roman" w:hAnsi="Times New Roman" w:cs="Times New Roman"/>
          <w:b w:val="0"/>
          <w:bCs w:val="0"/>
          <w:color w:val="000000"/>
        </w:rPr>
        <w:t>第三节  增强“滨城”治理效能</w:t>
      </w:r>
      <w:bookmarkEnd w:id="212"/>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推进“大城细管”。深化城市管理标准化体系建设，加强市政设施运行、交通精细化管理，推动城市绿地、公园体系、绿道系统均衡布局。优化城市公园运营管理模式，提升空间设施利用水平。</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进“大城智管”。完善“四级网格”体系，打造“多格合一、一网统揽”管理模式。深化“智慧滨海”建设，升级新型智慧城市体系，打造国家智能社会治理实验基地。完善数字化城市管理服务平台，加快实现城市管理“一屏统观”“一网统管”。强</w:t>
      </w:r>
      <w:r>
        <w:rPr>
          <w:rFonts w:hint="default" w:ascii="Times New Roman" w:hAnsi="Times New Roman" w:eastAsia="仿宋_GB2312" w:cs="Times New Roman"/>
          <w:b w:val="0"/>
          <w:bCs w:val="0"/>
          <w:snapToGrid w:val="0"/>
          <w:color w:val="000000"/>
          <w:spacing w:val="2"/>
          <w:kern w:val="32"/>
          <w:sz w:val="32"/>
          <w:szCs w:val="36"/>
        </w:rPr>
        <w:t>化数字技术在突发公共事件应对中的运用，拓展智慧公共服务场</w:t>
      </w:r>
      <w:r>
        <w:rPr>
          <w:rFonts w:hint="default" w:ascii="Times New Roman" w:hAnsi="Times New Roman" w:eastAsia="仿宋_GB2312" w:cs="Times New Roman"/>
          <w:b w:val="0"/>
          <w:bCs w:val="0"/>
          <w:snapToGrid w:val="0"/>
          <w:color w:val="000000"/>
          <w:kern w:val="32"/>
          <w:sz w:val="32"/>
          <w:szCs w:val="36"/>
        </w:rPr>
        <w:t>景。</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进“大城众管”。完善居民、企业、群团组织、社会组织参与城市治理制度机制，探索社区党组织领导下的居委会、业委会、物业服务企业协调运行新模式。深化志愿服务品牌建设，拓展新就业群体参与渠道，打造人人有责、人人尽责、人人享有的社会治理共同体。</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13" w:name="_Toc219297011"/>
      <w:r>
        <w:rPr>
          <w:rFonts w:hint="default" w:ascii="Times New Roman" w:hAnsi="Times New Roman" w:cs="Times New Roman"/>
          <w:b w:val="0"/>
          <w:bCs w:val="0"/>
          <w:color w:val="000000"/>
        </w:rPr>
        <w:t>第四节  统筹新型城镇化和乡村全面振兴</w:t>
      </w:r>
      <w:bookmarkEnd w:id="213"/>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推进以人为本的新型城镇化。科学有序推进农业转移人口市民化，推行由常住地登记户口提供基本公共服务制度，扩大农业转移人口社会保险覆盖面，鼓励农业转移人口按规定参加养老保险和医疗保险，重点保障转移人口的住房保障、随迁子女义务教育等权利，完善全民覆盖、城乡一体、优质共享的基本公共服务体系。</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打造现代都市农业升级版。严守耕地红线和粮食安全底线，坚决防止耕地“非农化”和永久基本农田“非粮化”。持续开展高标准农田建设和粮食作物单产提升行动，加强盐碱地综合利用。深入实施种业振兴行动，提升粮食综合生产能力。优化优质果蔬、畜牧业、渔业等种养殖结构，持续增强“菜篮子”产品供给能力。</w:t>
      </w:r>
      <w:bookmarkStart w:id="214" w:name="_Hlk215177609"/>
      <w:r>
        <w:rPr>
          <w:rFonts w:hint="default" w:ascii="Times New Roman" w:hAnsi="Times New Roman" w:eastAsia="仿宋_GB2312" w:cs="Times New Roman"/>
          <w:b w:val="0"/>
          <w:bCs w:val="0"/>
          <w:snapToGrid w:val="0"/>
          <w:color w:val="000000"/>
          <w:kern w:val="32"/>
          <w:sz w:val="32"/>
          <w:szCs w:val="36"/>
        </w:rPr>
        <w:t>推进农业“接二连三”融合发展，建强国家级现代农业产业园、国家农村产业融合发展示范园。科学布局生产、加工、销售、消费等环节，大力发展优势农特产品精深加工，做强“粮头食尾”“畜头肉尾”“农头工尾”。推进绿色食品、有机农产品认证，做强茶淀葡萄、杨家泊对虾、大港冬枣等优势农特产品，打造“滨农优品”品牌。推动农业与旅游、健康、康养等产业融合发展，培育休闲农业、乡村旅游、农村电商等农文旅融合新业态。加强现代种业、智慧农业、生物农业、绿色农业等重点领域科技创新和关键核心技术攻关。</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持续提升乡村建设和治理现代化水平。学习运用“千万工程”经验，分类有序推进乡村示范村建设。持续建设“四好农村路”，加快建设农村数字基础设施，推动通信网络、物流网络、充电设施向农村覆盖。持续改善农村人居环境，深化生活垃圾处理、污水治理。加强乡村风貌保护和特色文化传承。强化基层党组织领导作用，建立完善以党的基层组织为核心、村民自治和村务监督组织为基础、集体经济组织和农民合作组织为纽带、各类经济社会服务组织为补充的农村组织体系。织密乡村网格治理“一张网”，不断增强乡村社会治理能力。持续推进移风易俗，引领乡村文明善治新风尚。</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提高强农惠农富农政策效能。稳定土地承包关系，做好第二轮土地承包到期后再延长三十年试点工作。适时开展全域土地综合整治。健全农村产权流转交易市场，盘活利用农村资源资产，增加农民财产性收入。加强面向“三农”的融资贷款、农业保险等金融服务。完善现代农业经营体系，健全联农带农利益联结机制，壮大新型经营主体规模。鼓励农户发展家庭农场，联合组建农民合作社。健全农业社会化服务体系，建设一批现代化综合农事服务中心。做好东西部协作和支援合作，持续巩固拓展脱贫攻坚成果。</w:t>
      </w:r>
    </w:p>
    <w:bookmarkEnd w:id="214"/>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15" w:name="_Toc219297012"/>
      <w:r>
        <w:rPr>
          <w:rFonts w:hint="default" w:ascii="Times New Roman" w:hAnsi="Times New Roman" w:cs="Times New Roman"/>
          <w:b w:val="0"/>
          <w:bCs w:val="0"/>
          <w:color w:val="000000"/>
        </w:rPr>
        <w:t>第五节  强化现代化基础设施建设</w:t>
      </w:r>
      <w:bookmarkEnd w:id="215"/>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快城市基础设施提质升级。完善高速路网和普通公路布局，推进跨区域通道建设，加快建设滨唐高速（天津段）、秦滨高速南段改扩建、兴港高速等工程，实施“断头路”打通工程。加快轨道交通B1、Z2、Z4线建设。优化公交线网架构，构建“快干普支微”科学布局的公交网络，做好轨道交通与公交融合。建设连贯一体的城市慢行系统。完善公共和居家停车位、充电桩等便民设施。加快建设防潮海堤提标、行洪排沥河道升级改造、排水防涝设施等工程。系统化全域推进海绵城市建设。推进老旧管线管网改造提升。统筹应急避难场所、人防设施、消防救援系统建设，加强“平急两用”公共基础设施建设。</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融合区域基础设施保障。促进港产城融合发展，加快港口航道、码头、物流堆场、集疏运道路等项目建设，推动港口作业智慧化向航运服务智慧化拓展。构建高效便捷的集疏运体系和内部交通网络。推动站产城融合发展，加快轨道站点综合开发，加强产业和城镇服务配套，建设一站式社区综合体，完善生产性服务功能，供给匹配各层级人才需求的多样化居住产品。加快园产城融合发展，探索产业园区市场化运营模式，支持产业园区一体建设生产生活设施。优化升级存量产业园区服务功能，强化基础设施和生活功能配套。</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16" w:name="OLE_LINK15"/>
      <w:r>
        <w:rPr>
          <w:rFonts w:hint="default" w:ascii="Times New Roman" w:hAnsi="Times New Roman" w:eastAsia="仿宋_GB2312" w:cs="Times New Roman"/>
          <w:b w:val="0"/>
          <w:bCs w:val="0"/>
          <w:snapToGrid w:val="0"/>
          <w:color w:val="000000"/>
          <w:kern w:val="32"/>
          <w:sz w:val="32"/>
          <w:szCs w:val="36"/>
        </w:rPr>
        <w:t>适度超前建设新型基础设施。深入推进全国新型城市基础设施建设试点，推进传统基础设施数智化改造。强化第五代移动通信网络（5G）、千兆光网覆盖，前瞻布局6G网络。推进工业互联网、数据中心、算力设施等建设应用，完善通算超算智算一体化算力体系。强化互联网协议第6版（IPv6）安全创新应用，做优国家IPv6技术创新和融合应用综合试点城市。夯实城市信息模型空间数据底座，探索建设道路、桥梁、建筑、公共设施融合感知体系。实施供水、排水、供电、燃气、热力等市政基础设施数字化改造和智能化管理，构建“多源互补、区域联动”的水资源调度保障体系和能源安全输配系统。布局建设低空基础设施和低空航线网络。</w:t>
      </w:r>
    </w:p>
    <w:bookmarkEnd w:id="216"/>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217" w:name="_Toc14693"/>
      <w:bookmarkStart w:id="218" w:name="_Toc16991"/>
      <w:bookmarkStart w:id="219" w:name="_Toc16275"/>
      <w:bookmarkStart w:id="220" w:name="_Toc11049"/>
      <w:bookmarkStart w:id="221" w:name="_Toc219297013"/>
      <w:r>
        <w:rPr>
          <w:rFonts w:hint="default" w:ascii="Times New Roman" w:hAnsi="Times New Roman" w:cs="Times New Roman"/>
          <w:b w:val="0"/>
          <w:bCs w:val="0"/>
        </w:rPr>
        <w:t>第十章</w:t>
      </w:r>
      <w:bookmarkEnd w:id="217"/>
      <w:bookmarkEnd w:id="218"/>
      <w:bookmarkEnd w:id="219"/>
      <w:bookmarkEnd w:id="220"/>
      <w:r>
        <w:rPr>
          <w:rFonts w:hint="default" w:ascii="Times New Roman" w:hAnsi="Times New Roman" w:cs="Times New Roman"/>
          <w:b w:val="0"/>
          <w:bCs w:val="0"/>
        </w:rPr>
        <w:t xml:space="preserve">  坚持“四个以文”，推动文化传承发展</w:t>
      </w:r>
      <w:bookmarkEnd w:id="221"/>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坚持马克思主义在意识形态领域的指导地位，坚定文化自信，坚持以文化人、以文惠民、以文润城、以文兴业，大力弘扬“爱国、创新、工业、海洋”滨海特色文化，滋养城市文明，彰显城市品格，全面提升城市软实力。</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22" w:name="_Toc23222"/>
      <w:bookmarkStart w:id="223" w:name="_Toc219297014"/>
      <w:bookmarkStart w:id="224" w:name="_Toc2513"/>
      <w:r>
        <w:rPr>
          <w:rFonts w:hint="default" w:ascii="Times New Roman" w:hAnsi="Times New Roman" w:cs="Times New Roman"/>
          <w:b w:val="0"/>
          <w:bCs w:val="0"/>
          <w:color w:val="000000"/>
        </w:rPr>
        <w:t>第一节</w:t>
      </w:r>
      <w:bookmarkStart w:id="225" w:name="_Toc9722"/>
      <w:bookmarkStart w:id="226" w:name="_Toc3010"/>
      <w:r>
        <w:rPr>
          <w:rFonts w:hint="default" w:ascii="Times New Roman" w:hAnsi="Times New Roman" w:cs="Times New Roman"/>
          <w:b w:val="0"/>
          <w:bCs w:val="0"/>
          <w:color w:val="000000"/>
        </w:rPr>
        <w:t xml:space="preserve">  弘扬和践行社会主义核心价值观</w:t>
      </w:r>
      <w:bookmarkEnd w:id="222"/>
      <w:bookmarkEnd w:id="223"/>
      <w:bookmarkEnd w:id="224"/>
      <w:bookmarkEnd w:id="225"/>
      <w:bookmarkEnd w:id="226"/>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党的创新理论学习和宣传教育，坚持不懈用习近平新时代中国特色社会主义思想凝心铸魂。发挥滨海新区中华思想研究院等平台作用，加强社会科学理论研究。以社会主义核心价值观为引领，涵养昂扬奋发的精神气质。弘扬诚信文化、廉洁文化。推动理想信念教育常态化制度化，不断坚定中国特色社会主义共同理想。深化爱国主义教育，弘扬中华民族传统美德。加强和改进未成年人思想道德建设，强化家庭家教家风建设，推进校园文化建设，健全学校家庭社会协同育人机制。深化群众性文明创建活动，加强新时代文明实践中心建设，实施“十所百站”示范工程，打造一批新时代文明实践示范阵地，提升人民文明素养和城市文明程度。实施文明创建工程，开展“滨城有礼·文明有你”文明素质提升行动，完善志愿服务制度和工作体系，巩固深化全国文明城区创建成果。加强网络内容建设和管理，强化互联网思想引领、道德培育、文化传承等重要阵地建设。提升信息化条件下文化领域治理能力。加强未成年人网络保护。</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27" w:name="_Toc31758"/>
      <w:bookmarkStart w:id="228" w:name="_Toc19099"/>
      <w:bookmarkStart w:id="229" w:name="_Toc219297015"/>
      <w:bookmarkStart w:id="230" w:name="_Toc8237"/>
      <w:bookmarkStart w:id="231" w:name="_Toc20613"/>
      <w:r>
        <w:rPr>
          <w:rFonts w:hint="default" w:ascii="Times New Roman" w:hAnsi="Times New Roman" w:cs="Times New Roman"/>
          <w:b w:val="0"/>
          <w:bCs w:val="0"/>
          <w:color w:val="000000"/>
        </w:rPr>
        <w:t>第二节  优化文化服务和文化产品供给</w:t>
      </w:r>
      <w:bookmarkEnd w:id="227"/>
      <w:bookmarkEnd w:id="228"/>
      <w:bookmarkEnd w:id="229"/>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32" w:name="_Toc8596"/>
      <w:bookmarkStart w:id="233" w:name="_Toc29194"/>
      <w:r>
        <w:rPr>
          <w:rFonts w:hint="default" w:ascii="Times New Roman" w:hAnsi="Times New Roman" w:eastAsia="仿宋_GB2312" w:cs="Times New Roman"/>
          <w:b w:val="0"/>
          <w:bCs w:val="0"/>
          <w:snapToGrid w:val="0"/>
          <w:color w:val="000000"/>
          <w:kern w:val="32"/>
          <w:sz w:val="32"/>
          <w:szCs w:val="36"/>
        </w:rPr>
        <w:t>健全公共文化服务体系。打造一批彰显滨海文化元素的公共文化服务新空间、新场景，创新社会力量参与公共文化服务模式，鼓励街区、社区、商区引入多种文化业态，打造更多“小而美”的文化微地标。深入实施优质文化资源直达基层工程，加强“全民阅读·书香滨海”建设，推动公共图书馆、文化馆等公共文化设施面向基层延伸服务。加强公共文化服务人才队伍建设，培养专业文艺文化人才、基层文艺骨干人才。推动档案方志事业发展。</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丰富文化产品供给。传承滨海特色人文精神，积极开展“滨海文化”主题文艺创作，推出一批新时代文艺精品和文创产品，办好滨海文化品牌活动。实施优秀文化艺术普及计划，发展互联网条件下新大众文艺。提高主流舆论引导能力，推动区级主流媒体系统性变革，推进新闻宣传和网络舆论一体化管理，构建适应全媒体生产传播的工作机制和评价体系。</w:t>
      </w:r>
    </w:p>
    <w:bookmarkEnd w:id="232"/>
    <w:bookmarkEnd w:id="233"/>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繁荣发展体育事业。加强全民健身设施建设，提升大型体育场馆服务水平，推动学校、企事业单位体育设施向社会开放，鼓励体育设施与其他公共服务设施共建共享。引育一批国内外体育企业总部、行业协会、国际组织，引导社会资本参与体育产业发展。深入实施体育消费提质扩容行动，持续办好龙舟争霸赛等群众性体育赛事活动。</w:t>
      </w:r>
      <w:bookmarkStart w:id="398" w:name="_GoBack"/>
      <w:bookmarkEnd w:id="398"/>
    </w:p>
    <w:p>
      <w:pPr>
        <w:pStyle w:val="4"/>
        <w:keepLines w:val="0"/>
        <w:pageBreakBefore/>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34" w:name="_Toc9787"/>
      <w:bookmarkStart w:id="235" w:name="_Toc219297016"/>
      <w:bookmarkStart w:id="236" w:name="_Toc17897"/>
      <w:r>
        <w:rPr>
          <w:rFonts w:hint="default" w:ascii="Times New Roman" w:hAnsi="Times New Roman" w:cs="Times New Roman"/>
          <w:b w:val="0"/>
          <w:bCs w:val="0"/>
          <w:color w:val="000000"/>
        </w:rPr>
        <w:t>第三节  加强历史文化资源发掘保护利用</w:t>
      </w:r>
      <w:bookmarkEnd w:id="230"/>
      <w:bookmarkEnd w:id="231"/>
      <w:bookmarkEnd w:id="234"/>
      <w:bookmarkEnd w:id="235"/>
      <w:bookmarkEnd w:id="236"/>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构建保护和利用协同发展的文化遗产管理体系。用好第四次全国文物普查成果，完善滨海新区文物资源数据库。建立历史风貌建筑、工业遗存名录，加强塘沽火车站旧址、黄海化学工业研究社旧址等不可移动文物、历史风貌建筑、工业遗存等修缮和活化利用。持续做好博物馆馆藏可移动文物数字化保护和预防性保护。深入挖掘特色非遗项目，丰富非遗项目名录，做优汉沽飞镲节等品牌活动，打造更多非遗传承保护平台。挖掘培育老字号品牌，增强影响力、传播力。</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37" w:name="_Toc12884"/>
      <w:bookmarkStart w:id="238" w:name="_Toc1544"/>
      <w:bookmarkStart w:id="239" w:name="_Toc18519"/>
      <w:bookmarkStart w:id="240" w:name="_Toc24733"/>
      <w:bookmarkStart w:id="241" w:name="_Toc219297017"/>
      <w:r>
        <w:rPr>
          <w:rFonts w:hint="default" w:ascii="Times New Roman" w:hAnsi="Times New Roman" w:cs="Times New Roman"/>
          <w:b w:val="0"/>
          <w:bCs w:val="0"/>
          <w:color w:val="000000"/>
        </w:rPr>
        <w:t>第四节  大力发展</w:t>
      </w:r>
      <w:bookmarkEnd w:id="237"/>
      <w:bookmarkEnd w:id="238"/>
      <w:bookmarkEnd w:id="239"/>
      <w:bookmarkEnd w:id="240"/>
      <w:r>
        <w:rPr>
          <w:rFonts w:hint="default" w:ascii="Times New Roman" w:hAnsi="Times New Roman" w:cs="Times New Roman"/>
          <w:b w:val="0"/>
          <w:bCs w:val="0"/>
          <w:color w:val="000000"/>
        </w:rPr>
        <w:t>文化和旅游产业</w:t>
      </w:r>
      <w:bookmarkEnd w:id="241"/>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42" w:name="_Toc22572"/>
      <w:bookmarkStart w:id="243" w:name="_Toc3802"/>
      <w:bookmarkStart w:id="244" w:name="_Toc32545"/>
      <w:r>
        <w:rPr>
          <w:rFonts w:hint="default" w:ascii="Times New Roman" w:hAnsi="Times New Roman" w:eastAsia="仿宋_GB2312" w:cs="Times New Roman"/>
          <w:b w:val="0"/>
          <w:bCs w:val="0"/>
          <w:snapToGrid w:val="0"/>
          <w:color w:val="000000"/>
          <w:kern w:val="32"/>
          <w:sz w:val="32"/>
          <w:szCs w:val="36"/>
        </w:rPr>
        <w:t>推动文化产业高质量发展</w:t>
      </w:r>
      <w:bookmarkEnd w:id="242"/>
      <w:bookmarkEnd w:id="243"/>
      <w:bookmarkEnd w:id="244"/>
      <w:r>
        <w:rPr>
          <w:rFonts w:hint="default" w:ascii="Times New Roman" w:hAnsi="Times New Roman" w:eastAsia="仿宋_GB2312" w:cs="Times New Roman"/>
          <w:b w:val="0"/>
          <w:bCs w:val="0"/>
          <w:snapToGrid w:val="0"/>
          <w:color w:val="000000"/>
          <w:kern w:val="32"/>
          <w:sz w:val="32"/>
          <w:szCs w:val="36"/>
        </w:rPr>
        <w:t>。完善文化管理体制和生产经营机制。建强国家动漫产业综合示范园、智慧山文化创意产业园区，打造更多特色文化产业聚集区，构建“2+X”文化产业格局。实施文化产业提升计划，培育高水平骨干文化企业，支持中小微文化企业发展。推进文化和科技融合，推动文化产业数智化赋能、信息化转型，</w:t>
      </w:r>
      <w:bookmarkStart w:id="245" w:name="_Hlk215929714"/>
      <w:r>
        <w:rPr>
          <w:rFonts w:hint="default" w:ascii="Times New Roman" w:hAnsi="Times New Roman" w:eastAsia="仿宋_GB2312" w:cs="Times New Roman"/>
          <w:b w:val="0"/>
          <w:bCs w:val="0"/>
          <w:snapToGrid w:val="0"/>
          <w:color w:val="000000"/>
          <w:kern w:val="32"/>
          <w:sz w:val="32"/>
          <w:szCs w:val="36"/>
        </w:rPr>
        <w:t>改造提升工艺美术等传统文化业态，发展数字出版等新型文化业态，引导规范网络文学、网络游戏、网络视听等健康发展。</w:t>
      </w:r>
      <w:bookmarkEnd w:id="245"/>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旅游产业高水平发展。优化文旅产业空间布局，构建“一核一廊一带六区”全域旅游发展新格局。实施旅游产品提质升级工程，扩大A级景区与旅游度假区矩阵，培育夜间文化和旅游消费集聚区。深入开展“向海乐活”等系列品牌活动，构建多元化、高品质的海滨旅游产品体系。强化联想创新产业园、海鸥表博物馆、康师傅梦想探索乐园、天津港智慧码头等工业游点位建设，打造工业旅游品牌。用好大沽口炮台遗址博物馆、滨海新区博物馆、大港油田石油文化馆等资源，打造红色旅游精品线路。打造一批音乐节、艺术节等精品项目，不断拓展文旅消费新业态新场景新模式。创新拓展“邮轮+”服务新产品，建设北方国际邮轮旅游中心，提升入境游便利化国际化水平。</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专栏14  全域旅游发展格局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一核：“滨城”国际旅游核（生态城+东疆+经开区），建设国家海洋博物馆文旅圈、东疆国际海洋旅游度假区，创建国家旅游度假区。</w:t>
            </w:r>
          </w:p>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一廊：蓝色海洋旅游走廊，串联泰达航母主题公园、国家海洋博物馆、东疆亲海公园等景点，谋划“海上观光+低空飞行”线路。</w:t>
            </w:r>
          </w:p>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一带：海河都市观光带，推进外滩公园、极地海洋世界等游船码头建设，开通“海河夜游”航线，推动“河海游船通航”。</w:t>
            </w:r>
          </w:p>
          <w:p>
            <w:pPr>
              <w:keepLines w:val="0"/>
              <w:widowControl w:val="0"/>
              <w:tabs>
                <w:tab w:val="right" w:leader="dot" w:pos="8549"/>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六区：生态田园度假区、盐渔风情游览区、工业科技研学区、滨海运动休闲区、森林湿地康养区、特色文化体验区等六大功能区，差异化培育特色业态。</w:t>
            </w:r>
          </w:p>
        </w:tc>
      </w:tr>
    </w:tbl>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246" w:name="_Toc219297018"/>
      <w:r>
        <w:rPr>
          <w:rFonts w:hint="default" w:ascii="Times New Roman" w:hAnsi="Times New Roman" w:cs="Times New Roman"/>
          <w:b w:val="0"/>
          <w:bCs w:val="0"/>
        </w:rPr>
        <w:t>第十一章  着力保障和改善民生，扎实推进共同富裕</w:t>
      </w:r>
      <w:bookmarkEnd w:id="246"/>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实施高品质生活创造行动，接续实施民心工程，坚持尽力而为、量力而行，构建覆盖全生命周期、满足多元需求的现代化民生服务体系，稳步推进基本公共服务均等化，畅通社会流动渠道，不断满足人民日益增长的美好生活需要。</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47" w:name="_Toc219297019"/>
      <w:bookmarkStart w:id="248" w:name="_Toc215600466"/>
      <w:r>
        <w:rPr>
          <w:rFonts w:hint="default" w:ascii="Times New Roman" w:hAnsi="Times New Roman" w:cs="Times New Roman"/>
          <w:b w:val="0"/>
          <w:bCs w:val="0"/>
          <w:color w:val="000000"/>
        </w:rPr>
        <w:t>第一节  促进高质量充分就业和城乡居民增收</w:t>
      </w:r>
      <w:bookmarkEnd w:id="247"/>
      <w:bookmarkEnd w:id="248"/>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深入实施就业优先战略。健全人力资源供需匹配机制，完善就业公共服务体系。加强产业发展与扩大就业协同联动，创造高质量就业岗位，支持各类主体稳岗扩岗。健全重点群体就业支持体系，稳定和扩大高校毕业生、农民工、退役军人等群体就业，加强大龄、残疾、较长时间失业等困难群体就业帮扶，推动灵活就业、新就业形态健康发展。深化创业全过程服务，提高创业辅导、融资支持、市场拓展、战略规划等领域服务精准度，增强创业带动就业能力。健全基层就业公共服务网点。营造公平有序就业环境，创新调解仲裁制度机制，加强劳动者权益保障。完善就业影响评估和监测预警机制，有效防范规模性失业风险。</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不断提高收入水平。多渠道增加经营性收入和财产性收入。有效增加低收入群体收入，做好低收入人口动态监测，探索由事后救助向事前预防转变，加强低收入群体兜底帮扶，加大以工代赈实施力度。稳步扩大中等收入群体规模。引导高收入群体和企业家增强社会责任意识，积极参与、兴办社会公益事业。促进和规范慈善事业健康发展。</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49" w:name="_Toc219297020"/>
      <w:bookmarkStart w:id="250" w:name="_Toc215600467"/>
      <w:r>
        <w:rPr>
          <w:rFonts w:hint="default" w:ascii="Times New Roman" w:hAnsi="Times New Roman" w:cs="Times New Roman"/>
          <w:b w:val="0"/>
          <w:bCs w:val="0"/>
          <w:color w:val="000000"/>
        </w:rPr>
        <w:t>第二节  扎实办好人民满意的教育</w:t>
      </w:r>
      <w:bookmarkEnd w:id="249"/>
      <w:bookmarkEnd w:id="250"/>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塑造立德树人新格局。深入实施新时代立德树人工程，深化“大思政课”综合改革，加强体育、美育、劳动教育，完善教育评价体系。深入推进基础教育未来教育家成长发展计划，大力弘扬教育家精神，培育一批名校长、名班主任、名教师，打造高水平教师队伍。</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提升基础教育办学水平。落实扩大免费教育政策，依法延长义务教育年限，创建义务教育优质均衡发展区。推动教育资源配置与人口变化相适应，合理配备“一核两副”教育资源，建立跨学段任教模式，加强教师交流轮岗和校舍协同利用，解决结构性学位短缺问题。</w:t>
      </w:r>
      <w:r>
        <w:rPr>
          <w:rFonts w:hint="default" w:ascii="Times New Roman" w:hAnsi="Times New Roman" w:eastAsia="仿宋_GB2312" w:cs="Times New Roman"/>
          <w:b w:val="0"/>
          <w:bCs w:val="0"/>
          <w:snapToGrid w:val="0"/>
          <w:color w:val="000000"/>
          <w:kern w:val="32"/>
          <w:sz w:val="32"/>
          <w:szCs w:val="36"/>
        </w:rPr>
        <w:tab/>
      </w:r>
      <w:r>
        <w:rPr>
          <w:rFonts w:hint="default" w:ascii="Times New Roman" w:hAnsi="Times New Roman" w:eastAsia="仿宋_GB2312" w:cs="Times New Roman"/>
          <w:b w:val="0"/>
          <w:bCs w:val="0"/>
          <w:snapToGrid w:val="0"/>
          <w:color w:val="000000"/>
          <w:kern w:val="32"/>
          <w:sz w:val="32"/>
          <w:szCs w:val="36"/>
        </w:rPr>
        <w:t>推动基础教育扩优提质，统筹义务教育优质均衡发展。</w:t>
      </w:r>
      <w:bookmarkStart w:id="251" w:name="OLE_LINK2"/>
      <w:r>
        <w:rPr>
          <w:rFonts w:hint="default" w:ascii="Times New Roman" w:hAnsi="Times New Roman" w:eastAsia="仿宋_GB2312" w:cs="Times New Roman"/>
          <w:b w:val="0"/>
          <w:bCs w:val="0"/>
          <w:snapToGrid w:val="0"/>
          <w:color w:val="000000"/>
          <w:kern w:val="32"/>
          <w:sz w:val="32"/>
          <w:szCs w:val="36"/>
        </w:rPr>
        <w:t>巩固全国学前教育普及普惠区</w:t>
      </w:r>
      <w:bookmarkEnd w:id="251"/>
      <w:r>
        <w:rPr>
          <w:rFonts w:hint="default" w:ascii="Times New Roman" w:hAnsi="Times New Roman" w:eastAsia="仿宋_GB2312" w:cs="Times New Roman"/>
          <w:b w:val="0"/>
          <w:bCs w:val="0"/>
          <w:snapToGrid w:val="0"/>
          <w:color w:val="000000"/>
          <w:kern w:val="32"/>
          <w:sz w:val="32"/>
          <w:szCs w:val="36"/>
        </w:rPr>
        <w:t>成果，推进学前教育优质普惠发展。持续推进综合高中建设，深化与市内名校合作办学。提升集团化办学质量，推出一批示范性教育集团。办好特殊教育、专门教育。引导规范民办教育发展。</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着力发展高等教育。</w:t>
      </w:r>
      <w:bookmarkStart w:id="252" w:name="OLE_LINK33"/>
      <w:r>
        <w:rPr>
          <w:rFonts w:hint="default" w:ascii="Times New Roman" w:hAnsi="Times New Roman" w:eastAsia="仿宋_GB2312" w:cs="Times New Roman"/>
          <w:b w:val="0"/>
          <w:bCs w:val="0"/>
          <w:snapToGrid w:val="0"/>
          <w:color w:val="000000"/>
          <w:kern w:val="32"/>
          <w:sz w:val="32"/>
          <w:szCs w:val="36"/>
        </w:rPr>
        <w:t>支持天津科技大学高水平发展。</w:t>
      </w:r>
      <w:bookmarkEnd w:id="252"/>
      <w:r>
        <w:rPr>
          <w:rFonts w:hint="default" w:ascii="Times New Roman" w:hAnsi="Times New Roman" w:eastAsia="仿宋_GB2312" w:cs="Times New Roman"/>
          <w:b w:val="0"/>
          <w:bCs w:val="0"/>
          <w:snapToGrid w:val="0"/>
          <w:color w:val="000000"/>
          <w:kern w:val="32"/>
          <w:sz w:val="32"/>
          <w:szCs w:val="36"/>
        </w:rPr>
        <w:t>深化与天津大学、南开大学等合作，加快天津大学工研院、南开大学滨海校区建设。加强与天津师范大学、天津理工大学、辽宁石油化工学院、中核研究院等合作。扩大高水平教育对外开放，推动中外合作办学机构、中外合作办学项目落地，办好天津茱莉亚学院。</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领先发展职业教育。构建产教训融合、政企社协同、育选用贯通的职业教育体系，打造职普融通、产教融合的职业教育高地。持续推进“海河工匠”工程和“技能滨城”建设，壮大知识型、技能型、创新型劳动者队伍。建成滨海职业学院新院区，支持滨海职业学院与国内外应用技术大学合作。深化校企、校地等教育协同合作，丰富开放教育、终身教育资源供给。深入实施教育数字化战略。</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53" w:name="_Toc219297021"/>
      <w:bookmarkStart w:id="254" w:name="_Toc215600468"/>
      <w:r>
        <w:rPr>
          <w:rFonts w:hint="default" w:ascii="Times New Roman" w:hAnsi="Times New Roman" w:cs="Times New Roman"/>
          <w:b w:val="0"/>
          <w:bCs w:val="0"/>
          <w:color w:val="000000"/>
        </w:rPr>
        <w:t>第三节  健全多层次社会保障体系</w:t>
      </w:r>
      <w:bookmarkEnd w:id="253"/>
      <w:bookmarkEnd w:id="254"/>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健全基本社会保险制度。加快发展多层次、多支柱养老保险体系，落实养老待遇确定和调整机制，稳妥有序提高城镇就业人员参加职工基本养老保险比例。促进多层次医疗保障体系建设，落实药品集采、医保支付和结余资金使用政策，执行大病保险和医疗救助制度、长期护理保险制度，探索建立生物医药企业快捷纳入医保服务机制。扩大失业、工伤保险覆盖面，落实职业伤害保障制度。落实社保关系转移接续政策，支持平台企业丰富社保服务功能，提高灵活就业人员、农民工、新就业形态人员参保率。加强社会保险与社会救助、社会福利制度衔接，精准落实为困难群体代缴城乡居民社会保险费和困难群体城乡居民基本医保分类资助参保政策。发挥各类商业保险补充保障作用。</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健全分层分类社会救助体系。优化基本生活救助制度，完善救助对象动态调整机制，落实最低生活保障、特困救助、临时救助及困境儿童保障等政策。落实基本殡葬服务制度。保障妇女、未成年人和残疾人合法权益。提升退役军人服务保障水平。</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55" w:name="_Toc215600469"/>
      <w:bookmarkStart w:id="256" w:name="_Toc219297022"/>
      <w:r>
        <w:rPr>
          <w:rFonts w:hint="default" w:ascii="Times New Roman" w:hAnsi="Times New Roman" w:cs="Times New Roman"/>
          <w:b w:val="0"/>
          <w:bCs w:val="0"/>
          <w:color w:val="000000"/>
        </w:rPr>
        <w:t>第四节  完善住房供应体系</w:t>
      </w:r>
      <w:bookmarkEnd w:id="255"/>
      <w:bookmarkEnd w:id="256"/>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快建立多主体供给、多渠道保障、租购并举的住房制度。加强全区住房统筹规划，科学确定住房需求规模和结构，构建与人口、产业相匹配的居住用地空间布局与土地供应关系。优化保障性住房供给，完善公租房筹集、建设、运营、管理制度，加大保障性租赁住房房源筹集力度，满足城镇工薪群体和各类困难家庭基本住房需求。加快示范镇、棚户区改造、城中村改造等项目建设并规范投入使用，依规盘活存量资源。因地制宜增加改善性住房供给，推广建设安全舒适绿色智慧的“好房子”。建立健全房屋全生命周期安全保障制度，实施物业服务质量提升行动，全链条提升住房设计、建造、维护、服务水平。</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57" w:name="_Toc219297023"/>
      <w:bookmarkStart w:id="258" w:name="_Toc215600470"/>
      <w:r>
        <w:rPr>
          <w:rFonts w:hint="default" w:ascii="Times New Roman" w:hAnsi="Times New Roman" w:cs="Times New Roman"/>
          <w:b w:val="0"/>
          <w:bCs w:val="0"/>
          <w:color w:val="000000"/>
        </w:rPr>
        <w:t>第五节  提升卫生健康服务能力</w:t>
      </w:r>
      <w:bookmarkEnd w:id="257"/>
      <w:bookmarkEnd w:id="258"/>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健全公共卫生服务体系。落实健康优先发展战略，深入开展爱国卫生运动，提高人民健康水平。加强疾病预防控制体系建设，推进传染病医防协同、医防融合，防控重大传染病。加强慢性病综合防控。健全突发公共卫生事件应急联防联控机制，强化卫生应急队伍建设，全方位提升急诊急救、血液保障和应急能力，高标准建设大港医院危化伤应急医疗救治中心。加强心理健康和精神卫生服务，强化职业病防治法律法规宣传及职业健康知识普及，加强地方病防治，提高职业健康管理与服务能力。全面落实公共卫生科标准化建设。</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优化医疗服务体系。巩固公立医院改革与高质量发展示范项目成果，构建优质高效整合型医疗卫生服务体系。促进优质医疗资源提质，加快</w:t>
      </w:r>
      <w:r>
        <w:rPr>
          <w:rFonts w:hint="eastAsia" w:eastAsia="仿宋_GB2312" w:cs="Times New Roman"/>
          <w:b w:val="0"/>
          <w:bCs w:val="0"/>
          <w:snapToGrid w:val="0"/>
          <w:color w:val="000000"/>
          <w:kern w:val="32"/>
          <w:sz w:val="32"/>
          <w:szCs w:val="36"/>
          <w:lang w:eastAsia="zh-CN"/>
        </w:rPr>
        <w:t>天津市</w:t>
      </w:r>
      <w:r>
        <w:rPr>
          <w:rFonts w:hint="default" w:ascii="Times New Roman" w:hAnsi="Times New Roman" w:eastAsia="仿宋_GB2312" w:cs="Times New Roman"/>
          <w:b w:val="0"/>
          <w:bCs w:val="0"/>
          <w:snapToGrid w:val="0"/>
          <w:color w:val="000000"/>
          <w:kern w:val="32"/>
          <w:sz w:val="32"/>
          <w:szCs w:val="36"/>
        </w:rPr>
        <w:t>第五中心医院、</w:t>
      </w:r>
      <w:r>
        <w:rPr>
          <w:rFonts w:hint="eastAsia" w:eastAsia="仿宋_GB2312" w:cs="Times New Roman"/>
          <w:b w:val="0"/>
          <w:bCs w:val="0"/>
          <w:snapToGrid w:val="0"/>
          <w:color w:val="000000"/>
          <w:kern w:val="32"/>
          <w:sz w:val="32"/>
          <w:szCs w:val="36"/>
          <w:lang w:eastAsia="zh-CN"/>
        </w:rPr>
        <w:t>滨海新区</w:t>
      </w:r>
      <w:r>
        <w:rPr>
          <w:rFonts w:hint="default" w:ascii="Times New Roman" w:hAnsi="Times New Roman" w:eastAsia="仿宋_GB2312" w:cs="Times New Roman"/>
          <w:b w:val="0"/>
          <w:bCs w:val="0"/>
          <w:snapToGrid w:val="0"/>
          <w:color w:val="000000"/>
          <w:kern w:val="32"/>
          <w:sz w:val="32"/>
          <w:szCs w:val="36"/>
        </w:rPr>
        <w:t>中医医院等医院建设，提升泰达医院、大港医院等医院区域医疗中心及专科医院水平，提高常见病、多发病诊疗和急危重症救治能力。实施医疗卫生强基工程，深化紧密型城市医疗集团内涵建设。促进优质医疗资源扩面和区域均衡布局，有序推进分级诊疗。拓展智慧医疗应用场景，推进全民健康数智化建设。持续推进家庭医生签约服务。鼓励境外投资者通过合资合作方式设立高水平医疗机构，支持设立外商独资医院。完善现代医院管理制度，以公益性为导向深化公立医院改革，健全公立医院运营管理机制和政府投入机制。加强医疗卫生队伍能力和作风建设。</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动中医药高质量发展。加强中医优势专科能力建设，提高基层中医药服务能力和水平，支持中医馆（阁）发展。加强中医联盟建设，发挥名老中医传承工作室作用，做好师承教育。深化中西医结合，培养一批中西医结合人才。实施中医药健康文化素养提升行动，促进中医药文化传播。</w:t>
      </w:r>
      <w:bookmarkStart w:id="259" w:name="_Toc215600471"/>
      <w:bookmarkStart w:id="260" w:name="_Toc219297024"/>
    </w:p>
    <w:p>
      <w:pPr>
        <w:keepNext w:val="0"/>
        <w:keepLines w:val="0"/>
        <w:pageBreakBefore w:val="0"/>
        <w:widowControl w:val="0"/>
        <w:tabs>
          <w:tab w:val="right" w:leader="dot" w:pos="8554"/>
        </w:tabs>
        <w:kinsoku/>
        <w:wordWrap/>
        <w:overflowPunct w:val="0"/>
        <w:topLinePunct w:val="0"/>
        <w:autoSpaceDE/>
        <w:autoSpaceDN/>
        <w:bidi w:val="0"/>
        <w:adjustRightInd/>
        <w:snapToGrid/>
        <w:spacing w:line="560" w:lineRule="exact"/>
        <w:ind w:firstLine="0" w:firstLineChars="0"/>
        <w:jc w:val="center"/>
        <w:textAlignment w:val="baseline"/>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第六节  健全人口高质量发展支持和服务体系</w:t>
      </w:r>
      <w:bookmarkEnd w:id="259"/>
      <w:bookmarkEnd w:id="260"/>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建设生育友好型社会。倡导积极婚育观，强化生育服务支持，落实育儿补贴和个人所得税抵扣、生育保险、生育休假、生育补贴等生育支持政策和激励机制。加大对生育再就业女性的职业技能培训。拓展托幼一体化服务，发展普惠托育服务，支持开展社区嵌入式托育、用人单位办托、幼儿园办托等模式。发展医育结合服务。</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打造全龄友好型城市。打造儿童友好型城市，加强儿童友好社区建设，强化校园、校舍和校餐安全管理。加强妇女和儿童健康服务，加大优质医疗资源供给。打造青年发展型城市，实施青年“五大服务计划”，增加“社交+”场景供给，鼓励青年积极参与社会治理。打造老年友好型城市，健全覆盖城乡的三级养老服务网络，大力发展普惠型养老，优化居家为基础、社区为依托、机构为专业支撑、医养相结合的养老服务供给格局。健全失能失智老人照护体系，扩大康复护理、安宁疗护服务供给。落实渐进式延迟法定退休年龄政策。大力发展银发经济，多渠道、宽领域扩大适老产品和服务供给。推进适老化、适儿化改造，加快全社会无障碍环境建设。</w:t>
      </w:r>
    </w:p>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261" w:name="_Toc219297025"/>
      <w:r>
        <w:rPr>
          <w:rFonts w:hint="default" w:ascii="Times New Roman" w:hAnsi="Times New Roman" w:cs="Times New Roman"/>
          <w:b w:val="0"/>
          <w:bCs w:val="0"/>
        </w:rPr>
        <w:t>第十二章  加力环境优区，打造生态文明建设示范区</w:t>
      </w:r>
      <w:bookmarkEnd w:id="261"/>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牢固树立和践行绿水青山就是金山银山理念，以碳达峰碳中和为引领，深入实施绿色低碳发展行动，协同推进降碳、减污、扩绿、增长，筑牢生态安全屏障，增强绿色发展动能，高标准建设国家绿色发展示范区，全面建成美丽“滨城”。</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62" w:name="_Toc219297026"/>
      <w:r>
        <w:rPr>
          <w:rFonts w:hint="default" w:ascii="Times New Roman" w:hAnsi="Times New Roman" w:cs="Times New Roman"/>
          <w:b w:val="0"/>
          <w:bCs w:val="0"/>
          <w:color w:val="000000"/>
        </w:rPr>
        <w:t>第一节</w:t>
      </w:r>
      <w:bookmarkStart w:id="263" w:name="_Hlk219120675"/>
      <w:r>
        <w:rPr>
          <w:rFonts w:hint="default" w:ascii="Times New Roman" w:hAnsi="Times New Roman" w:cs="Times New Roman"/>
          <w:b w:val="0"/>
          <w:bCs w:val="0"/>
          <w:color w:val="000000"/>
        </w:rPr>
        <w:t xml:space="preserve">  持续深入打好污染防治攻坚战</w:t>
      </w:r>
      <w:bookmarkEnd w:id="262"/>
      <w:bookmarkEnd w:id="263"/>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64" w:name="_Hlk219120722"/>
      <w:r>
        <w:rPr>
          <w:rFonts w:hint="default" w:ascii="Times New Roman" w:hAnsi="Times New Roman" w:eastAsia="仿宋_GB2312" w:cs="Times New Roman"/>
          <w:b w:val="0"/>
          <w:bCs w:val="0"/>
          <w:snapToGrid w:val="0"/>
          <w:color w:val="000000"/>
          <w:kern w:val="32"/>
          <w:sz w:val="32"/>
          <w:szCs w:val="36"/>
        </w:rPr>
        <w:t>加力打好蓝天保卫战。</w:t>
      </w:r>
      <w:bookmarkEnd w:id="264"/>
      <w:bookmarkStart w:id="265" w:name="_Hlk219120693"/>
      <w:r>
        <w:rPr>
          <w:rFonts w:hint="default" w:ascii="Times New Roman" w:hAnsi="Times New Roman" w:eastAsia="仿宋_GB2312" w:cs="Times New Roman"/>
          <w:b w:val="0"/>
          <w:bCs w:val="0"/>
          <w:snapToGrid w:val="0"/>
          <w:color w:val="000000"/>
          <w:kern w:val="32"/>
          <w:sz w:val="32"/>
          <w:szCs w:val="36"/>
        </w:rPr>
        <w:t>深入实施大气污染治理攻坚行动，实施产业结构绿色升级、能源结构低碳转型、交通领域清洁替代、面源污染精细管控等四大治理工程</w:t>
      </w:r>
      <w:bookmarkEnd w:id="265"/>
      <w:r>
        <w:rPr>
          <w:rFonts w:hint="default" w:ascii="Times New Roman" w:hAnsi="Times New Roman" w:eastAsia="仿宋_GB2312" w:cs="Times New Roman"/>
          <w:b w:val="0"/>
          <w:bCs w:val="0"/>
          <w:snapToGrid w:val="0"/>
          <w:color w:val="000000"/>
          <w:kern w:val="32"/>
          <w:sz w:val="32"/>
          <w:szCs w:val="36"/>
        </w:rPr>
        <w:t>。加强细颗粒物控制，强化移</w:t>
      </w:r>
      <w:r>
        <w:rPr>
          <w:rFonts w:hint="default" w:ascii="Times New Roman" w:hAnsi="Times New Roman" w:eastAsia="仿宋_GB2312" w:cs="Times New Roman"/>
          <w:b w:val="0"/>
          <w:bCs w:val="0"/>
          <w:snapToGrid w:val="0"/>
          <w:color w:val="000000"/>
          <w:spacing w:val="-6"/>
          <w:kern w:val="32"/>
          <w:sz w:val="32"/>
          <w:szCs w:val="36"/>
        </w:rPr>
        <w:t>动源、工业源、燃煤源、扬尘源、生活源共同治理。深化重点区</w:t>
      </w:r>
      <w:r>
        <w:rPr>
          <w:rFonts w:hint="default" w:ascii="Times New Roman" w:hAnsi="Times New Roman" w:eastAsia="仿宋_GB2312" w:cs="Times New Roman"/>
          <w:b w:val="0"/>
          <w:bCs w:val="0"/>
          <w:snapToGrid w:val="0"/>
          <w:color w:val="000000"/>
          <w:kern w:val="32"/>
          <w:sz w:val="32"/>
          <w:szCs w:val="36"/>
        </w:rPr>
        <w:t>域</w:t>
      </w:r>
      <w:r>
        <w:rPr>
          <w:rFonts w:hint="default" w:ascii="Times New Roman" w:hAnsi="Times New Roman" w:eastAsia="仿宋_GB2312" w:cs="Times New Roman"/>
          <w:b w:val="0"/>
          <w:bCs w:val="0"/>
          <w:snapToGrid w:val="0"/>
          <w:color w:val="000000"/>
          <w:spacing w:val="-6"/>
          <w:kern w:val="32"/>
          <w:sz w:val="32"/>
          <w:szCs w:val="36"/>
        </w:rPr>
        <w:t>大气污染综合治理和联防联控联治，大力推进多污染物协同减</w:t>
      </w:r>
      <w:r>
        <w:rPr>
          <w:rFonts w:hint="default" w:ascii="Times New Roman" w:hAnsi="Times New Roman" w:eastAsia="仿宋_GB2312" w:cs="Times New Roman"/>
          <w:b w:val="0"/>
          <w:bCs w:val="0"/>
          <w:snapToGrid w:val="0"/>
          <w:color w:val="000000"/>
          <w:kern w:val="32"/>
          <w:sz w:val="32"/>
          <w:szCs w:val="36"/>
        </w:rPr>
        <w:t>排。</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66" w:name="_Hlk219120733"/>
      <w:r>
        <w:rPr>
          <w:rFonts w:hint="default" w:ascii="Times New Roman" w:hAnsi="Times New Roman" w:eastAsia="仿宋_GB2312" w:cs="Times New Roman"/>
          <w:b w:val="0"/>
          <w:bCs w:val="0"/>
          <w:snapToGrid w:val="0"/>
          <w:color w:val="000000"/>
          <w:kern w:val="32"/>
          <w:sz w:val="32"/>
          <w:szCs w:val="36"/>
        </w:rPr>
        <w:t>巩固提升碧水保卫战。</w:t>
      </w:r>
      <w:bookmarkEnd w:id="266"/>
      <w:bookmarkStart w:id="267" w:name="_Hlk219120716"/>
      <w:r>
        <w:rPr>
          <w:rFonts w:hint="default" w:ascii="Times New Roman" w:hAnsi="Times New Roman" w:eastAsia="仿宋_GB2312" w:cs="Times New Roman"/>
          <w:b w:val="0"/>
          <w:bCs w:val="0"/>
          <w:snapToGrid w:val="0"/>
          <w:color w:val="000000"/>
          <w:kern w:val="32"/>
          <w:sz w:val="32"/>
          <w:szCs w:val="36"/>
        </w:rPr>
        <w:t>坚持陆海统筹、河海共治，统筹水资源、水环境、水生态治理。巩固地表水断面水质优良比例，强化入海河流和排污口综合管控治理</w:t>
      </w:r>
      <w:bookmarkEnd w:id="267"/>
      <w:r>
        <w:rPr>
          <w:rFonts w:hint="default" w:ascii="Times New Roman" w:hAnsi="Times New Roman" w:eastAsia="仿宋_GB2312" w:cs="Times New Roman"/>
          <w:b w:val="0"/>
          <w:bCs w:val="0"/>
          <w:snapToGrid w:val="0"/>
          <w:color w:val="000000"/>
          <w:kern w:val="32"/>
          <w:sz w:val="32"/>
          <w:szCs w:val="36"/>
        </w:rPr>
        <w:t>、水土流失保护和小流域综合治理。强化区域、流域、海域联防联控，建立上下游、部门间协调联动机制。深化工业园区水污染防治，加快补齐城镇污水收集和处理设施短板。强化饮用水源地环境监管。</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68" w:name="_Hlk219120772"/>
      <w:r>
        <w:rPr>
          <w:rFonts w:hint="default" w:ascii="Times New Roman" w:hAnsi="Times New Roman" w:eastAsia="仿宋_GB2312" w:cs="Times New Roman"/>
          <w:b w:val="0"/>
          <w:bCs w:val="0"/>
          <w:snapToGrid w:val="0"/>
          <w:color w:val="000000"/>
          <w:kern w:val="32"/>
          <w:sz w:val="32"/>
          <w:szCs w:val="36"/>
        </w:rPr>
        <w:t>持续打好净土保卫战。坚持源头防控、风险防范，加强建设用地环境准入监管，加快历史遗留污染地块修复管控，试行“环境修复+开发建设”模式，保障重点建设用地安全利用率100%。</w:t>
      </w:r>
      <w:bookmarkEnd w:id="268"/>
      <w:r>
        <w:rPr>
          <w:rFonts w:hint="default" w:ascii="Times New Roman" w:hAnsi="Times New Roman" w:eastAsia="仿宋_GB2312" w:cs="Times New Roman"/>
          <w:b w:val="0"/>
          <w:bCs w:val="0"/>
          <w:snapToGrid w:val="0"/>
          <w:color w:val="000000"/>
          <w:kern w:val="32"/>
          <w:sz w:val="32"/>
          <w:szCs w:val="36"/>
        </w:rPr>
        <w:t>开展土壤污染重点监管单位、污水集中处理设施、固体废物处置设施周边土壤环境监测，加强企业土壤和地下水环境监管，强化地下水环境监测。</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69" w:name="_Hlk219120797"/>
      <w:r>
        <w:rPr>
          <w:rFonts w:hint="default" w:ascii="Times New Roman" w:hAnsi="Times New Roman" w:eastAsia="仿宋_GB2312" w:cs="Times New Roman"/>
          <w:b w:val="0"/>
          <w:bCs w:val="0"/>
          <w:snapToGrid w:val="0"/>
          <w:color w:val="000000"/>
          <w:kern w:val="32"/>
          <w:sz w:val="32"/>
          <w:szCs w:val="36"/>
        </w:rPr>
        <w:t>强化固体废物和新污染物治理。</w:t>
      </w:r>
      <w:bookmarkEnd w:id="269"/>
      <w:bookmarkStart w:id="270" w:name="_Hlk219120860"/>
      <w:r>
        <w:rPr>
          <w:rFonts w:hint="default" w:ascii="Times New Roman" w:hAnsi="Times New Roman" w:eastAsia="仿宋_GB2312" w:cs="Times New Roman"/>
          <w:b w:val="0"/>
          <w:bCs w:val="0"/>
          <w:snapToGrid w:val="0"/>
          <w:color w:val="000000"/>
          <w:kern w:val="32"/>
          <w:sz w:val="32"/>
          <w:szCs w:val="36"/>
        </w:rPr>
        <w:t>深入推进固体废物综合治理，强化危险废弃物处置，加强有毒有害化学物质环境风险管理。深入开展非法倾倒固体废物专项行动，强化危险废物规范化评估，严厉打击固体废物环境违法行为。加强建筑垃圾消纳（处置）场所建设，推动建筑垃圾规范贮存、合规处置和资源化利用。</w:t>
      </w:r>
      <w:bookmarkEnd w:id="270"/>
      <w:r>
        <w:rPr>
          <w:rFonts w:hint="default" w:ascii="Times New Roman" w:hAnsi="Times New Roman" w:eastAsia="仿宋_GB2312" w:cs="Times New Roman"/>
          <w:b w:val="0"/>
          <w:bCs w:val="0"/>
          <w:snapToGrid w:val="0"/>
          <w:color w:val="000000"/>
          <w:kern w:val="32"/>
          <w:sz w:val="32"/>
          <w:szCs w:val="36"/>
        </w:rPr>
        <w:t>实施新污染物全过程治理，强化“禁、减、治”协同，鼓励涉新污染物企业开展原辅料绿色替代工艺研发，加强新污染物多环境介质协同治理，严厉打击已淘汰持久性有机污染物非法生产、加工使用。</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完善生态环境保护体制机制。建立现代化生态环境监测体系，提升海洋生态、新污染物、辐射等专项监测能力以及生态环境系统监控和智慧监管能力。加快构建环保信用监管体系。加强与其他沿海地区的海洋生态环境监测网络建设合作。</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专栏15  大气质量提升重点任务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固定源：开展石化、橡胶、工业涂装、汽车零部件制造等涉挥发性有机物行业综合治理。实施环保绩效分级管理、对标提升，新建及具备条件的改扩建“两高”项目达到A级或引领性水平，石化、汽车整车制造等行业新建及具备条件的改扩建项目达到A级水平，其他重点行业新改扩建项目达到B级或引领性水平。</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移动源：开展货运零排放试点示范，分阶段推进城建物流车辆、环卫作业车辆、邮政快递车辆、商超配送车辆、非道路移动机械、船舶等新能源化、清洁能源化。提升火电、钢铁、水泥等重点行业清洁运输比例，推进天津港、物流园区等重点区域清洁运输。严格排放监管和检测检验机构管理。实施高速公路差异化收费政策。</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面源：严禁秸秆露天焚烧。严控烟花爆竹燃放。完成畜禽养殖业氨排放控制试点建设。严格施工扬尘和工程机械车辆管理。管控餐饮油烟排放。开展干洗、制冷维修行业综合治理。</w:t>
            </w:r>
          </w:p>
        </w:tc>
      </w:tr>
    </w:tbl>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71" w:name="_Toc219297027"/>
      <w:r>
        <w:rPr>
          <w:rFonts w:hint="default" w:ascii="Times New Roman" w:hAnsi="Times New Roman" w:cs="Times New Roman"/>
          <w:b w:val="0"/>
          <w:bCs w:val="0"/>
          <w:color w:val="000000"/>
        </w:rPr>
        <w:t>第二节</w:t>
      </w:r>
      <w:bookmarkStart w:id="272" w:name="_Toc10887"/>
      <w:bookmarkStart w:id="273" w:name="_Toc1944"/>
      <w:bookmarkStart w:id="274" w:name="_Toc22258"/>
      <w:bookmarkStart w:id="275" w:name="_Toc9690"/>
      <w:r>
        <w:rPr>
          <w:rFonts w:hint="default" w:ascii="Times New Roman" w:hAnsi="Times New Roman" w:cs="Times New Roman"/>
          <w:b w:val="0"/>
          <w:bCs w:val="0"/>
          <w:color w:val="000000"/>
        </w:rPr>
        <w:t xml:space="preserve">  筑牢生态安全屏障</w:t>
      </w:r>
      <w:bookmarkEnd w:id="271"/>
      <w:bookmarkEnd w:id="272"/>
      <w:bookmarkEnd w:id="273"/>
      <w:bookmarkEnd w:id="274"/>
      <w:bookmarkEnd w:id="275"/>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76" w:name="_Toc24001"/>
      <w:bookmarkStart w:id="277" w:name="_Toc4525"/>
      <w:bookmarkStart w:id="278" w:name="_Toc21028"/>
      <w:bookmarkStart w:id="279" w:name="_Hlk219120899"/>
      <w:r>
        <w:rPr>
          <w:rFonts w:hint="default" w:ascii="Times New Roman" w:hAnsi="Times New Roman" w:eastAsia="仿宋_GB2312" w:cs="Times New Roman"/>
          <w:b w:val="0"/>
          <w:bCs w:val="0"/>
          <w:snapToGrid w:val="0"/>
          <w:color w:val="000000"/>
          <w:kern w:val="32"/>
          <w:sz w:val="32"/>
          <w:szCs w:val="36"/>
        </w:rPr>
        <w:t>持续加大生态空间保护力度</w:t>
      </w:r>
      <w:bookmarkEnd w:id="276"/>
      <w:bookmarkEnd w:id="277"/>
      <w:bookmarkEnd w:id="278"/>
      <w:r>
        <w:rPr>
          <w:rFonts w:hint="default" w:ascii="Times New Roman" w:hAnsi="Times New Roman" w:eastAsia="仿宋_GB2312" w:cs="Times New Roman"/>
          <w:b w:val="0"/>
          <w:bCs w:val="0"/>
          <w:snapToGrid w:val="0"/>
          <w:color w:val="000000"/>
          <w:kern w:val="32"/>
          <w:sz w:val="32"/>
          <w:szCs w:val="36"/>
        </w:rPr>
        <w:t>。贯彻落实“两山”理念，统筹水资源、湿地资源、滩涂资源、森林资源、矿产资源等各类资源的保护与利用。</w:t>
      </w:r>
      <w:bookmarkEnd w:id="279"/>
      <w:r>
        <w:rPr>
          <w:rFonts w:hint="default" w:ascii="Times New Roman" w:hAnsi="Times New Roman" w:eastAsia="仿宋_GB2312" w:cs="Times New Roman"/>
          <w:b w:val="0"/>
          <w:bCs w:val="0"/>
          <w:snapToGrid w:val="0"/>
          <w:color w:val="000000"/>
          <w:kern w:val="32"/>
          <w:sz w:val="32"/>
          <w:szCs w:val="36"/>
        </w:rPr>
        <w:t>衔接京津冀区域生态格局，构建“一屏一带三区五廊道”生态格局。完善自然保护地体系，强化生态环境分区管控与保护。持续营造城市生态绿色空间，打造通海、贯城、串趣的生态旅游休闲空间。</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80" w:name="_Toc12376"/>
      <w:bookmarkStart w:id="281" w:name="_Toc12478"/>
      <w:bookmarkStart w:id="282" w:name="_Toc16183"/>
      <w:bookmarkStart w:id="283" w:name="_Hlk219120910"/>
      <w:r>
        <w:rPr>
          <w:rFonts w:hint="default" w:ascii="Times New Roman" w:hAnsi="Times New Roman" w:eastAsia="仿宋_GB2312" w:cs="Times New Roman"/>
          <w:b w:val="0"/>
          <w:bCs w:val="0"/>
          <w:snapToGrid w:val="0"/>
          <w:color w:val="000000"/>
          <w:kern w:val="32"/>
          <w:sz w:val="32"/>
          <w:szCs w:val="36"/>
        </w:rPr>
        <w:t>强化生态保护修复</w:t>
      </w:r>
      <w:bookmarkEnd w:id="280"/>
      <w:bookmarkEnd w:id="281"/>
      <w:bookmarkEnd w:id="282"/>
      <w:r>
        <w:rPr>
          <w:rFonts w:hint="default" w:ascii="Times New Roman" w:hAnsi="Times New Roman" w:eastAsia="仿宋_GB2312" w:cs="Times New Roman"/>
          <w:b w:val="0"/>
          <w:bCs w:val="0"/>
          <w:snapToGrid w:val="0"/>
          <w:color w:val="000000"/>
          <w:kern w:val="32"/>
          <w:sz w:val="32"/>
          <w:szCs w:val="36"/>
        </w:rPr>
        <w:t>。统筹推进生态保护和系统治理。加大湿地生态系统保护力度，全面推进北大港湿地自然保护区生态保护和修复工程。强化候鸟迁徙通道和栖息地系统治理修复。深入推进“蓝色海湾”整治修复，加强近岸海域污染防治、生态保护修复和岸滩环境整治，探索形成陆海统筹、河海兼顾、上下连通、协同共治的海岸带修复新模式。健全生态产品价值实现机制，因地制宜拓展生态产品价值实现渠道。高标准建设、运维天津滨海国家海洋公园。</w:t>
      </w:r>
    </w:p>
    <w:bookmarkEnd w:id="283"/>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84" w:name="_Toc219297028"/>
      <w:bookmarkStart w:id="285" w:name="OLE_LINK14"/>
      <w:bookmarkStart w:id="286" w:name="_Hlk214119899"/>
      <w:r>
        <w:rPr>
          <w:rFonts w:hint="default" w:ascii="Times New Roman" w:hAnsi="Times New Roman" w:cs="Times New Roman"/>
          <w:b w:val="0"/>
          <w:bCs w:val="0"/>
          <w:color w:val="000000"/>
        </w:rPr>
        <w:t>第三节  加快构建新型能源体系</w:t>
      </w:r>
      <w:bookmarkEnd w:id="284"/>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287" w:name="_Hlk219121029"/>
      <w:r>
        <w:rPr>
          <w:rFonts w:hint="default" w:ascii="Times New Roman" w:hAnsi="Times New Roman" w:eastAsia="仿宋_GB2312" w:cs="Times New Roman"/>
          <w:b w:val="0"/>
          <w:bCs w:val="0"/>
          <w:snapToGrid w:val="0"/>
          <w:color w:val="000000"/>
          <w:kern w:val="32"/>
          <w:sz w:val="32"/>
          <w:szCs w:val="36"/>
        </w:rPr>
        <w:t>提高新能源供给比重。</w:t>
      </w:r>
      <w:bookmarkEnd w:id="287"/>
      <w:bookmarkStart w:id="288" w:name="_Hlk219121013"/>
      <w:r>
        <w:rPr>
          <w:rFonts w:hint="default" w:ascii="Times New Roman" w:hAnsi="Times New Roman" w:eastAsia="仿宋_GB2312" w:cs="Times New Roman"/>
          <w:b w:val="0"/>
          <w:bCs w:val="0"/>
          <w:snapToGrid w:val="0"/>
          <w:color w:val="000000"/>
          <w:kern w:val="32"/>
          <w:sz w:val="32"/>
          <w:szCs w:val="36"/>
        </w:rPr>
        <w:t>推动风能、太阳能规范、有序、高效利用，推进氢能、冷能、地热能等创新应用、稳步发展。鼓励开发分散（分布）式新能源项目。推动海洋油气和海上新能源融合发展</w:t>
      </w:r>
      <w:bookmarkEnd w:id="288"/>
      <w:r>
        <w:rPr>
          <w:rFonts w:hint="default" w:ascii="Times New Roman" w:hAnsi="Times New Roman" w:eastAsia="仿宋_GB2312" w:cs="Times New Roman"/>
          <w:b w:val="0"/>
          <w:bCs w:val="0"/>
          <w:snapToGrid w:val="0"/>
          <w:color w:val="000000"/>
          <w:kern w:val="32"/>
          <w:sz w:val="32"/>
          <w:szCs w:val="36"/>
        </w:rPr>
        <w:t>，探索风能、太阳能、海洋能综合利用示范项目，谋划海上油气超级工厂。探索氢能“制储输用”全链条发展标准体系，提升氢能产业示范园区能级。</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289" w:name="_Hlk219121051"/>
      <w:r>
        <w:rPr>
          <w:rFonts w:hint="default" w:ascii="Times New Roman" w:hAnsi="Times New Roman" w:eastAsia="仿宋_GB2312" w:cs="Times New Roman"/>
          <w:b w:val="0"/>
          <w:bCs w:val="0"/>
          <w:snapToGrid w:val="0"/>
          <w:color w:val="000000"/>
          <w:kern w:val="32"/>
          <w:sz w:val="32"/>
          <w:szCs w:val="36"/>
        </w:rPr>
        <w:t>清洁高效安全利用化石能源。强化重点行业企业煤炭消费总量控制，推进煤电改造升级，实施燃煤电厂容量替代。加快煤炭清洁储运、高效利用、有序替代。建立供热价格联动机制，鼓励天津国际油气交易中心开展订单交易、产能预售、拼单集采等业务创新。探索开展燃料和原料用煤碳排放分类统计核算。强化供水、燃气、工业蒸汽、供热等能源供给、输送环节成本监审，探索建立适应新型能源体系的市场和价格机制。</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全面提升电力系统互补互济和安全韧性水平。加快智能电网和微电网建设，深化“源网荷储”一体化发展，鼓励虚拟电厂建设和商业模式创新。支持新型储能建设，促进清洁能源就地消纳，争取国家新型电力系统建设试点。用好省间电力交易、绿色电力证书交易等方式，推动绿色电力市场化交易。支持企业开展综合能源管理，鼓励模式创新，提升终端用能电气化水平。</w:t>
      </w:r>
    </w:p>
    <w:bookmarkEnd w:id="289"/>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90" w:name="_Toc219297029"/>
      <w:r>
        <w:rPr>
          <w:rFonts w:hint="default" w:ascii="Times New Roman" w:hAnsi="Times New Roman" w:cs="Times New Roman"/>
          <w:b w:val="0"/>
          <w:bCs w:val="0"/>
          <w:color w:val="000000"/>
        </w:rPr>
        <w:t>第四节</w:t>
      </w:r>
      <w:bookmarkStart w:id="291" w:name="_Hlk219121181"/>
      <w:r>
        <w:rPr>
          <w:rFonts w:hint="default" w:ascii="Times New Roman" w:hAnsi="Times New Roman" w:cs="Times New Roman"/>
          <w:b w:val="0"/>
          <w:bCs w:val="0"/>
          <w:color w:val="000000"/>
        </w:rPr>
        <w:t xml:space="preserve">  积极稳妥推进和实现碳达峰</w:t>
      </w:r>
      <w:bookmarkEnd w:id="290"/>
      <w:bookmarkEnd w:id="291"/>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92" w:name="_Hlk219121216"/>
      <w:r>
        <w:rPr>
          <w:rFonts w:hint="default" w:ascii="Times New Roman" w:hAnsi="Times New Roman" w:eastAsia="仿宋_GB2312" w:cs="Times New Roman"/>
          <w:b w:val="0"/>
          <w:bCs w:val="0"/>
          <w:snapToGrid w:val="0"/>
          <w:color w:val="000000"/>
          <w:kern w:val="32"/>
          <w:sz w:val="32"/>
          <w:szCs w:val="36"/>
        </w:rPr>
        <w:t>全面落实碳排放总量和强度双控制度。加强重点行业碳排放核算能力建设，健全重点用能和碳排放单位管理制度。开展重点工业产品碳足迹评价并形成核算标准，探索建立碳足迹管理体系和产品碳标识认证制度。开展固定资产投资项目碳排放评价，坚决遏制高耗能、高排放、低水平项目盲目上马。推广节能降碳“诊断+改造”模式。</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创新碳排放碳交易模式。拓展碳排放权交易范围，深化天津碳排放权交易所建设，深度融入全国碳市场。推动碳交易与绿色电力交易市场化机制有效衔接，加强碳汇能力提升和开发应用。推进天津经济技术开发区建设国家碳达峰试点、减污降碳协同创新试点。建设更多零碳工厂和园区。高质量建好深化气候适应型城市建设试点。</w:t>
      </w:r>
    </w:p>
    <w:bookmarkEnd w:id="292"/>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293" w:name="_Toc219297030"/>
      <w:r>
        <w:rPr>
          <w:rFonts w:hint="default" w:ascii="Times New Roman" w:hAnsi="Times New Roman" w:cs="Times New Roman"/>
          <w:b w:val="0"/>
          <w:bCs w:val="0"/>
          <w:color w:val="000000"/>
        </w:rPr>
        <w:t>第五节</w:t>
      </w:r>
      <w:bookmarkStart w:id="294" w:name="_Hlk219121265"/>
      <w:r>
        <w:rPr>
          <w:rFonts w:hint="default" w:ascii="Times New Roman" w:hAnsi="Times New Roman" w:cs="Times New Roman"/>
          <w:b w:val="0"/>
          <w:bCs w:val="0"/>
          <w:color w:val="000000"/>
        </w:rPr>
        <w:t xml:space="preserve">  加快形成绿色生产生活方式</w:t>
      </w:r>
      <w:bookmarkEnd w:id="293"/>
      <w:bookmarkEnd w:id="294"/>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295" w:name="_Hlk219121281"/>
      <w:r>
        <w:rPr>
          <w:rFonts w:hint="default" w:ascii="Times New Roman" w:hAnsi="Times New Roman" w:eastAsia="仿宋_GB2312" w:cs="Times New Roman"/>
          <w:b w:val="0"/>
          <w:bCs w:val="0"/>
          <w:snapToGrid w:val="0"/>
          <w:color w:val="000000"/>
          <w:kern w:val="32"/>
          <w:sz w:val="32"/>
          <w:szCs w:val="36"/>
        </w:rPr>
        <w:t>推进重点领域绿色低碳转型。加快产业绿色化升级、绿色产业化发展，推动现有企业达标改造升级、新建项目绩效引领，大力发展绿色生产性服务业，组建绿色电力产业联盟，创建绿色产业示范基地。推广工程建设全过程绿色建造，推行绿色建筑全生命周期管理，提升高星级绿色建筑比例和建筑水平。持续开展既有建筑节能改造。优化交通运输结构，持续提高大宗货物清洁运输比例，建设绿色智慧交通基础设施，推广绿色能源运输工具。深化零碳码头、低碳港区、低碳港口建设，推动港口作业机械以及大型设备绿色改造。提升企业环境、社会和治理（ESG）能力。推广绿色生活方式，推动消费模式绿色转型，丰富绿色产品和服务供给，健全绿色消费激励机制。</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296" w:name="_Toc18817"/>
      <w:bookmarkStart w:id="297" w:name="_Toc32696"/>
      <w:bookmarkStart w:id="298" w:name="_Toc26196"/>
      <w:r>
        <w:rPr>
          <w:rFonts w:hint="default" w:ascii="Times New Roman" w:hAnsi="Times New Roman" w:eastAsia="仿宋_GB2312" w:cs="Times New Roman"/>
          <w:b w:val="0"/>
          <w:bCs w:val="0"/>
          <w:snapToGrid w:val="0"/>
          <w:color w:val="000000"/>
          <w:kern w:val="32"/>
          <w:sz w:val="32"/>
          <w:szCs w:val="36"/>
        </w:rPr>
        <w:t>大力发展循环经济。全面建设资源节约型社会。加快发展资源循环利用产业，打造国家再生资源循环利用基地，建设全球回收网络和线上平台，建设基地总部、科创和交易中心、七个示范集群和多个循环利用绿色发展应用场景，提高废弃物资源化和废旧设备再利用水平。打造园区级能源梯级利用网络。拓展海水淡化与综合利用，强化海水淡化战略水源作用。推进城市生活垃圾、餐厨废弃物资源化利用，促进废弃物精细化管理和有效回收。</w:t>
      </w:r>
      <w:bookmarkEnd w:id="295"/>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835" w:type="dxa"/>
            <w:noWrap w:val="0"/>
            <w:vAlign w:val="top"/>
          </w:tcPr>
          <w:p>
            <w:pPr>
              <w:keepNext/>
              <w:keepLines w:val="0"/>
              <w:widowControl w:val="0"/>
              <w:kinsoku/>
              <w:wordWrap/>
              <w:overflowPunct w:val="0"/>
              <w:topLinePunct w:val="0"/>
              <w:autoSpaceDE/>
              <w:autoSpaceDN/>
              <w:bidi w:val="0"/>
              <w:adjustRightInd/>
              <w:snapToGrid/>
              <w:spacing w:line="560" w:lineRule="exact"/>
              <w:jc w:val="center"/>
              <w:rPr>
                <w:rFonts w:hint="default" w:ascii="Times New Roman" w:hAnsi="Times New Roman" w:eastAsia="楷体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专栏16  循环经济发展布局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5" w:type="dxa"/>
            <w:noWrap w:val="0"/>
            <w:vAlign w:val="top"/>
          </w:tcPr>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一基地：以中资环集团总部为核心，聚集绿色科技研究院、综合交易平台、海外业务总部、全国指挥中心等功能板块及二级总部，有序向相关开发区及街镇布局三级公司、分支机构，形成组团分布、主次分明、聚合力强的多级星型结构央企总部基地。</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两中心：探索再生资源交易业务和交易模式创新，建设全球可再生资源交易集散中心；以中资环绿色科技研究院为核心，增强原始创新能力，建设国家资源循环利用科创中心。</w:t>
            </w:r>
          </w:p>
          <w:p>
            <w:pPr>
              <w:keepLines w:val="0"/>
              <w:widowControl w:val="0"/>
              <w:kinsoku/>
              <w:wordWrap/>
              <w:overflowPunct w:val="0"/>
              <w:topLinePunct w:val="0"/>
              <w:autoSpaceDE/>
              <w:autoSpaceDN/>
              <w:bidi w:val="0"/>
              <w:adjustRightInd/>
              <w:snapToGrid/>
              <w:spacing w:line="560" w:lineRule="exact"/>
              <w:ind w:firstLine="640" w:firstLineChars="200"/>
              <w:rPr>
                <w:rStyle w:val="30"/>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七个示范集群：依托</w:t>
            </w:r>
            <w:r>
              <w:rPr>
                <w:rStyle w:val="30"/>
                <w:rFonts w:hint="default" w:ascii="Times New Roman" w:hAnsi="Times New Roman" w:eastAsia="仿宋_GB2312" w:cs="Times New Roman"/>
                <w:b w:val="0"/>
                <w:bCs w:val="0"/>
                <w:snapToGrid w:val="0"/>
                <w:color w:val="000000"/>
                <w:kern w:val="32"/>
                <w:sz w:val="32"/>
                <w:szCs w:val="36"/>
              </w:rPr>
              <w:t>南港工业区、空港经济区、保税区临港片区及相关工业主题园区等产业功能载体，布局废旧动力电池、废塑料及废橡胶、退役风光设备、退役民用航空器、退役船舶和海工装备、废旧汽车、废旧电器设备等循环再利用产业链条，打造七个技术领先、利用率高、环境友好的示范集群。</w:t>
            </w:r>
          </w:p>
          <w:p>
            <w:pPr>
              <w:pStyle w:val="13"/>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 w:val="32"/>
                <w:szCs w:val="36"/>
                <w:lang w:val="en-US" w:eastAsia="zh-CN"/>
              </w:rPr>
            </w:pPr>
            <w:r>
              <w:rPr>
                <w:rFonts w:hint="default" w:ascii="Times New Roman" w:hAnsi="Times New Roman" w:eastAsia="仿宋_GB2312" w:cs="Times New Roman"/>
                <w:b w:val="0"/>
                <w:bCs w:val="0"/>
                <w:snapToGrid w:val="0"/>
                <w:color w:val="000000"/>
                <w:kern w:val="32"/>
                <w:sz w:val="32"/>
                <w:szCs w:val="36"/>
                <w:lang w:val="en-US" w:eastAsia="zh-CN"/>
              </w:rPr>
              <w:t>N个应用场景：挖掘以资源循环利用和再生利用为主题的生产、生态、生活、文化等各类应用场景，助力中资环规模化推广新产品、新模式、新业态。</w:t>
            </w:r>
          </w:p>
        </w:tc>
      </w:tr>
      <w:bookmarkEnd w:id="285"/>
      <w:bookmarkEnd w:id="286"/>
      <w:bookmarkEnd w:id="296"/>
      <w:bookmarkEnd w:id="297"/>
      <w:bookmarkEnd w:id="298"/>
    </w:tbl>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299" w:name="_Toc219297031"/>
      <w:r>
        <w:rPr>
          <w:rFonts w:hint="default" w:ascii="Times New Roman" w:hAnsi="Times New Roman" w:cs="Times New Roman"/>
          <w:b w:val="0"/>
          <w:bCs w:val="0"/>
        </w:rPr>
        <w:t>第十三章  强化安全固区，提升城市治理现代化水平</w:t>
      </w:r>
      <w:bookmarkEnd w:id="299"/>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坚定不移贯彻总体国家安全观，更好统筹发展和安全，深入推进平安滨海建设，构建全天候、系统性、现代化城市安全保障体系，牢牢守住安全稳定的底线，确保社会生机勃勃又井然有序。</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300" w:name="_Toc219297032"/>
      <w:r>
        <w:rPr>
          <w:rFonts w:hint="default" w:ascii="Times New Roman" w:hAnsi="Times New Roman" w:cs="Times New Roman"/>
          <w:b w:val="0"/>
          <w:bCs w:val="0"/>
          <w:color w:val="000000"/>
        </w:rPr>
        <w:t>第一节  坚决维护国家安全</w:t>
      </w:r>
      <w:bookmarkEnd w:id="300"/>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切实筑牢首都政治、安全“护城河”。</w:t>
      </w:r>
      <w:bookmarkStart w:id="301" w:name="_Hlk219121463"/>
      <w:bookmarkStart w:id="302" w:name="_Hlk218462505"/>
      <w:r>
        <w:rPr>
          <w:rFonts w:hint="default" w:ascii="Times New Roman" w:hAnsi="Times New Roman" w:eastAsia="仿宋_GB2312" w:cs="Times New Roman"/>
          <w:b w:val="0"/>
          <w:bCs w:val="0"/>
          <w:snapToGrid w:val="0"/>
          <w:color w:val="000000"/>
          <w:kern w:val="32"/>
          <w:sz w:val="32"/>
          <w:szCs w:val="36"/>
        </w:rPr>
        <w:t>坚持把捍卫国家政治安全摆在首位，全面落实首都地区安全风险隐患防范处置措施，发挥好京津冀政法工作协同机制作用，深化反渗透反颠覆反恐怖反分裂反邪教斗争。</w:t>
      </w:r>
      <w:bookmarkEnd w:id="301"/>
      <w:r>
        <w:rPr>
          <w:rFonts w:hint="default" w:ascii="Times New Roman" w:hAnsi="Times New Roman" w:eastAsia="仿宋_GB2312" w:cs="Times New Roman"/>
          <w:b w:val="0"/>
          <w:bCs w:val="0"/>
          <w:snapToGrid w:val="0"/>
          <w:color w:val="000000"/>
          <w:kern w:val="32"/>
          <w:sz w:val="32"/>
          <w:szCs w:val="36"/>
        </w:rPr>
        <w:t>落实党委（党组）国家安全责任制、维护社会稳定责任制。推进国家安全重点项目建设，有效防范化解各类涉政治安全风险。</w:t>
      </w:r>
      <w:bookmarkStart w:id="303" w:name="_Hlk218463284"/>
      <w:r>
        <w:rPr>
          <w:rFonts w:hint="default" w:ascii="Times New Roman" w:hAnsi="Times New Roman" w:eastAsia="仿宋_GB2312" w:cs="Times New Roman"/>
          <w:b w:val="0"/>
          <w:bCs w:val="0"/>
          <w:snapToGrid w:val="0"/>
          <w:color w:val="000000"/>
          <w:kern w:val="32"/>
          <w:sz w:val="32"/>
          <w:szCs w:val="36"/>
        </w:rPr>
        <w:t>坚决</w:t>
      </w:r>
      <w:bookmarkStart w:id="304" w:name="_Hlk219121484"/>
      <w:r>
        <w:rPr>
          <w:rFonts w:hint="default" w:ascii="Times New Roman" w:hAnsi="Times New Roman" w:eastAsia="仿宋_GB2312" w:cs="Times New Roman"/>
          <w:b w:val="0"/>
          <w:bCs w:val="0"/>
          <w:snapToGrid w:val="0"/>
          <w:color w:val="000000"/>
          <w:kern w:val="32"/>
          <w:sz w:val="32"/>
          <w:szCs w:val="36"/>
        </w:rPr>
        <w:t>维护意识形态安全</w:t>
      </w:r>
      <w:bookmarkEnd w:id="303"/>
      <w:r>
        <w:rPr>
          <w:rFonts w:hint="default" w:ascii="Times New Roman" w:hAnsi="Times New Roman" w:eastAsia="仿宋_GB2312" w:cs="Times New Roman"/>
          <w:b w:val="0"/>
          <w:bCs w:val="0"/>
          <w:snapToGrid w:val="0"/>
          <w:color w:val="000000"/>
          <w:kern w:val="32"/>
          <w:sz w:val="32"/>
          <w:szCs w:val="36"/>
        </w:rPr>
        <w:t>，加强高校、民族、宗教等意识形态重点领域、重点阵地、重点人员管理，依法严厉打击网络谣言和有害信息。</w:t>
      </w:r>
      <w:bookmarkEnd w:id="304"/>
      <w:r>
        <w:rPr>
          <w:rFonts w:hint="default" w:ascii="Times New Roman" w:hAnsi="Times New Roman" w:eastAsia="仿宋_GB2312" w:cs="Times New Roman"/>
          <w:b w:val="0"/>
          <w:bCs w:val="0"/>
          <w:snapToGrid w:val="0"/>
          <w:color w:val="000000"/>
          <w:kern w:val="32"/>
          <w:sz w:val="32"/>
          <w:szCs w:val="36"/>
        </w:rPr>
        <w:t>加强海防体系建设，构建现代人民防空体系。</w:t>
      </w:r>
      <w:bookmarkStart w:id="305" w:name="_Hlk218463305"/>
      <w:r>
        <w:rPr>
          <w:rFonts w:hint="default" w:ascii="Times New Roman" w:hAnsi="Times New Roman" w:eastAsia="仿宋_GB2312" w:cs="Times New Roman"/>
          <w:b w:val="0"/>
          <w:bCs w:val="0"/>
          <w:snapToGrid w:val="0"/>
          <w:color w:val="000000"/>
          <w:kern w:val="32"/>
          <w:sz w:val="32"/>
          <w:szCs w:val="36"/>
        </w:rPr>
        <w:t>强化国家安全教育，</w:t>
      </w:r>
      <w:bookmarkEnd w:id="305"/>
      <w:r>
        <w:rPr>
          <w:rFonts w:hint="default" w:ascii="Times New Roman" w:hAnsi="Times New Roman" w:eastAsia="仿宋_GB2312" w:cs="Times New Roman"/>
          <w:b w:val="0"/>
          <w:bCs w:val="0"/>
          <w:snapToGrid w:val="0"/>
          <w:color w:val="000000"/>
          <w:kern w:val="32"/>
          <w:sz w:val="32"/>
          <w:szCs w:val="36"/>
        </w:rPr>
        <w:t>筑牢人民防线。</w:t>
      </w:r>
      <w:bookmarkEnd w:id="302"/>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加强社会面整体防控。</w:t>
      </w:r>
      <w:bookmarkStart w:id="306" w:name="_Hlk219121497"/>
      <w:r>
        <w:rPr>
          <w:rFonts w:hint="default" w:ascii="Times New Roman" w:hAnsi="Times New Roman" w:eastAsia="仿宋_GB2312" w:cs="Times New Roman"/>
          <w:b w:val="0"/>
          <w:bCs w:val="0"/>
          <w:snapToGrid w:val="0"/>
          <w:color w:val="000000"/>
          <w:kern w:val="32"/>
          <w:sz w:val="32"/>
          <w:szCs w:val="36"/>
        </w:rPr>
        <w:t>强化社会治安防控体系和能力建设，依法严厉打击各类影响群众安全感的突出违法犯罪活动，常态化开展扫黑除恶斗争，加大预防和打击电信网络诈骗、毒品犯罪等力度。有效防范化解涉众金融、房地产、劳动关系等重点领域风险和新产业、新业态、新商业模式涉稳风险。强化未成年人违法犯罪预防和治理。</w:t>
      </w:r>
      <w:bookmarkEnd w:id="306"/>
      <w:r>
        <w:rPr>
          <w:rFonts w:hint="default" w:ascii="Times New Roman" w:hAnsi="Times New Roman" w:eastAsia="仿宋_GB2312" w:cs="Times New Roman"/>
          <w:b w:val="0"/>
          <w:bCs w:val="0"/>
          <w:snapToGrid w:val="0"/>
          <w:color w:val="000000"/>
          <w:kern w:val="32"/>
          <w:sz w:val="32"/>
          <w:szCs w:val="36"/>
        </w:rPr>
        <w:t>健全社会心理服务体系和危机干预机制，严密防范个人极端案事件。</w:t>
      </w:r>
      <w:bookmarkStart w:id="307" w:name="_Hlk219121520"/>
      <w:r>
        <w:rPr>
          <w:rFonts w:hint="default" w:ascii="Times New Roman" w:hAnsi="Times New Roman" w:eastAsia="仿宋_GB2312" w:cs="Times New Roman"/>
          <w:b w:val="0"/>
          <w:bCs w:val="0"/>
          <w:snapToGrid w:val="0"/>
          <w:color w:val="000000"/>
          <w:kern w:val="32"/>
          <w:sz w:val="32"/>
          <w:szCs w:val="36"/>
        </w:rPr>
        <w:t>完善国防动员体系，</w:t>
      </w:r>
      <w:bookmarkEnd w:id="307"/>
      <w:r>
        <w:rPr>
          <w:rFonts w:hint="default" w:ascii="Times New Roman" w:hAnsi="Times New Roman" w:eastAsia="仿宋_GB2312" w:cs="Times New Roman"/>
          <w:b w:val="0"/>
          <w:bCs w:val="0"/>
          <w:snapToGrid w:val="0"/>
          <w:color w:val="000000"/>
          <w:kern w:val="32"/>
          <w:sz w:val="32"/>
          <w:szCs w:val="36"/>
        </w:rPr>
        <w:t>提升国防动员能力，加强民兵</w:t>
      </w:r>
      <w:r>
        <w:rPr>
          <w:rFonts w:hint="default" w:ascii="Times New Roman" w:hAnsi="Times New Roman" w:eastAsia="仿宋_GB2312" w:cs="Times New Roman"/>
          <w:b w:val="0"/>
          <w:bCs w:val="0"/>
          <w:snapToGrid w:val="0"/>
          <w:color w:val="000000"/>
          <w:spacing w:val="2"/>
          <w:kern w:val="32"/>
          <w:sz w:val="32"/>
          <w:szCs w:val="36"/>
        </w:rPr>
        <w:t>等后备力量建设，统筹国防动员和政府应急管理，提升平时服务、</w:t>
      </w:r>
      <w:r>
        <w:rPr>
          <w:rFonts w:hint="default" w:ascii="Times New Roman" w:hAnsi="Times New Roman" w:eastAsia="仿宋_GB2312" w:cs="Times New Roman"/>
          <w:b w:val="0"/>
          <w:bCs w:val="0"/>
          <w:snapToGrid w:val="0"/>
          <w:color w:val="000000"/>
          <w:kern w:val="32"/>
          <w:sz w:val="32"/>
          <w:szCs w:val="36"/>
        </w:rPr>
        <w:t>急时应急、战时应战能力，</w:t>
      </w:r>
      <w:bookmarkStart w:id="308" w:name="_Hlk219121528"/>
      <w:r>
        <w:rPr>
          <w:rFonts w:hint="default" w:ascii="Times New Roman" w:hAnsi="Times New Roman" w:eastAsia="仿宋_GB2312" w:cs="Times New Roman"/>
          <w:b w:val="0"/>
          <w:bCs w:val="0"/>
          <w:snapToGrid w:val="0"/>
          <w:color w:val="000000"/>
          <w:kern w:val="32"/>
          <w:sz w:val="32"/>
          <w:szCs w:val="36"/>
        </w:rPr>
        <w:t>深化全民国防教育，巩固军政军民团结。</w:t>
      </w:r>
    </w:p>
    <w:bookmarkEnd w:id="308"/>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309" w:name="_Toc219297033"/>
      <w:r>
        <w:rPr>
          <w:rFonts w:hint="default" w:ascii="Times New Roman" w:hAnsi="Times New Roman" w:cs="Times New Roman"/>
          <w:b w:val="0"/>
          <w:bCs w:val="0"/>
          <w:color w:val="000000"/>
        </w:rPr>
        <w:t>第二节  防范化解重点领域风险</w:t>
      </w:r>
      <w:bookmarkEnd w:id="309"/>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310" w:name="_Hlk219121578"/>
      <w:r>
        <w:rPr>
          <w:rFonts w:hint="default" w:ascii="Times New Roman" w:hAnsi="Times New Roman" w:eastAsia="仿宋_GB2312" w:cs="Times New Roman"/>
          <w:b w:val="0"/>
          <w:bCs w:val="0"/>
          <w:snapToGrid w:val="0"/>
          <w:color w:val="000000"/>
          <w:kern w:val="32"/>
          <w:sz w:val="32"/>
          <w:szCs w:val="36"/>
        </w:rPr>
        <w:t>加强重点领域安全能力建设。实施重点产业链供应链产业基础再造工程，健全产业链风险监测预警体系，增强断链风险处置能力，全面提升产业链供应链韧性。建设京津冀优质粮油保供基地，全方位夯实粮食安全根基。持续防范化解地方政府债务风险，完善政府债务管理制度，优化债务结构，加快融资平台市场化转型，严防新增隐性债务。强化金融风险监测预警和防范处置，严厉打击非法金融活动，守住不发生系统性区域风险底线。有效推进房地产风险化解。</w:t>
      </w:r>
    </w:p>
    <w:bookmarkEnd w:id="310"/>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bookmarkStart w:id="311" w:name="_Hlk219121636"/>
      <w:r>
        <w:rPr>
          <w:rFonts w:hint="default" w:ascii="Times New Roman" w:hAnsi="Times New Roman" w:eastAsia="仿宋_GB2312" w:cs="Times New Roman"/>
          <w:b w:val="0"/>
          <w:bCs w:val="0"/>
          <w:snapToGrid w:val="0"/>
          <w:color w:val="000000"/>
          <w:kern w:val="32"/>
          <w:sz w:val="32"/>
          <w:szCs w:val="36"/>
        </w:rPr>
        <w:t>强化新兴领域安全治理。深化网络安全防御体系建设，强化监测预警、应急演练和数据防护，加强新技术新应用安全治理。强化关键信息基础设施安全防护以及灾难备份。坚决维护科技领域安全，探索建立人工智能、生物医药等新兴领域伦理体系和科技安全风险监测预警指标体系。强化生物安全管理，完善生物技术环境风险全链条防控体系，构建系统化生物安全防控网络。强化生物多样性保护，推动生物多样性监测和调查，有效防范外来物种入侵。</w:t>
      </w:r>
      <w:bookmarkEnd w:id="311"/>
      <w:bookmarkStart w:id="312" w:name="_Toc219297034"/>
    </w:p>
    <w:p>
      <w:pPr>
        <w:keepNext w:val="0"/>
        <w:keepLines w:val="0"/>
        <w:pageBreakBefore w:val="0"/>
        <w:widowControl w:val="0"/>
        <w:tabs>
          <w:tab w:val="right" w:leader="dot" w:pos="8554"/>
        </w:tabs>
        <w:kinsoku/>
        <w:wordWrap/>
        <w:overflowPunct w:val="0"/>
        <w:topLinePunct w:val="0"/>
        <w:autoSpaceDE/>
        <w:autoSpaceDN/>
        <w:bidi w:val="0"/>
        <w:adjustRightInd/>
        <w:snapToGrid/>
        <w:spacing w:line="560" w:lineRule="exact"/>
        <w:ind w:firstLine="0" w:firstLineChars="0"/>
        <w:jc w:val="center"/>
        <w:textAlignment w:val="baseline"/>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第三节  强化城市公共安全保障</w:t>
      </w:r>
      <w:bookmarkEnd w:id="312"/>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提高公共安全治理水平。</w:t>
      </w:r>
      <w:bookmarkStart w:id="313" w:name="_Hlk219121772"/>
      <w:r>
        <w:rPr>
          <w:rFonts w:hint="default" w:ascii="Times New Roman" w:hAnsi="Times New Roman" w:eastAsia="仿宋_GB2312" w:cs="Times New Roman"/>
          <w:b w:val="0"/>
          <w:bCs w:val="0"/>
          <w:snapToGrid w:val="0"/>
          <w:color w:val="000000"/>
          <w:kern w:val="32"/>
          <w:sz w:val="32"/>
          <w:szCs w:val="36"/>
        </w:rPr>
        <w:t>完善公共安全体系，加快推动公共安全治理模式向事前预防转型。建立健全洪涝、地震、风暴潮、海冰等灾害监测预报预警体系，强化气象监测预报预警，</w:t>
      </w:r>
      <w:bookmarkEnd w:id="313"/>
      <w:r>
        <w:rPr>
          <w:rFonts w:hint="default" w:ascii="Times New Roman" w:hAnsi="Times New Roman" w:eastAsia="仿宋_GB2312" w:cs="Times New Roman"/>
          <w:b w:val="0"/>
          <w:bCs w:val="0"/>
          <w:snapToGrid w:val="0"/>
          <w:color w:val="000000"/>
          <w:kern w:val="32"/>
          <w:sz w:val="32"/>
          <w:szCs w:val="36"/>
        </w:rPr>
        <w:t>完善极端情况下城市运行保障和应急管理体系。加强地面沉降防治。强化海堤、避风港、避风锚地、应急避难场所等防御设施建设、维护、管理。推进安全生产专项整治，</w:t>
      </w:r>
      <w:bookmarkStart w:id="314" w:name="_Hlk218462860"/>
      <w:bookmarkStart w:id="315" w:name="_Hlk219121748"/>
      <w:r>
        <w:rPr>
          <w:rFonts w:hint="default" w:ascii="Times New Roman" w:hAnsi="Times New Roman" w:eastAsia="仿宋_GB2312" w:cs="Times New Roman"/>
          <w:b w:val="0"/>
          <w:bCs w:val="0"/>
          <w:snapToGrid w:val="0"/>
          <w:color w:val="000000"/>
          <w:kern w:val="32"/>
          <w:sz w:val="32"/>
          <w:szCs w:val="36"/>
        </w:rPr>
        <w:t>持续深化危险化学品、消防、特种设备、城市燃气、道路交通、水上交通、建筑施工、高层建筑、天津港区、游艇、渔船船舶、人员密集场所</w:t>
      </w:r>
      <w:bookmarkEnd w:id="314"/>
      <w:r>
        <w:rPr>
          <w:rFonts w:hint="default" w:ascii="Times New Roman" w:hAnsi="Times New Roman" w:eastAsia="仿宋_GB2312" w:cs="Times New Roman"/>
          <w:b w:val="0"/>
          <w:bCs w:val="0"/>
          <w:snapToGrid w:val="0"/>
          <w:color w:val="000000"/>
          <w:kern w:val="32"/>
          <w:sz w:val="32"/>
          <w:szCs w:val="36"/>
        </w:rPr>
        <w:t>等重点领域和区域风险隐患排查整治，</w:t>
      </w:r>
      <w:bookmarkEnd w:id="315"/>
      <w:r>
        <w:rPr>
          <w:rFonts w:hint="default" w:ascii="Times New Roman" w:hAnsi="Times New Roman" w:eastAsia="仿宋_GB2312" w:cs="Times New Roman"/>
          <w:b w:val="0"/>
          <w:bCs w:val="0"/>
          <w:snapToGrid w:val="0"/>
          <w:color w:val="000000"/>
          <w:kern w:val="32"/>
          <w:sz w:val="32"/>
          <w:szCs w:val="36"/>
        </w:rPr>
        <w:t>坚决防范和遏制重特大安全事故。严格落实安全生产责任制，完善安全生产监管体系，强化企业内控与外部监督，加强全链条安全监管。强化安全生产教育培训，加强企业安全生产标准化建设。</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强化危险化学品安全监管。</w:t>
      </w:r>
      <w:bookmarkStart w:id="316" w:name="_Hlk219121826"/>
      <w:r>
        <w:rPr>
          <w:rFonts w:hint="default" w:ascii="Times New Roman" w:hAnsi="Times New Roman" w:eastAsia="仿宋_GB2312" w:cs="Times New Roman"/>
          <w:b w:val="0"/>
          <w:bCs w:val="0"/>
          <w:snapToGrid w:val="0"/>
          <w:color w:val="000000"/>
          <w:kern w:val="32"/>
          <w:sz w:val="32"/>
          <w:szCs w:val="36"/>
        </w:rPr>
        <w:t>加强化工园区一体化管理，重点管控南港工业区、大港石化产业园区、临港新材料产业园等区域安全风险，完成南疆一体化封闭式管理。</w:t>
      </w:r>
      <w:bookmarkEnd w:id="316"/>
      <w:r>
        <w:rPr>
          <w:rFonts w:hint="default" w:ascii="Times New Roman" w:hAnsi="Times New Roman" w:eastAsia="仿宋_GB2312" w:cs="Times New Roman"/>
          <w:b w:val="0"/>
          <w:bCs w:val="0"/>
          <w:snapToGrid w:val="0"/>
          <w:color w:val="000000"/>
          <w:kern w:val="32"/>
          <w:sz w:val="32"/>
          <w:szCs w:val="36"/>
        </w:rPr>
        <w:t>推进智慧化工园区建设，加快建设园区集约化可视化安全监管信息共享平台。实施危险化学品企业、重大危险源企业分级分类精准监管，健全危险化学品企业定点包联管理机制，分类治理化工企业。</w:t>
      </w:r>
    </w:p>
    <w:p>
      <w:pPr>
        <w:keepLines w:val="0"/>
        <w:widowControl w:val="0"/>
        <w:tabs>
          <w:tab w:val="right" w:leader="dot" w:pos="8554"/>
        </w:tabs>
        <w:kinsoku/>
        <w:wordWrap/>
        <w:overflowPunct w:val="0"/>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保障食品药品安全。</w:t>
      </w:r>
      <w:bookmarkStart w:id="317" w:name="_Hlk219121852"/>
      <w:r>
        <w:rPr>
          <w:rFonts w:hint="default" w:ascii="Times New Roman" w:hAnsi="Times New Roman" w:eastAsia="仿宋_GB2312" w:cs="Times New Roman"/>
          <w:b w:val="0"/>
          <w:bCs w:val="0"/>
          <w:snapToGrid w:val="0"/>
          <w:color w:val="000000"/>
          <w:kern w:val="32"/>
          <w:sz w:val="32"/>
          <w:szCs w:val="36"/>
        </w:rPr>
        <w:t>健全食品药品安全责任体系，推进食品安全全链条监管和药品安全全过程监管。</w:t>
      </w:r>
      <w:bookmarkEnd w:id="317"/>
      <w:r>
        <w:rPr>
          <w:rFonts w:hint="default" w:ascii="Times New Roman" w:hAnsi="Times New Roman" w:eastAsia="仿宋_GB2312" w:cs="Times New Roman"/>
          <w:b w:val="0"/>
          <w:bCs w:val="0"/>
          <w:snapToGrid w:val="0"/>
          <w:color w:val="000000"/>
          <w:kern w:val="32"/>
          <w:sz w:val="32"/>
          <w:szCs w:val="36"/>
        </w:rPr>
        <w:t>深化药品安全治理综合改革，定期开展药品安全风险会商评估、舆情监测、预警处置，切实提升药品安全风险应对能力和水平。</w:t>
      </w:r>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加强消防安全。</w:t>
      </w:r>
      <w:bookmarkStart w:id="318" w:name="_Hlk219121865"/>
      <w:r>
        <w:rPr>
          <w:rFonts w:hint="default" w:ascii="Times New Roman" w:hAnsi="Times New Roman" w:eastAsia="仿宋_GB2312" w:cs="Times New Roman"/>
          <w:b w:val="0"/>
          <w:bCs w:val="0"/>
          <w:snapToGrid w:val="0"/>
          <w:color w:val="000000"/>
          <w:kern w:val="32"/>
          <w:sz w:val="32"/>
          <w:szCs w:val="36"/>
        </w:rPr>
        <w:t>严格落实消防安全责任制，构建消防综合治理体系，</w:t>
      </w:r>
      <w:bookmarkEnd w:id="318"/>
      <w:r>
        <w:rPr>
          <w:rFonts w:hint="default" w:ascii="Times New Roman" w:hAnsi="Times New Roman" w:eastAsia="仿宋_GB2312" w:cs="Times New Roman"/>
          <w:b w:val="0"/>
          <w:bCs w:val="0"/>
          <w:snapToGrid w:val="0"/>
          <w:color w:val="000000"/>
          <w:kern w:val="32"/>
          <w:sz w:val="32"/>
          <w:szCs w:val="36"/>
        </w:rPr>
        <w:t>创新消防监管体系，强化重点领域风险管控。加强消防基础设施建设，建设重点区域消防救援站。建立高效火灾扑救体系，提升消防救援能力。强化消防安全教育培训，提升全民消防安全素质。</w:t>
      </w:r>
    </w:p>
    <w:p>
      <w:pPr>
        <w:pStyle w:val="13"/>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推进应急管理体系和能力现代化。</w:t>
      </w:r>
      <w:bookmarkStart w:id="319" w:name="_Hlk219121895"/>
      <w:r>
        <w:rPr>
          <w:rFonts w:hint="default" w:ascii="Times New Roman" w:hAnsi="Times New Roman" w:eastAsia="仿宋_GB2312" w:cs="Times New Roman"/>
          <w:b w:val="0"/>
          <w:bCs w:val="0"/>
          <w:snapToGrid w:val="0"/>
          <w:color w:val="000000"/>
          <w:kern w:val="32"/>
          <w:sz w:val="32"/>
          <w:szCs w:val="36"/>
        </w:rPr>
        <w:t>健全应急管理体制机制，深化“大安全、大应急”工作格局，持续推进“人防、技防、工程防、管理防”。健全应急指挥体系，加强应急综合管理服务机构建设，提升应急响应和联动处置能力。</w:t>
      </w:r>
      <w:bookmarkEnd w:id="319"/>
      <w:r>
        <w:rPr>
          <w:rFonts w:hint="default" w:ascii="Times New Roman" w:hAnsi="Times New Roman" w:eastAsia="仿宋_GB2312" w:cs="Times New Roman"/>
          <w:b w:val="0"/>
          <w:bCs w:val="0"/>
          <w:snapToGrid w:val="0"/>
          <w:color w:val="000000"/>
          <w:kern w:val="32"/>
          <w:sz w:val="32"/>
          <w:szCs w:val="36"/>
        </w:rPr>
        <w:t>完善应急处置机制，加强应急救援保障体系和能力建设，提高防灾减灾救灾和重大突发公共事件处置保障能力，高水平建设危化物资装备库。推进专业救援力量建设，健全区域联动、行业协同机制，提升应急救援队伍协同作战能力，支持社会应急力量发展，建设安全应急实训基地。提升应急管理智能化水平，深化大应急融合平台建设，构建“空天地一体化”监测网络，支持应急平台与重点领域安全风险监测预警系统共建共享。提升基层应急管理能力。</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320" w:name="_Toc219297035"/>
      <w:r>
        <w:rPr>
          <w:rFonts w:hint="default" w:ascii="Times New Roman" w:hAnsi="Times New Roman" w:cs="Times New Roman"/>
          <w:b w:val="0"/>
          <w:bCs w:val="0"/>
          <w:color w:val="000000"/>
        </w:rPr>
        <w:t>第四节  加强和创新社会治理</w:t>
      </w:r>
      <w:bookmarkEnd w:id="320"/>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bookmarkStart w:id="321" w:name="_Hlk219121942"/>
      <w:r>
        <w:rPr>
          <w:rFonts w:hint="default" w:ascii="Times New Roman" w:hAnsi="Times New Roman" w:eastAsia="仿宋_GB2312" w:cs="Times New Roman"/>
          <w:b w:val="0"/>
          <w:bCs w:val="0"/>
          <w:snapToGrid w:val="0"/>
          <w:color w:val="000000"/>
          <w:kern w:val="32"/>
          <w:sz w:val="32"/>
          <w:szCs w:val="36"/>
        </w:rPr>
        <w:t>深入实施党建引领基层治理行动，扎实推进“六治”工程，完善基层治理体系，持续创新“五社联动”治理机制、“五共并举”高效能治理新路径。健全社会工作体制机制，加强社会工作者队伍建设。完善党组织领导的自治、法治、德治相结合城乡基层治理体系，强化新经济组织、新社会组织、新就业群体党的建设。</w:t>
      </w:r>
      <w:bookmarkEnd w:id="321"/>
      <w:r>
        <w:rPr>
          <w:rFonts w:hint="default" w:ascii="Times New Roman" w:hAnsi="Times New Roman" w:eastAsia="仿宋_GB2312" w:cs="Times New Roman"/>
          <w:b w:val="0"/>
          <w:bCs w:val="0"/>
          <w:snapToGrid w:val="0"/>
          <w:color w:val="000000"/>
          <w:kern w:val="32"/>
          <w:sz w:val="32"/>
          <w:szCs w:val="36"/>
        </w:rPr>
        <w:t>加强基层政权建设，全面实施街镇履职事项清单，健全村（社区）重大事项决策机制，全面落实民主决策程序。</w:t>
      </w:r>
      <w:bookmarkStart w:id="322" w:name="_Hlk219121965"/>
      <w:r>
        <w:rPr>
          <w:rFonts w:hint="default" w:ascii="Times New Roman" w:hAnsi="Times New Roman" w:eastAsia="仿宋_GB2312" w:cs="Times New Roman"/>
          <w:b w:val="0"/>
          <w:bCs w:val="0"/>
          <w:snapToGrid w:val="0"/>
          <w:color w:val="000000"/>
          <w:kern w:val="32"/>
          <w:sz w:val="32"/>
          <w:szCs w:val="36"/>
        </w:rPr>
        <w:t>坚持和发展新时代“枫桥经验”，完善社会矛盾纠纷源头预防、排查预警、多元化解机制。高标准推进区、街镇两级综治中心规范化建设，</w:t>
      </w:r>
      <w:bookmarkStart w:id="323" w:name="OLE_LINK7"/>
      <w:r>
        <w:rPr>
          <w:rFonts w:hint="default" w:ascii="Times New Roman" w:hAnsi="Times New Roman" w:eastAsia="仿宋_GB2312" w:cs="Times New Roman"/>
          <w:b w:val="0"/>
          <w:bCs w:val="0"/>
          <w:snapToGrid w:val="0"/>
          <w:color w:val="000000"/>
          <w:kern w:val="32"/>
          <w:sz w:val="32"/>
          <w:szCs w:val="36"/>
        </w:rPr>
        <w:t>积极推进村（社区）综治站建设，</w:t>
      </w:r>
      <w:bookmarkEnd w:id="323"/>
      <w:r>
        <w:rPr>
          <w:rFonts w:hint="default" w:ascii="Times New Roman" w:hAnsi="Times New Roman" w:eastAsia="仿宋_GB2312" w:cs="Times New Roman"/>
          <w:b w:val="0"/>
          <w:bCs w:val="0"/>
          <w:snapToGrid w:val="0"/>
          <w:color w:val="000000"/>
          <w:kern w:val="32"/>
          <w:sz w:val="32"/>
          <w:szCs w:val="36"/>
        </w:rPr>
        <w:t>全面提升矛盾纠纷化解法治化和社会治安综合治理规范化水平。</w:t>
      </w:r>
      <w:bookmarkEnd w:id="322"/>
      <w:r>
        <w:rPr>
          <w:rFonts w:hint="default" w:ascii="Times New Roman" w:hAnsi="Times New Roman" w:eastAsia="仿宋_GB2312" w:cs="Times New Roman"/>
          <w:b w:val="0"/>
          <w:bCs w:val="0"/>
          <w:snapToGrid w:val="0"/>
          <w:color w:val="000000"/>
          <w:kern w:val="32"/>
          <w:sz w:val="32"/>
          <w:szCs w:val="36"/>
        </w:rPr>
        <w:t>推进信访工作法治化。完善人民建议征集渠道，解决好人民群众急难愁盼问题。强化未成年人违法犯罪预防和治理。</w:t>
      </w:r>
    </w:p>
    <w:p>
      <w:pPr>
        <w:pStyle w:val="3"/>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rPr>
      </w:pPr>
      <w:bookmarkStart w:id="324" w:name="_Toc219297036"/>
      <w:r>
        <w:rPr>
          <w:rFonts w:hint="default" w:ascii="Times New Roman" w:hAnsi="Times New Roman" w:cs="Times New Roman"/>
          <w:b w:val="0"/>
          <w:bCs w:val="0"/>
        </w:rPr>
        <w:t>第十四章  完善保障体系建设，促进规划全面有效实施</w:t>
      </w:r>
      <w:bookmarkEnd w:id="324"/>
    </w:p>
    <w:p>
      <w:pPr>
        <w:pStyle w:val="31"/>
        <w:keepLines w:val="0"/>
        <w:widowControl w:val="0"/>
        <w:kinsoku/>
        <w:wordWrap/>
        <w:overflowPunct w:val="0"/>
        <w:topLinePunct w:val="0"/>
        <w:autoSpaceDE/>
        <w:autoSpaceDN/>
        <w:bidi w:val="0"/>
        <w:adjustRightInd/>
        <w:snapToGrid/>
        <w:spacing w:line="560" w:lineRule="exact"/>
        <w:rPr>
          <w:rFonts w:hint="default" w:ascii="Times New Roman" w:hAnsi="Times New Roman" w:cs="Times New Roman"/>
          <w:b w:val="0"/>
          <w:bCs w:val="0"/>
          <w:snapToGrid w:val="0"/>
          <w:color w:val="000000"/>
          <w:kern w:val="32"/>
          <w:szCs w:val="36"/>
        </w:rPr>
      </w:pPr>
      <w:r>
        <w:rPr>
          <w:rFonts w:hint="default" w:ascii="Times New Roman" w:hAnsi="Times New Roman" w:cs="Times New Roman"/>
          <w:b w:val="0"/>
          <w:bCs w:val="0"/>
          <w:snapToGrid w:val="0"/>
          <w:color w:val="000000"/>
          <w:kern w:val="32"/>
          <w:szCs w:val="36"/>
        </w:rPr>
        <w:t>深入贯彻新时代党的建设总要求，以党的自我革命引领社会革命，增强党的政治领导力、思想引领力、群众组织力、社会号召力，把党的领导制度优势转化为治理效能，提高党领导经济社会发展能力和水平，确保各项目标任务落到实处。</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325" w:name="_Toc15372"/>
      <w:bookmarkStart w:id="326" w:name="_Toc23581"/>
      <w:bookmarkStart w:id="327" w:name="_Toc26377"/>
      <w:bookmarkStart w:id="328" w:name="_Toc219297037"/>
      <w:bookmarkStart w:id="329" w:name="_Toc21000"/>
      <w:bookmarkStart w:id="330" w:name="_Toc19032"/>
      <w:bookmarkStart w:id="331" w:name="_Toc20932"/>
      <w:bookmarkStart w:id="332" w:name="_Toc22023"/>
      <w:r>
        <w:rPr>
          <w:rFonts w:hint="default" w:ascii="Times New Roman" w:hAnsi="Times New Roman" w:cs="Times New Roman"/>
          <w:b w:val="0"/>
          <w:bCs w:val="0"/>
          <w:color w:val="000000"/>
        </w:rPr>
        <w:t>第一节</w:t>
      </w:r>
      <w:bookmarkStart w:id="333" w:name="_Toc5336"/>
      <w:bookmarkStart w:id="334" w:name="_Toc19359"/>
      <w:bookmarkStart w:id="335" w:name="_Toc223"/>
      <w:bookmarkStart w:id="336" w:name="_Toc30351"/>
      <w:bookmarkStart w:id="337" w:name="_Toc26022"/>
      <w:bookmarkStart w:id="338" w:name="_Toc6376"/>
      <w:bookmarkStart w:id="339" w:name="_Toc5621"/>
      <w:bookmarkStart w:id="340" w:name="_Toc9725"/>
      <w:bookmarkStart w:id="341" w:name="_Toc15257"/>
      <w:bookmarkStart w:id="342" w:name="_Toc25970"/>
      <w:bookmarkStart w:id="343" w:name="_Toc6096"/>
      <w:bookmarkStart w:id="344" w:name="_Toc20874"/>
      <w:bookmarkStart w:id="345" w:name="_Toc18704"/>
      <w:bookmarkStart w:id="346" w:name="_Toc25035"/>
      <w:bookmarkStart w:id="347" w:name="_Toc134"/>
      <w:r>
        <w:rPr>
          <w:rFonts w:hint="default" w:ascii="Times New Roman" w:hAnsi="Times New Roman" w:cs="Times New Roman"/>
          <w:b w:val="0"/>
          <w:bCs w:val="0"/>
          <w:color w:val="000000"/>
        </w:rPr>
        <w:t xml:space="preserve">  坚持和加强党的领导</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31"/>
        <w:keepLines w:val="0"/>
        <w:widowControl w:val="0"/>
        <w:kinsoku/>
        <w:wordWrap/>
        <w:overflowPunct w:val="0"/>
        <w:topLinePunct w:val="0"/>
        <w:autoSpaceDE/>
        <w:autoSpaceDN/>
        <w:bidi w:val="0"/>
        <w:adjustRightInd/>
        <w:snapToGrid/>
        <w:spacing w:line="560" w:lineRule="exact"/>
        <w:rPr>
          <w:rFonts w:hint="default" w:ascii="Times New Roman" w:hAnsi="Times New Roman" w:cs="Times New Roman"/>
          <w:b w:val="0"/>
          <w:bCs w:val="0"/>
          <w:snapToGrid w:val="0"/>
          <w:color w:val="000000"/>
          <w:kern w:val="32"/>
          <w:szCs w:val="36"/>
        </w:rPr>
      </w:pPr>
      <w:r>
        <w:rPr>
          <w:rFonts w:hint="default" w:ascii="Times New Roman" w:hAnsi="Times New Roman" w:cs="Times New Roman"/>
          <w:b w:val="0"/>
          <w:bCs w:val="0"/>
          <w:snapToGrid w:val="0"/>
          <w:color w:val="000000"/>
          <w:kern w:val="32"/>
          <w:szCs w:val="36"/>
        </w:rPr>
        <w:t>深学深用习近平新时代中国特色社会主义思想，持续用党的创新理论统一思想、统一意志、统一行动。完善贯彻落实习近平总书记重要指示批示和党中央重大决策部署制度机制，确保上下贯通、执行有力。健全和落实民主集中制，严格执行重大事项请示报告制度。加强调查研究，推进科学决策、民主决策、依法决策。深化干部作风能力建设，坚持正确用人导向，树立和践行正确政绩观，大力选拔抢抓机遇、善作善成的好干部，提升各级领导干部适应新时代新要求的本领，增强思想敏锐性、工作前瞻性和落实穿透性，完善干部考核评价机制，推动领导干部能上能下常态化，激励干部锐意进取、担当作为，提高贯彻新发展理念、构建新发展格局的能力和水平。</w:t>
      </w:r>
    </w:p>
    <w:p>
      <w:pPr>
        <w:pStyle w:val="4"/>
        <w:keepLines w:val="0"/>
        <w:widowControl w:val="0"/>
        <w:kinsoku/>
        <w:wordWrap/>
        <w:topLinePunct w:val="0"/>
        <w:autoSpaceDE/>
        <w:autoSpaceDN/>
        <w:bidi w:val="0"/>
        <w:adjustRightInd/>
        <w:snapToGrid/>
        <w:spacing w:before="0" w:beforeLines="0" w:after="0" w:afterLines="0" w:line="560" w:lineRule="exact"/>
        <w:rPr>
          <w:rFonts w:hint="default" w:ascii="Times New Roman" w:hAnsi="Times New Roman" w:cs="Times New Roman"/>
          <w:b w:val="0"/>
          <w:bCs w:val="0"/>
          <w:color w:val="000000"/>
        </w:rPr>
      </w:pPr>
      <w:bookmarkStart w:id="348" w:name="_Toc219297038"/>
      <w:bookmarkStart w:id="349" w:name="_Toc31796"/>
      <w:bookmarkStart w:id="350" w:name="_Toc30378"/>
      <w:bookmarkStart w:id="351" w:name="_Toc22840"/>
      <w:bookmarkStart w:id="352" w:name="_Toc3453"/>
      <w:bookmarkStart w:id="353" w:name="_Toc7944"/>
      <w:bookmarkStart w:id="354" w:name="_Toc60943781"/>
      <w:bookmarkStart w:id="355" w:name="_Toc3614"/>
      <w:bookmarkStart w:id="356" w:name="_Toc29860"/>
      <w:bookmarkStart w:id="357" w:name="_Toc4376"/>
      <w:bookmarkStart w:id="358" w:name="_Toc12813"/>
      <w:bookmarkStart w:id="359" w:name="_Toc15109"/>
      <w:bookmarkStart w:id="360" w:name="_Toc5957"/>
      <w:bookmarkStart w:id="361" w:name="_Toc2116"/>
      <w:bookmarkStart w:id="362" w:name="_Toc12664"/>
      <w:bookmarkStart w:id="363" w:name="_Toc8059"/>
      <w:bookmarkStart w:id="364" w:name="_Toc8973"/>
      <w:bookmarkStart w:id="365" w:name="_Toc23907"/>
      <w:r>
        <w:rPr>
          <w:rFonts w:hint="default" w:ascii="Times New Roman" w:hAnsi="Times New Roman" w:cs="Times New Roman"/>
          <w:b w:val="0"/>
          <w:bCs w:val="0"/>
          <w:color w:val="000000"/>
        </w:rPr>
        <w:t>第二节  推进社会主义民主法治建设</w:t>
      </w:r>
      <w:bookmarkEnd w:id="348"/>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发展社会主义民主政治。支持和保证区人大及其常委会依法履行职权，用好重大事项决定权，持续推进制度创新，加强对“一府一委两院”的监督。丰富人大代表联系人民群众的内容和形式，完善“五联五助”活动机制。完善政协“1+2+4+N”协商工作格局。健全“有事好商量”基层协商议政活动机制，健全民主监督工作机制，提高建言资政和凝聚共识水平。推进基层民主规范化建设，保障人民依法管理基层公共事务和公益事业。充分发挥工会、共青团、妇联等群团组织的桥梁纽带作用，切实做好妇女、儿童、青年、产业工人、残疾人、慈善等工作。完善大统战工作格局，发挥民主党派、工商联、无党派人士和各族各界人士作用，做好民族、宗教和港澳台侨等统战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推进法治滨海建设。巩固深化全国法治政府建设示范区创建成果，健全行政复议体制机制和基层综合执法体制机制，构建具有滨海特色的法治政府治理体系。规范涉企执法，坚决纠治多头执法、重复执法、违规异地执法、趋利性执法。推进行政执法和执法监督一体化、信息化建设，强化跨部门执法司法协同和监督。健全司法公正实现和评价机制，加大知识产权、涉外、破产、金融、环资等审判力度，切实维护社会公平正义。强化检察监督，加强公益诉讼。大力弘扬社会主义法治理念和精神，深化法治社会建设，落实普法责任制，推进全社会多层次多领域依法治理。建立健全覆盖城乡居民的公共法律服务体系，提升便民惠民法律服务水平。健全涉外法治工作制度机制，强化涉外法治能力建设。</w:t>
      </w:r>
      <w:bookmarkStart w:id="366" w:name="_Toc219297039"/>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color w:val="000000"/>
        </w:rPr>
      </w:pPr>
      <w:r>
        <w:rPr>
          <w:rFonts w:hint="default" w:ascii="Times New Roman" w:hAnsi="Times New Roman" w:eastAsia="楷体_GB2312" w:cs="Times New Roman"/>
          <w:b w:val="0"/>
          <w:bCs w:val="0"/>
          <w:color w:val="000000"/>
          <w:sz w:val="32"/>
          <w:szCs w:val="32"/>
        </w:rPr>
        <w:t>第三节</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default" w:ascii="Times New Roman" w:hAnsi="Times New Roman" w:eastAsia="楷体_GB2312" w:cs="Times New Roman"/>
          <w:b w:val="0"/>
          <w:bCs w:val="0"/>
          <w:color w:val="000000"/>
          <w:sz w:val="32"/>
          <w:szCs w:val="32"/>
        </w:rPr>
        <w:t xml:space="preserve">  完善规划实施保障体系</w:t>
      </w:r>
      <w:bookmarkEnd w:id="366"/>
    </w:p>
    <w:p>
      <w:pPr>
        <w:keepLines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napToGrid w:val="0"/>
          <w:color w:val="000000"/>
          <w:kern w:val="32"/>
          <w:sz w:val="32"/>
          <w:szCs w:val="36"/>
        </w:rPr>
      </w:pPr>
      <w:r>
        <w:rPr>
          <w:rFonts w:hint="default" w:ascii="Times New Roman" w:hAnsi="Times New Roman" w:eastAsia="仿宋_GB2312" w:cs="Times New Roman"/>
          <w:b w:val="0"/>
          <w:bCs w:val="0"/>
          <w:snapToGrid w:val="0"/>
          <w:color w:val="000000"/>
          <w:kern w:val="32"/>
          <w:sz w:val="32"/>
          <w:szCs w:val="36"/>
        </w:rPr>
        <w:t>健全规划实施机制。</w:t>
      </w:r>
      <w:bookmarkStart w:id="367" w:name="_Toc31205"/>
      <w:bookmarkStart w:id="368" w:name="_Toc21265"/>
      <w:bookmarkStart w:id="369" w:name="_Toc8142"/>
      <w:bookmarkStart w:id="370" w:name="_Toc26480"/>
      <w:bookmarkStart w:id="371" w:name="_Toc8342"/>
      <w:bookmarkStart w:id="372" w:name="_Toc8512"/>
      <w:bookmarkStart w:id="373" w:name="_Toc6563"/>
      <w:bookmarkStart w:id="374" w:name="_Toc11951"/>
      <w:bookmarkStart w:id="375" w:name="_Toc15193"/>
      <w:bookmarkStart w:id="376" w:name="_Toc12140"/>
      <w:bookmarkStart w:id="377" w:name="_Toc1344"/>
      <w:bookmarkStart w:id="378" w:name="_Toc12281"/>
      <w:bookmarkStart w:id="379" w:name="_Toc16277"/>
      <w:bookmarkStart w:id="380" w:name="_Toc16980"/>
      <w:bookmarkStart w:id="381" w:name="_Toc16213"/>
      <w:bookmarkStart w:id="382" w:name="_Toc27473"/>
      <w:bookmarkStart w:id="383" w:name="_Toc9151"/>
      <w:bookmarkStart w:id="384" w:name="_Toc17046"/>
      <w:bookmarkStart w:id="385" w:name="_Toc49"/>
      <w:bookmarkStart w:id="386" w:name="_Toc23444"/>
      <w:bookmarkStart w:id="387" w:name="_Toc26551"/>
      <w:bookmarkStart w:id="388" w:name="_Toc31086"/>
      <w:r>
        <w:rPr>
          <w:rFonts w:hint="default" w:ascii="Times New Roman" w:hAnsi="Times New Roman" w:eastAsia="仿宋_GB2312" w:cs="Times New Roman"/>
          <w:b w:val="0"/>
          <w:bCs w:val="0"/>
          <w:snapToGrid w:val="0"/>
          <w:color w:val="000000"/>
          <w:kern w:val="32"/>
          <w:sz w:val="32"/>
          <w:szCs w:val="36"/>
        </w:rPr>
        <w:t>强化经济社会发展规划的统领作用、空间规划的基础作用、专项规划和区域规划的支撑作用，形成定位准确、边界清晰、功能互补、统一衔接的规划体系。建立健全规划衔接协调机制，明确衔接原则和重点，确保各级各类规划协调一致。各开发区、各部门、各街镇制定区域规划、专项规划、年度计划、审批核准重大项目、安排政府投资和财政支出预算、制定特定领域相关政策，要严格贯彻落实本规划的战略意图和主要任务，维护规划的严肃性和权威性。健全政策协调、工作协同、责任落实机制。</w:t>
      </w: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cs="Times New Roman"/>
          <w:b w:val="0"/>
          <w:bCs w:val="0"/>
          <w:snapToGrid w:val="0"/>
          <w:color w:val="000000"/>
          <w:kern w:val="32"/>
          <w:szCs w:val="36"/>
        </w:rPr>
      </w:pPr>
      <w:bookmarkStart w:id="389" w:name="_Toc30442"/>
      <w:bookmarkStart w:id="390" w:name="_Toc5656"/>
      <w:bookmarkStart w:id="391" w:name="_Toc22888"/>
      <w:bookmarkStart w:id="392" w:name="_Toc28786"/>
      <w:bookmarkStart w:id="393" w:name="_Toc20373"/>
      <w:bookmarkStart w:id="394" w:name="_Toc9274"/>
      <w:bookmarkStart w:id="395" w:name="_Toc7592"/>
      <w:r>
        <w:rPr>
          <w:rFonts w:hint="default" w:ascii="Times New Roman" w:hAnsi="Times New Roman" w:cs="Times New Roman"/>
          <w:b w:val="0"/>
          <w:bCs w:val="0"/>
          <w:snapToGrid w:val="0"/>
          <w:color w:val="000000"/>
          <w:kern w:val="32"/>
          <w:szCs w:val="36"/>
        </w:rPr>
        <w:t>强化规划项目支撑。强化重大项目实施载体作用，坚持</w:t>
      </w:r>
      <w:bookmarkStart w:id="396" w:name="OLE_LINK11"/>
      <w:r>
        <w:rPr>
          <w:rFonts w:hint="default" w:ascii="Times New Roman" w:hAnsi="Times New Roman" w:cs="Times New Roman"/>
          <w:b w:val="0"/>
          <w:bCs w:val="0"/>
          <w:snapToGrid w:val="0"/>
          <w:color w:val="000000"/>
          <w:kern w:val="32"/>
          <w:szCs w:val="36"/>
        </w:rPr>
        <w:t>以规划确定项目、以项目落实规划，组织实施好一批关系全局和长远发展的重大项目</w:t>
      </w:r>
      <w:bookmarkEnd w:id="396"/>
      <w:r>
        <w:rPr>
          <w:rFonts w:hint="default" w:ascii="Times New Roman" w:hAnsi="Times New Roman" w:cs="Times New Roman"/>
          <w:b w:val="0"/>
          <w:bCs w:val="0"/>
          <w:snapToGrid w:val="0"/>
          <w:color w:val="000000"/>
          <w:kern w:val="32"/>
          <w:szCs w:val="36"/>
        </w:rPr>
        <w:t>。加强财政预算与规划实施的衔接协调，统筹人民需要和财力可能，合理安排财政支出规模和结构，区级财政性资金优先投向本规划确定的重大任务和重大工程项目。高度统筹软建设与硬投资，提前落位储备项目，提前谋划建设资金筹集方式，完善资金拼盘，确保项目谋得出、落得下、建得成。</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cs="Times New Roman"/>
          <w:b w:val="0"/>
          <w:bCs w:val="0"/>
          <w:snapToGrid w:val="0"/>
          <w:color w:val="000000"/>
          <w:kern w:val="32"/>
          <w:szCs w:val="36"/>
        </w:rPr>
      </w:pPr>
      <w:r>
        <w:rPr>
          <w:rFonts w:hint="default" w:ascii="Times New Roman" w:hAnsi="Times New Roman" w:cs="Times New Roman"/>
          <w:b w:val="0"/>
          <w:bCs w:val="0"/>
          <w:snapToGrid w:val="0"/>
          <w:color w:val="000000"/>
          <w:kern w:val="32"/>
          <w:szCs w:val="36"/>
        </w:rPr>
        <w:t>强化规划实施监测评估。健全动态监测、中期评估、总结评估的规划评估体系，根据评估结果及时提出加强和改进规划实施的政策举措，鼓励开展第三方评估。经评估确需调整时，报区人大同意后进行动态调整。强化规划实施监督监测机制，自觉接受人大监督、审计监督和社会监督，注重发挥工会、共青团、妇联等群众组织和人民政协、各民主党派、工商联、无党派人士对规划实施情况的监督作用，积极开展公众评价，最大限度凝聚社会共识。</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cs="Times New Roman"/>
          <w:b w:val="0"/>
          <w:bCs w:val="0"/>
          <w:snapToGrid w:val="0"/>
          <w:color w:val="000000"/>
          <w:kern w:val="32"/>
          <w:szCs w:val="36"/>
        </w:rPr>
      </w:pPr>
      <w:r>
        <w:rPr>
          <w:rFonts w:hint="default" w:ascii="Times New Roman" w:hAnsi="Times New Roman" w:cs="Times New Roman"/>
          <w:b w:val="0"/>
          <w:bCs w:val="0"/>
          <w:snapToGrid w:val="0"/>
          <w:color w:val="000000"/>
          <w:kern w:val="32"/>
          <w:szCs w:val="36"/>
        </w:rPr>
        <w:t>加强规划全过程预期管理。</w:t>
      </w:r>
      <w:bookmarkStart w:id="397" w:name="OLE_LINK5"/>
      <w:r>
        <w:rPr>
          <w:rFonts w:hint="default" w:ascii="Times New Roman" w:hAnsi="Times New Roman" w:cs="Times New Roman"/>
          <w:b w:val="0"/>
          <w:bCs w:val="0"/>
          <w:snapToGrid w:val="0"/>
          <w:color w:val="000000"/>
          <w:kern w:val="32"/>
          <w:szCs w:val="36"/>
        </w:rPr>
        <w:t>充分发挥国民经济和社会发展规划对预期引领作用，强化宏观战略指导功能，加强对市场、企业和社会公众的宏观指引、统筹协调，形成明确稳定的长期预期。加强中长期规划对重大战略任务、重大政策举措、重大工程项目谋划的指引，有效牵引发展预期。做好年度计划和中长期规划有效衔接，明确重点项目任务实施要求，明确宏观政策取向和配套政策举措，强化落实督导，稳定社会预期。增强宏观政策取向一致性和有效性，将各类经济政策和非经济政策、存量政策和增量政策纳入宏观政策取向一致性评估。</w:t>
      </w:r>
    </w:p>
    <w:bookmarkEnd w:id="389"/>
    <w:bookmarkEnd w:id="390"/>
    <w:bookmarkEnd w:id="391"/>
    <w:bookmarkEnd w:id="392"/>
    <w:bookmarkEnd w:id="393"/>
    <w:bookmarkEnd w:id="394"/>
    <w:bookmarkEnd w:id="395"/>
    <w:bookmarkEnd w:id="397"/>
    <w:p>
      <w:pPr>
        <w:pStyle w:val="31"/>
        <w:keepLines w:val="0"/>
        <w:widowControl w:val="0"/>
        <w:kinsoku/>
        <w:wordWrap/>
        <w:overflowPunct w:val="0"/>
        <w:topLinePunct w:val="0"/>
        <w:autoSpaceDE/>
        <w:autoSpaceDN/>
        <w:bidi w:val="0"/>
        <w:adjustRightInd/>
        <w:snapToGrid/>
        <w:spacing w:line="560" w:lineRule="exact"/>
        <w:rPr>
          <w:rFonts w:hint="default" w:ascii="Times New Roman" w:hAnsi="Times New Roman" w:cs="Times New Roman"/>
          <w:b w:val="0"/>
          <w:bCs w:val="0"/>
          <w:snapToGrid w:val="0"/>
          <w:color w:val="000000"/>
          <w:kern w:val="32"/>
          <w:szCs w:val="36"/>
        </w:rPr>
      </w:pPr>
      <w:r>
        <w:rPr>
          <w:rFonts w:hint="default" w:ascii="Times New Roman" w:hAnsi="Times New Roman" w:cs="Times New Roman"/>
          <w:b w:val="0"/>
          <w:bCs w:val="0"/>
          <w:snapToGrid w:val="0"/>
          <w:color w:val="000000"/>
          <w:kern w:val="32"/>
          <w:szCs w:val="36"/>
        </w:rPr>
        <w:t>“十五五”规划目标宏伟、任务艰巨，全区各级党组织和广大党员干部群众，要紧密团结在以习近平同志为核心的党中央周围，在区委的坚强领导下，凝心聚力、接续奋斗，挺膺担当、善作善成，加快建设社会主义现代化建设先行区，聚力打造中国式现代化“滨城”样板，为奋力谱写中国式现代化天津篇章作出新的更大贡献！</w:t>
      </w:r>
    </w:p>
    <w:p>
      <w:pPr>
        <w:keepLines w:val="0"/>
        <w:widowControl w:val="0"/>
        <w:kinsoku/>
        <w:wordWrap/>
        <w:topLinePunct w:val="0"/>
        <w:autoSpaceDE/>
        <w:autoSpaceDN/>
        <w:bidi w:val="0"/>
        <w:adjustRightInd/>
        <w:snapToGrid/>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br w:type="page"/>
      </w:r>
      <w:r>
        <w:rPr>
          <w:rFonts w:hint="default" w:ascii="Times New Roman" w:hAnsi="Times New Roman" w:eastAsia="方正小标宋简体" w:cs="Times New Roman"/>
          <w:b w:val="0"/>
          <w:bCs w:val="0"/>
          <w:sz w:val="36"/>
          <w:szCs w:val="36"/>
        </w:rPr>
        <w:t>名词解释</w:t>
      </w:r>
    </w:p>
    <w:p>
      <w:pPr>
        <w:pStyle w:val="2"/>
        <w:keepLines w:val="0"/>
        <w:widowControl w:val="0"/>
        <w:kinsoku/>
        <w:wordWrap/>
        <w:topLinePunct w:val="0"/>
        <w:autoSpaceDE/>
        <w:autoSpaceDN/>
        <w:bidi w:val="0"/>
        <w:adjustRightInd/>
        <w:snapToGrid/>
        <w:spacing w:line="560" w:lineRule="exact"/>
        <w:jc w:val="center"/>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（按名词在报告中出现先后为序）</w:t>
      </w:r>
    </w:p>
    <w:p>
      <w:pPr>
        <w:keepLines w:val="0"/>
        <w:widowControl w:val="0"/>
        <w:kinsoku/>
        <w:wordWrap/>
        <w:topLinePunct w:val="0"/>
        <w:autoSpaceDE/>
        <w:autoSpaceDN/>
        <w:bidi w:val="0"/>
        <w:adjustRightInd/>
        <w:snapToGrid/>
        <w:spacing w:line="560" w:lineRule="exact"/>
        <w:ind w:firstLine="640" w:firstLineChars="200"/>
        <w:rPr>
          <w:rFonts w:hint="default" w:ascii="Times New Roman" w:hAnsi="Times New Roman" w:eastAsia="仿宋_GB2312" w:cs="Times New Roman"/>
          <w:b w:val="0"/>
          <w:bCs w:val="0"/>
          <w:sz w:val="32"/>
          <w:szCs w:val="32"/>
        </w:rPr>
      </w:pP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1.同事同标：</w:t>
      </w:r>
      <w:r>
        <w:rPr>
          <w:rFonts w:hint="default" w:ascii="Times New Roman" w:hAnsi="Times New Roman" w:eastAsia="仿宋_GB2312" w:cs="Times New Roman"/>
          <w:b w:val="0"/>
          <w:bCs w:val="0"/>
          <w:snapToGrid w:val="0"/>
          <w:color w:val="000000"/>
          <w:kern w:val="32"/>
          <w:szCs w:val="36"/>
        </w:rPr>
        <w:t>指在京津冀协同发展背景下，天津市与北京</w:t>
      </w:r>
      <w:r>
        <w:rPr>
          <w:rFonts w:hint="eastAsia" w:cs="Times New Roman"/>
          <w:b w:val="0"/>
          <w:bCs w:val="0"/>
          <w:snapToGrid w:val="0"/>
          <w:color w:val="000000"/>
          <w:kern w:val="32"/>
          <w:szCs w:val="36"/>
          <w:lang w:eastAsia="zh-CN"/>
        </w:rPr>
        <w:t>市</w:t>
      </w:r>
      <w:r>
        <w:rPr>
          <w:rFonts w:hint="default" w:ascii="Times New Roman" w:hAnsi="Times New Roman" w:eastAsia="仿宋_GB2312" w:cs="Times New Roman"/>
          <w:b w:val="0"/>
          <w:bCs w:val="0"/>
          <w:snapToGrid w:val="0"/>
          <w:color w:val="000000"/>
          <w:kern w:val="32"/>
          <w:szCs w:val="36"/>
        </w:rPr>
        <w:t>、河北</w:t>
      </w:r>
      <w:r>
        <w:rPr>
          <w:rFonts w:hint="eastAsia" w:cs="Times New Roman"/>
          <w:b w:val="0"/>
          <w:bCs w:val="0"/>
          <w:snapToGrid w:val="0"/>
          <w:color w:val="000000"/>
          <w:kern w:val="32"/>
          <w:szCs w:val="36"/>
          <w:lang w:eastAsia="zh-CN"/>
        </w:rPr>
        <w:t>省</w:t>
      </w:r>
      <w:r>
        <w:rPr>
          <w:rFonts w:hint="default" w:ascii="Times New Roman" w:hAnsi="Times New Roman" w:eastAsia="仿宋_GB2312" w:cs="Times New Roman"/>
          <w:b w:val="0"/>
          <w:bCs w:val="0"/>
          <w:snapToGrid w:val="0"/>
          <w:color w:val="000000"/>
          <w:kern w:val="32"/>
          <w:szCs w:val="36"/>
        </w:rPr>
        <w:t>共同推行的一种政务服务机制，旨在实现政务服务事项在跨区域办理时无差别受理、同标准办理，从而提升政务服务一体化水平，促进区域要素自由流动。</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2.一个平台统服务：</w:t>
      </w:r>
      <w:r>
        <w:rPr>
          <w:rFonts w:hint="default" w:ascii="Times New Roman" w:hAnsi="Times New Roman" w:eastAsia="仿宋_GB2312" w:cs="Times New Roman"/>
          <w:b w:val="0"/>
          <w:bCs w:val="0"/>
          <w:snapToGrid w:val="0"/>
          <w:color w:val="000000"/>
          <w:kern w:val="32"/>
          <w:szCs w:val="36"/>
        </w:rPr>
        <w:t>指天津市滨海新区推出的综合改革举措，旨在通过整合各类服务资源，为企业和群众提供一站式、全流程的高效服务。</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3.十大有效投资工程：</w:t>
      </w:r>
      <w:r>
        <w:rPr>
          <w:rFonts w:hint="default" w:ascii="Times New Roman" w:hAnsi="Times New Roman" w:eastAsia="仿宋_GB2312" w:cs="Times New Roman"/>
          <w:b w:val="0"/>
          <w:bCs w:val="0"/>
          <w:snapToGrid w:val="0"/>
          <w:color w:val="000000"/>
          <w:kern w:val="32"/>
          <w:szCs w:val="36"/>
        </w:rPr>
        <w:t>轨道交通系统工程、双港集疏运工程、城市交通承载力工程、城市更新改造工程、新型城镇化工程、社会事业提质工程、市政配套完善工程、生态环境提升工程、文旅商业提升工程、新型基础设施工程。</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4.一基地三区：</w:t>
      </w:r>
      <w:r>
        <w:rPr>
          <w:rFonts w:hint="default" w:ascii="Times New Roman" w:hAnsi="Times New Roman" w:eastAsia="仿宋_GB2312" w:cs="Times New Roman"/>
          <w:b w:val="0"/>
          <w:bCs w:val="0"/>
          <w:snapToGrid w:val="0"/>
          <w:color w:val="000000"/>
          <w:kern w:val="32"/>
          <w:szCs w:val="36"/>
        </w:rPr>
        <w:t>《京津冀协同发展规划纲要》赋予天津全国先进制造研发基地、北方国际航运核心区、金融创新运营示范区、改革开放先行区功能定位。</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5.“五型”开放：</w:t>
      </w:r>
      <w:r>
        <w:rPr>
          <w:rFonts w:hint="default" w:ascii="Times New Roman" w:hAnsi="Times New Roman" w:eastAsia="仿宋_GB2312" w:cs="Times New Roman"/>
          <w:b w:val="0"/>
          <w:bCs w:val="0"/>
          <w:snapToGrid w:val="0"/>
          <w:color w:val="000000"/>
          <w:kern w:val="32"/>
          <w:szCs w:val="36"/>
        </w:rPr>
        <w:t>通道型开放、平台型开放、海洋型开放、制度型开放、都市型开放。</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6.六链五群：</w:t>
      </w:r>
      <w:r>
        <w:rPr>
          <w:rFonts w:hint="default" w:ascii="Times New Roman" w:hAnsi="Times New Roman" w:eastAsia="仿宋_GB2312" w:cs="Times New Roman"/>
          <w:b w:val="0"/>
          <w:bCs w:val="0"/>
          <w:snapToGrid w:val="0"/>
          <w:color w:val="000000"/>
          <w:kern w:val="32"/>
          <w:szCs w:val="36"/>
        </w:rPr>
        <w:t>京津冀三地聚焦重点产业，确定了“六链五群”的产业协同工作重点。</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六链</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指氢能、生物医药、网络安全和工业互联网、高端仪器设备和工业母机、新能源和智能网联汽车、机器人产业链；</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五群</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指集成电路、新一代信息技术应用创新、生物医药、电力装备、安全应急装备产业集群。</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7.四个面向：</w:t>
      </w:r>
      <w:r>
        <w:rPr>
          <w:rFonts w:hint="default" w:ascii="Times New Roman" w:hAnsi="Times New Roman" w:eastAsia="仿宋_GB2312" w:cs="Times New Roman"/>
          <w:b w:val="0"/>
          <w:bCs w:val="0"/>
          <w:snapToGrid w:val="0"/>
          <w:color w:val="000000"/>
          <w:kern w:val="32"/>
          <w:szCs w:val="36"/>
        </w:rPr>
        <w:t>指坚持面向世界科技前沿、面向经济主战场、面向国家重大需求、面向人民生命健康。</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8.投贷保担：</w:t>
      </w:r>
      <w:r>
        <w:rPr>
          <w:rFonts w:hint="default" w:ascii="Times New Roman" w:hAnsi="Times New Roman" w:eastAsia="仿宋_GB2312" w:cs="Times New Roman"/>
          <w:b w:val="0"/>
          <w:bCs w:val="0"/>
          <w:snapToGrid w:val="0"/>
          <w:color w:val="000000"/>
          <w:kern w:val="32"/>
          <w:szCs w:val="36"/>
        </w:rPr>
        <w:t>《天津市支持创业投资高质量发展若干措施》中提出，创新科技担保和风险补偿模式，支持担保机构、银行机构与创业投资机构合作，创新“积分贷+积分担+积分投”投贷担联动模式。</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9.三个集中：</w:t>
      </w:r>
      <w:r>
        <w:rPr>
          <w:rFonts w:hint="default" w:ascii="Times New Roman" w:hAnsi="Times New Roman" w:eastAsia="仿宋_GB2312" w:cs="Times New Roman"/>
          <w:b w:val="0"/>
          <w:bCs w:val="0"/>
          <w:snapToGrid w:val="0"/>
          <w:color w:val="000000"/>
          <w:kern w:val="32"/>
          <w:szCs w:val="36"/>
        </w:rPr>
        <w:t>国有资本向关系国家安全、国民经济命脉的重要行业和关键领域集中，向关系国计民生的公共服务、应急能力、公益性领域等集中，向前瞻性战略性新兴产业集中。</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10.“四级网格”体系：</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区级—街镇—社区（村）—基础网格</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四级网格治理体系。</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11.快干普支微：</w:t>
      </w:r>
      <w:r>
        <w:rPr>
          <w:rFonts w:hint="default" w:ascii="Times New Roman" w:hAnsi="Times New Roman" w:eastAsia="仿宋_GB2312" w:cs="Times New Roman"/>
          <w:b w:val="0"/>
          <w:bCs w:val="0"/>
          <w:snapToGrid w:val="0"/>
          <w:color w:val="000000"/>
          <w:kern w:val="32"/>
          <w:szCs w:val="36"/>
        </w:rPr>
        <w:t>指快线、干线、普线、支线和微循环等不同功能层次的公交线路组合。</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12.“十所百站”示范工程：</w:t>
      </w:r>
      <w:r>
        <w:rPr>
          <w:rFonts w:hint="default" w:ascii="Times New Roman" w:hAnsi="Times New Roman" w:eastAsia="仿宋_GB2312" w:cs="Times New Roman"/>
          <w:b w:val="0"/>
          <w:bCs w:val="0"/>
          <w:snapToGrid w:val="0"/>
          <w:color w:val="000000"/>
          <w:kern w:val="32"/>
          <w:szCs w:val="36"/>
        </w:rPr>
        <w:t>滨海新区积极拓展延伸新时代文明实践工作载体，实施“十所百站”示范工程，结合阵地建设、队伍管理、活动内容、群众反响等方面情况打造10个标杆所、100个示范站。</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13.一屏一带三区五廊道：</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一屏</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指双城间绿色生态屏障；</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一带</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指东部蓝色海湾带；</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三区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指天津北大港湿地、塘沽盐田、汉沽盐田形成三大生态片区；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五廊道</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指蓟运河绿廊、永定新河—潮白新河绿廊、海河绿廊、独流减河绿廊、子牙新河绿廊。</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lang w:val="en"/>
        </w:rPr>
      </w:pPr>
      <w:r>
        <w:rPr>
          <w:rFonts w:hint="default" w:ascii="Times New Roman" w:hAnsi="Times New Roman" w:eastAsia="仿宋_GB2312" w:cs="Times New Roman"/>
          <w:b w:val="0"/>
          <w:bCs w:val="0"/>
          <w:szCs w:val="32"/>
        </w:rPr>
        <w:t>14.源网荷储：</w:t>
      </w:r>
      <w:r>
        <w:rPr>
          <w:rFonts w:hint="default" w:ascii="Times New Roman" w:hAnsi="Times New Roman" w:eastAsia="仿宋_GB2312" w:cs="Times New Roman"/>
          <w:b w:val="0"/>
          <w:bCs w:val="0"/>
          <w:snapToGrid w:val="0"/>
          <w:color w:val="000000"/>
          <w:kern w:val="32"/>
          <w:szCs w:val="36"/>
          <w:lang w:val="en"/>
        </w:rPr>
        <w:t>以电源、电网、负荷、储能为核心要素的新型电力系统协同运行模式。</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15.六治：</w:t>
      </w:r>
      <w:r>
        <w:rPr>
          <w:rFonts w:hint="default" w:ascii="Times New Roman" w:hAnsi="Times New Roman" w:eastAsia="仿宋_GB2312" w:cs="Times New Roman"/>
          <w:b w:val="0"/>
          <w:bCs w:val="0"/>
          <w:snapToGrid w:val="0"/>
          <w:color w:val="000000"/>
          <w:kern w:val="32"/>
          <w:szCs w:val="36"/>
        </w:rPr>
        <w:t>政治引领、综治能动、法治保障、德治教化、自治强基、智治支撑。</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16.“五社联动”治理机制：</w:t>
      </w:r>
      <w:r>
        <w:rPr>
          <w:rFonts w:hint="default" w:ascii="Times New Roman" w:hAnsi="Times New Roman" w:eastAsia="仿宋_GB2312" w:cs="Times New Roman"/>
          <w:b w:val="0"/>
          <w:bCs w:val="0"/>
          <w:snapToGrid w:val="0"/>
          <w:color w:val="000000"/>
          <w:kern w:val="32"/>
          <w:szCs w:val="36"/>
        </w:rPr>
        <w:t>坚持党建引领，发挥村委会、居委会作用，以社区为平台、以社会组织为载体、以社会工作者为支撑、以社区志愿者为辅助、以社会慈善资源为补充的现代基层治理行动框架。</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17.五共并举：</w:t>
      </w:r>
      <w:r>
        <w:rPr>
          <w:rFonts w:hint="default" w:ascii="Times New Roman" w:hAnsi="Times New Roman" w:eastAsia="仿宋_GB2312" w:cs="Times New Roman"/>
          <w:b w:val="0"/>
          <w:bCs w:val="0"/>
          <w:snapToGrid w:val="0"/>
          <w:color w:val="000000"/>
          <w:kern w:val="32"/>
          <w:szCs w:val="36"/>
        </w:rPr>
        <w:t>决策共谋、发展共建、滨城共管、效果共评、成果共享。</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18.“四级网格”体系：</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区级—街镇—社区（村）—基础网格</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四级网格治理体系。</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19.党建引领共同缔造·基层党建六项行动：</w:t>
      </w:r>
      <w:r>
        <w:rPr>
          <w:rFonts w:hint="default" w:ascii="Times New Roman" w:hAnsi="Times New Roman" w:eastAsia="仿宋_GB2312" w:cs="Times New Roman"/>
          <w:b w:val="0"/>
          <w:bCs w:val="0"/>
          <w:snapToGrid w:val="0"/>
          <w:color w:val="000000"/>
          <w:kern w:val="32"/>
          <w:szCs w:val="36"/>
        </w:rPr>
        <w:t>农村党建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振兴</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行动、城市社区党建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引领</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行动、机关党建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示范</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行动、国企党建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加力</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行动、事业单位党建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对标</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行动和</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两新</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组织党建</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凝聚</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行动。</w:t>
      </w:r>
    </w:p>
    <w:p>
      <w:pPr>
        <w:pStyle w:val="31"/>
        <w:keepLines w:val="0"/>
        <w:widowControl w:val="0"/>
        <w:kinsoku/>
        <w:wordWrap/>
        <w:overflowPunct w:val="0"/>
        <w:topLinePunct w:val="0"/>
        <w:autoSpaceDE/>
        <w:autoSpaceDN/>
        <w:bidi w:val="0"/>
        <w:adjustRightInd/>
        <w:snapToGrid/>
        <w:spacing w:line="560" w:lineRule="exact"/>
        <w:ind w:firstLine="643"/>
        <w:rPr>
          <w:rFonts w:hint="default" w:ascii="Times New Roman" w:hAnsi="Times New Roman" w:eastAsia="仿宋_GB2312" w:cs="Times New Roman"/>
          <w:b w:val="0"/>
          <w:bCs w:val="0"/>
          <w:snapToGrid w:val="0"/>
          <w:color w:val="000000"/>
          <w:kern w:val="32"/>
          <w:szCs w:val="36"/>
        </w:rPr>
      </w:pPr>
      <w:r>
        <w:rPr>
          <w:rFonts w:hint="default" w:ascii="Times New Roman" w:hAnsi="Times New Roman" w:eastAsia="仿宋_GB2312" w:cs="Times New Roman"/>
          <w:b w:val="0"/>
          <w:bCs w:val="0"/>
          <w:szCs w:val="32"/>
        </w:rPr>
        <w:t>20.“1+2+4+N”协商工作格局：</w:t>
      </w:r>
      <w:r>
        <w:rPr>
          <w:rFonts w:hint="default" w:ascii="Times New Roman" w:hAnsi="Times New Roman" w:eastAsia="仿宋_GB2312" w:cs="Times New Roman"/>
          <w:b w:val="0"/>
          <w:bCs w:val="0"/>
          <w:snapToGrid w:val="0"/>
          <w:color w:val="000000"/>
          <w:kern w:val="32"/>
          <w:szCs w:val="36"/>
        </w:rPr>
        <w:t>全年安排1次全委会议整体协商、2次专题议政性常委会会议、4次专题协商座谈会，开展N次“有事好商量</w:t>
      </w:r>
      <w:r>
        <w:rPr>
          <w:rFonts w:hint="default" w:ascii="Times New Roman" w:hAnsi="Times New Roman" w:eastAsia="仿宋_GB2312" w:cs="Times New Roman"/>
          <w:b w:val="0"/>
          <w:bCs w:val="0"/>
          <w:snapToGrid w:val="0"/>
          <w:color w:val="000000"/>
          <w:kern w:val="32"/>
          <w:szCs w:val="36"/>
          <w:lang w:val="en"/>
        </w:rPr>
        <w:t>”</w:t>
      </w:r>
      <w:r>
        <w:rPr>
          <w:rFonts w:hint="default" w:ascii="Times New Roman" w:hAnsi="Times New Roman" w:eastAsia="仿宋_GB2312" w:cs="Times New Roman"/>
          <w:b w:val="0"/>
          <w:bCs w:val="0"/>
          <w:snapToGrid w:val="0"/>
          <w:color w:val="000000"/>
          <w:kern w:val="32"/>
          <w:szCs w:val="36"/>
        </w:rPr>
        <w:t>基层协商系列活动。</w:t>
      </w:r>
    </w:p>
    <w:p>
      <w:pPr>
        <w:spacing w:line="580" w:lineRule="exact"/>
        <w:rPr>
          <w:rFonts w:hint="default" w:ascii="Times New Roman" w:hAnsi="Times New Roman" w:eastAsia="黑体" w:cs="Times New Roman"/>
          <w:b w:val="0"/>
          <w:bCs w:val="0"/>
          <w:sz w:val="32"/>
          <w:szCs w:val="32"/>
        </w:rPr>
      </w:pPr>
    </w:p>
    <w:p>
      <w:pPr>
        <w:spacing w:line="580" w:lineRule="exact"/>
        <w:rPr>
          <w:rFonts w:hint="default" w:ascii="Times New Roman" w:hAnsi="Times New Roman" w:eastAsia="黑体" w:cs="Times New Roman"/>
          <w:b w:val="0"/>
          <w:bCs w:val="0"/>
          <w:sz w:val="32"/>
          <w:szCs w:val="32"/>
        </w:rPr>
      </w:pPr>
    </w:p>
    <w:p>
      <w:pPr>
        <w:spacing w:line="20" w:lineRule="exact"/>
        <w:rPr>
          <w:rFonts w:hint="default" w:ascii="Times New Roman" w:hAnsi="Times New Roman" w:cs="Times New Roman"/>
          <w:b w:val="0"/>
          <w:bCs w:val="0"/>
          <w:sz w:val="28"/>
          <w:szCs w:val="28"/>
        </w:rPr>
      </w:pPr>
    </w:p>
    <w:sectPr>
      <w:footerReference r:id="rId3" w:type="default"/>
      <w:footerReference r:id="rId4" w:type="even"/>
      <w:pgSz w:w="11906" w:h="16838"/>
      <w:pgMar w:top="2098" w:right="1474" w:bottom="1985" w:left="1588"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S Mincho">
    <w:altName w:val="FreeSerif"/>
    <w:panose1 w:val="02020609040205080304"/>
    <w:charset w:val="00"/>
    <w:family w:val="modern"/>
    <w:pitch w:val="default"/>
    <w:sig w:usb0="00000000" w:usb1="00000000" w:usb2="08000012" w:usb3="00000000" w:csb0="0002009F" w:csb1="00000000"/>
  </w:font>
  <w:font w:name="FreeSerif">
    <w:panose1 w:val="02020603050405020304"/>
    <w:charset w:val="00"/>
    <w:family w:val="auto"/>
    <w:pitch w:val="default"/>
    <w:sig w:usb0="E59FAFFF" w:usb1="C200FDFF" w:usb2="43501B29" w:usb3="04000043" w:csb0="600101FF" w:csb1="FFFF0000"/>
  </w:font>
  <w:font w:name="ÇcÇePOP1ëÃW9">
    <w:panose1 w:val="02010609010101010101"/>
    <w:charset w:val="80"/>
    <w:family w:val="auto"/>
    <w:pitch w:val="default"/>
    <w:sig w:usb0="00000001" w:usb1="08070000" w:usb2="00000010" w:usb3="00000000" w:csb0="0002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360" w:firstLine="360"/>
      <w:rPr>
        <w:rFonts w:ascii="仿宋_GB2312" w:eastAsia="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140" w:firstLineChars="50"/>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15C42"/>
    <w:rsid w:val="00063133"/>
    <w:rsid w:val="000779AC"/>
    <w:rsid w:val="000B444A"/>
    <w:rsid w:val="00172A27"/>
    <w:rsid w:val="001A1EDF"/>
    <w:rsid w:val="001E7AE2"/>
    <w:rsid w:val="002A1ADC"/>
    <w:rsid w:val="003C2330"/>
    <w:rsid w:val="003F14B1"/>
    <w:rsid w:val="003F503F"/>
    <w:rsid w:val="004533C7"/>
    <w:rsid w:val="004E75BF"/>
    <w:rsid w:val="00536186"/>
    <w:rsid w:val="00554BC2"/>
    <w:rsid w:val="005F6AAC"/>
    <w:rsid w:val="00626FB1"/>
    <w:rsid w:val="006662C1"/>
    <w:rsid w:val="00666C6E"/>
    <w:rsid w:val="006B66D4"/>
    <w:rsid w:val="006C61BA"/>
    <w:rsid w:val="006D23C8"/>
    <w:rsid w:val="00712F39"/>
    <w:rsid w:val="00735F9C"/>
    <w:rsid w:val="007B006A"/>
    <w:rsid w:val="007E7B27"/>
    <w:rsid w:val="008575EF"/>
    <w:rsid w:val="008716BD"/>
    <w:rsid w:val="008A19D4"/>
    <w:rsid w:val="00996F10"/>
    <w:rsid w:val="009C4F87"/>
    <w:rsid w:val="009D55CA"/>
    <w:rsid w:val="009D7B87"/>
    <w:rsid w:val="00B542EA"/>
    <w:rsid w:val="00B636CB"/>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1CEE110C"/>
    <w:rsid w:val="1FFFC765"/>
    <w:rsid w:val="21815626"/>
    <w:rsid w:val="2779F21A"/>
    <w:rsid w:val="2ADE68B3"/>
    <w:rsid w:val="3AB61067"/>
    <w:rsid w:val="3C9E7064"/>
    <w:rsid w:val="3DFB8903"/>
    <w:rsid w:val="545F57A2"/>
    <w:rsid w:val="55DF52FB"/>
    <w:rsid w:val="5BA3C0E1"/>
    <w:rsid w:val="5E47D797"/>
    <w:rsid w:val="60E81003"/>
    <w:rsid w:val="7B7ED1D7"/>
    <w:rsid w:val="7FCAC0D7"/>
    <w:rsid w:val="7FD70511"/>
    <w:rsid w:val="7FF9D8C5"/>
    <w:rsid w:val="AD7D35AC"/>
    <w:rsid w:val="B97AB305"/>
    <w:rsid w:val="B9F64923"/>
    <w:rsid w:val="BB8BE6B7"/>
    <w:rsid w:val="DD3F1F98"/>
    <w:rsid w:val="DEFF19B8"/>
    <w:rsid w:val="E737BA3C"/>
    <w:rsid w:val="E7FEE216"/>
    <w:rsid w:val="EFBD6BA2"/>
    <w:rsid w:val="F3B55736"/>
    <w:rsid w:val="F7EEDDBE"/>
    <w:rsid w:val="F7FF49DA"/>
    <w:rsid w:val="F7FF8ECD"/>
    <w:rsid w:val="FD5EDA84"/>
    <w:rsid w:val="FFE6C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pageBreakBefore/>
      <w:overflowPunct w:val="0"/>
      <w:adjustRightInd w:val="0"/>
      <w:snapToGrid w:val="0"/>
      <w:spacing w:before="374" w:beforeLines="120" w:after="374" w:afterLines="120" w:line="240" w:lineRule="auto"/>
      <w:jc w:val="center"/>
      <w:outlineLvl w:val="0"/>
    </w:pPr>
    <w:rPr>
      <w:rFonts w:ascii="Times New Roman" w:hAnsi="Times New Roman" w:eastAsia="黑体"/>
      <w:snapToGrid w:val="0"/>
      <w:color w:val="000000"/>
      <w:kern w:val="32"/>
      <w:sz w:val="32"/>
      <w:szCs w:val="32"/>
    </w:rPr>
  </w:style>
  <w:style w:type="paragraph" w:styleId="4">
    <w:name w:val="heading 2"/>
    <w:basedOn w:val="1"/>
    <w:next w:val="1"/>
    <w:qFormat/>
    <w:uiPriority w:val="0"/>
    <w:pPr>
      <w:keepNext/>
      <w:tabs>
        <w:tab w:val="right" w:leader="dot" w:pos="8554"/>
      </w:tabs>
      <w:overflowPunct w:val="0"/>
      <w:adjustRightInd w:val="0"/>
      <w:snapToGrid w:val="0"/>
      <w:spacing w:before="120" w:beforeLines="120" w:after="120" w:afterLines="120" w:line="240" w:lineRule="auto"/>
      <w:jc w:val="center"/>
      <w:textAlignment w:val="baseline"/>
      <w:outlineLvl w:val="1"/>
    </w:pPr>
    <w:rPr>
      <w:rFonts w:ascii="Times New Roman" w:hAnsi="Times New Roman" w:eastAsia="楷体_GB2312" w:cs="仿宋_GB2312"/>
      <w:b/>
      <w:snapToGrid w:val="0"/>
      <w:kern w:val="32"/>
      <w:sz w:val="32"/>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99"/>
  </w:style>
  <w:style w:type="paragraph" w:styleId="5">
    <w:name w:val="Salutation"/>
    <w:basedOn w:val="1"/>
    <w:next w:val="1"/>
    <w:qFormat/>
    <w:uiPriority w:val="0"/>
    <w:rPr>
      <w:rFonts w:ascii="仿宋_GB2312" w:hAnsi="宋体" w:eastAsia="仿宋_GB2312"/>
      <w:color w:val="000000"/>
      <w:sz w:val="28"/>
      <w:szCs w:val="28"/>
      <w:lang w:val="en-GB"/>
    </w:rPr>
  </w:style>
  <w:style w:type="paragraph" w:styleId="6">
    <w:name w:val="Closing"/>
    <w:basedOn w:val="1"/>
    <w:qFormat/>
    <w:uiPriority w:val="0"/>
    <w:pPr>
      <w:ind w:left="100" w:leftChars="2100"/>
    </w:pPr>
    <w:rPr>
      <w:rFonts w:ascii="仿宋_GB2312" w:hAnsi="宋体" w:eastAsia="仿宋_GB2312"/>
      <w:color w:val="000000"/>
      <w:sz w:val="28"/>
      <w:szCs w:val="28"/>
      <w:lang w:val="en-GB"/>
    </w:rPr>
  </w:style>
  <w:style w:type="paragraph" w:styleId="7">
    <w:name w:val="Body Text"/>
    <w:basedOn w:val="8"/>
    <w:next w:val="9"/>
    <w:link w:val="29"/>
    <w:qFormat/>
    <w:uiPriority w:val="0"/>
    <w:pPr>
      <w:widowControl/>
      <w:spacing w:before="0" w:beforeAutospacing="0" w:after="0" w:afterAutospacing="0" w:line="600" w:lineRule="exact"/>
      <w:ind w:firstLine="420"/>
      <w:jc w:val="both"/>
    </w:pPr>
    <w:rPr>
      <w:rFonts w:ascii="仿宋" w:hAnsi="仿宋" w:eastAsia="仿宋" w:cs="仿宋"/>
      <w:kern w:val="2"/>
      <w:sz w:val="32"/>
      <w:szCs w:val="32"/>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Indent"/>
    <w:basedOn w:val="1"/>
    <w:next w:val="1"/>
    <w:qFormat/>
    <w:uiPriority w:val="0"/>
    <w:pPr>
      <w:spacing w:line="520" w:lineRule="exact"/>
      <w:ind w:firstLine="538" w:firstLineChars="192"/>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9"/>
    <w:next w:val="14"/>
    <w:qFormat/>
    <w:uiPriority w:val="0"/>
    <w:pPr>
      <w:ind w:firstLine="420" w:firstLineChars="200"/>
    </w:pPr>
  </w:style>
  <w:style w:type="paragraph" w:customStyle="1" w:styleId="14">
    <w:name w:val="样式 标题 3 + (中文) 黑体 小四 非加粗 段前: 7.8 磅 段后: 0 磅 行距: 固定值 20 磅_0"/>
    <w:qFormat/>
    <w:uiPriority w:val="0"/>
    <w:pPr>
      <w:keepNext/>
      <w:keepLines/>
      <w:widowControl w:val="0"/>
      <w:spacing w:after="160" w:line="400" w:lineRule="exact"/>
      <w:jc w:val="both"/>
      <w:outlineLvl w:val="2"/>
    </w:pPr>
    <w:rPr>
      <w:rFonts w:ascii="Times New Roman" w:hAnsi="Times New Roman" w:eastAsia="黑体" w:cs="宋体"/>
      <w:kern w:val="2"/>
      <w:sz w:val="21"/>
      <w:lang w:val="en-US" w:eastAsia="zh-CN" w:bidi="ar-SA"/>
    </w:rPr>
  </w:style>
  <w:style w:type="character" w:styleId="17">
    <w:name w:val="Strong"/>
    <w:qFormat/>
    <w:uiPriority w:val="0"/>
    <w:rPr>
      <w:b/>
    </w:rPr>
  </w:style>
  <w:style w:type="character" w:styleId="18">
    <w:name w:val="page number"/>
    <w:basedOn w:val="16"/>
    <w:qFormat/>
    <w:uiPriority w:val="0"/>
  </w:style>
  <w:style w:type="paragraph" w:customStyle="1" w:styleId="19">
    <w:name w:val="_Style 2"/>
    <w:basedOn w:val="1"/>
    <w:qFormat/>
    <w:uiPriority w:val="0"/>
  </w:style>
  <w:style w:type="paragraph" w:customStyle="1" w:styleId="20">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21">
    <w:name w:val="Hei Ti"/>
    <w:qFormat/>
    <w:uiPriority w:val="0"/>
    <w:rPr>
      <w:rFonts w:ascii="黑体" w:hAnsi="黑体" w:eastAsia="黑体" w:cs="黑体"/>
      <w:sz w:val="32"/>
    </w:rPr>
  </w:style>
  <w:style w:type="character" w:customStyle="1" w:styleId="22">
    <w:name w:val="Hei Ti Bold"/>
    <w:qFormat/>
    <w:uiPriority w:val="0"/>
    <w:rPr>
      <w:rFonts w:ascii="黑体" w:hAnsi="黑体" w:eastAsia="黑体" w:cs="黑体"/>
      <w:b/>
      <w:sz w:val="32"/>
    </w:rPr>
  </w:style>
  <w:style w:type="character" w:customStyle="1" w:styleId="23">
    <w:name w:val="Hei Ti Bold1"/>
    <w:qFormat/>
    <w:uiPriority w:val="0"/>
    <w:rPr>
      <w:rFonts w:ascii="黑体" w:hAnsi="黑体" w:eastAsia="黑体" w:cs="黑体"/>
      <w:b/>
      <w:sz w:val="36"/>
    </w:rPr>
  </w:style>
  <w:style w:type="character" w:customStyle="1" w:styleId="24">
    <w:name w:val="GB_2312"/>
    <w:qFormat/>
    <w:uiPriority w:val="0"/>
    <w:rPr>
      <w:rFonts w:ascii="仿宋_GB2312" w:hAnsi="仿宋_GB2312" w:eastAsia="仿宋_GB2312" w:cs="仿宋_GB2312"/>
      <w:sz w:val="32"/>
    </w:rPr>
  </w:style>
  <w:style w:type="character" w:customStyle="1" w:styleId="25">
    <w:name w:val="GB_23121"/>
    <w:qFormat/>
    <w:uiPriority w:val="0"/>
    <w:rPr>
      <w:rFonts w:ascii="仿宋_GB2312" w:hAnsi="仿宋_GB2312" w:eastAsia="仿宋_GB2312" w:cs="仿宋_GB2312"/>
      <w:sz w:val="36"/>
    </w:rPr>
  </w:style>
  <w:style w:type="character" w:customStyle="1" w:styleId="26">
    <w:name w:val="Red_Color"/>
    <w:qFormat/>
    <w:uiPriority w:val="0"/>
    <w:rPr>
      <w:rFonts w:ascii="方正小标宋简体" w:hAnsi="方正小标宋简体" w:eastAsia="方正小标宋简体" w:cs="方正小标宋简体"/>
      <w:color w:val="000000"/>
      <w:sz w:val="65"/>
    </w:rPr>
  </w:style>
  <w:style w:type="character" w:customStyle="1" w:styleId="27">
    <w:name w:val="KaiTi"/>
    <w:qFormat/>
    <w:uiPriority w:val="0"/>
    <w:rPr>
      <w:rFonts w:ascii="楷体_GB2312" w:hAnsi="楷体_GB2312" w:eastAsia="楷体_GB2312" w:cs="楷体_GB2312"/>
      <w:sz w:val="32"/>
    </w:rPr>
  </w:style>
  <w:style w:type="character" w:customStyle="1" w:styleId="28">
    <w:name w:val="Fz_Xbs"/>
    <w:qFormat/>
    <w:uiPriority w:val="0"/>
    <w:rPr>
      <w:rFonts w:ascii="方正小标宋简体" w:hAnsi="方正小标宋简体" w:eastAsia="方正小标宋简体" w:cs="方正小标宋简体"/>
      <w:sz w:val="44"/>
    </w:rPr>
  </w:style>
  <w:style w:type="character" w:customStyle="1" w:styleId="29">
    <w:name w:val="正文文本 Char"/>
    <w:link w:val="7"/>
    <w:qFormat/>
    <w:uiPriority w:val="0"/>
    <w:rPr>
      <w:rFonts w:ascii="仿宋" w:hAnsi="仿宋" w:eastAsia="仿宋" w:cs="仿宋"/>
      <w:kern w:val="2"/>
      <w:sz w:val="32"/>
      <w:szCs w:val="32"/>
    </w:rPr>
  </w:style>
  <w:style w:type="character" w:customStyle="1" w:styleId="30">
    <w:name w:val="明显强调1"/>
    <w:qFormat/>
    <w:uiPriority w:val="21"/>
    <w:rPr>
      <w:b/>
      <w:bCs/>
    </w:rPr>
  </w:style>
  <w:style w:type="paragraph" w:customStyle="1" w:styleId="31">
    <w:name w:val="0"/>
    <w:basedOn w:val="1"/>
    <w:qFormat/>
    <w:uiPriority w:val="0"/>
    <w:pPr>
      <w:spacing w:line="580" w:lineRule="exact"/>
      <w:ind w:firstLine="64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131</Words>
  <Characters>140</Characters>
  <Lines>1</Lines>
  <Paragraphs>1</Paragraphs>
  <TotalTime>58</TotalTime>
  <ScaleCrop>false</ScaleCrop>
  <LinksUpToDate>false</LinksUpToDate>
  <CharactersWithSpaces>166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2022-01-26T08:29:00Z</dcterms:created>
  <dc:creator>张殿武</dc:creator>
  <cp:lastModifiedBy>建文排版</cp:lastModifiedBy>
  <cp:lastPrinted>2026-02-14T14:04:00Z</cp:lastPrinted>
  <dcterms:modified xsi:type="dcterms:W3CDTF">2026-02-12T11:12:59Z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eyJoZGlkIjoiMDhmMmUyMTdkYWMxMGE1YzQ5YjQ1NmQ1ZWQ2Y2JkNmYiLCJ1c2VySWQiOiI0MjgxMTI4MjkifQ==</vt:lpwstr>
  </property>
  <property fmtid="{D5CDD505-2E9C-101B-9397-08002B2CF9AE}" pid="4" name="ICV">
    <vt:lpwstr>015E8BF793204A32AC29307B924B13CB_12</vt:lpwstr>
  </property>
</Properties>
</file>