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简体" w:hAnsi="楷体" w:eastAsia="方正小标宋简体"/>
          <w:sz w:val="44"/>
          <w:szCs w:val="44"/>
        </w:rPr>
      </w:pPr>
      <w:r>
        <w:rPr>
          <w:rFonts w:hint="eastAsia" w:ascii="方正小标宋简体" w:hAnsi="楷体" w:eastAsia="方正小标宋简体"/>
          <w:sz w:val="44"/>
          <w:szCs w:val="44"/>
        </w:rPr>
        <w:t>滨海新区202</w:t>
      </w:r>
      <w:r>
        <w:rPr>
          <w:rFonts w:hint="eastAsia" w:ascii="方正小标宋简体" w:hAnsi="楷体" w:eastAsia="方正小标宋简体"/>
          <w:sz w:val="44"/>
          <w:szCs w:val="44"/>
          <w:lang w:val="en-US" w:eastAsia="zh-CN"/>
        </w:rPr>
        <w:t>5</w:t>
      </w:r>
      <w:r>
        <w:rPr>
          <w:rFonts w:hint="eastAsia" w:ascii="方正小标宋简体" w:hAnsi="楷体" w:eastAsia="方正小标宋简体"/>
          <w:sz w:val="44"/>
          <w:szCs w:val="44"/>
        </w:rPr>
        <w:t>年</w:t>
      </w:r>
      <w:r>
        <w:rPr>
          <w:rFonts w:hint="eastAsia" w:ascii="方正小标宋简体" w:hAnsi="楷体" w:eastAsia="方正小标宋简体"/>
          <w:sz w:val="44"/>
          <w:szCs w:val="44"/>
          <w:lang w:eastAsia="zh-CN"/>
        </w:rPr>
        <w:t>度</w:t>
      </w:r>
      <w:r>
        <w:rPr>
          <w:rFonts w:hint="eastAsia" w:ascii="方正小标宋简体" w:hAnsi="楷体" w:eastAsia="方正小标宋简体"/>
          <w:sz w:val="44"/>
          <w:szCs w:val="44"/>
        </w:rPr>
        <w:t>行政执法工作报告</w:t>
      </w:r>
    </w:p>
    <w:p>
      <w:pPr>
        <w:keepNext w:val="0"/>
        <w:keepLines w:val="0"/>
        <w:pageBreakBefore w:val="0"/>
        <w:widowControl w:val="0"/>
        <w:kinsoku/>
        <w:wordWrap/>
        <w:overflowPunct/>
        <w:topLinePunct w:val="0"/>
        <w:autoSpaceDE/>
        <w:autoSpaceDN/>
        <w:bidi w:val="0"/>
        <w:adjustRightInd/>
        <w:spacing w:line="600" w:lineRule="exact"/>
        <w:ind w:firstLine="622" w:firstLineChars="200"/>
        <w:textAlignment w:val="auto"/>
        <w:rPr>
          <w:rFonts w:hint="eastAsia" w:ascii="Times New Roman" w:hAnsi="Times New Roman" w:eastAsia="仿宋_GB2312" w:cs="Times New Roman"/>
          <w:color w:val="auto"/>
          <w:sz w:val="32"/>
          <w:szCs w:val="32"/>
          <w:shd w:val="clear" w:color="auto" w:fill="auto"/>
          <w:lang w:eastAsia="zh-CN"/>
        </w:rPr>
      </w:pPr>
    </w:p>
    <w:p>
      <w:pPr>
        <w:keepNext w:val="0"/>
        <w:keepLines w:val="0"/>
        <w:pageBreakBefore w:val="0"/>
        <w:widowControl w:val="0"/>
        <w:kinsoku/>
        <w:wordWrap/>
        <w:overflowPunct/>
        <w:topLinePunct w:val="0"/>
        <w:autoSpaceDE/>
        <w:autoSpaceDN/>
        <w:bidi w:val="0"/>
        <w:adjustRightInd/>
        <w:spacing w:line="600" w:lineRule="exact"/>
        <w:ind w:firstLine="622" w:firstLineChars="200"/>
        <w:jc w:val="both"/>
        <w:textAlignment w:val="auto"/>
        <w:rPr>
          <w:rFonts w:hint="eastAsia" w:ascii="仿宋_GB2312" w:hAnsi="仿宋_GB2312" w:eastAsia="仿宋_GB2312" w:cs="仿宋_GB2312"/>
          <w:color w:val="auto"/>
          <w:sz w:val="32"/>
          <w:szCs w:val="32"/>
          <w:shd w:val="clear" w:color="auto" w:fill="auto"/>
          <w:lang w:eastAsia="zh-CN"/>
        </w:rPr>
      </w:pPr>
      <w:r>
        <w:rPr>
          <w:rFonts w:hint="eastAsia" w:ascii="仿宋_GB2312" w:hAnsi="仿宋_GB2312" w:eastAsia="仿宋_GB2312" w:cs="仿宋_GB2312"/>
          <w:sz w:val="32"/>
          <w:szCs w:val="32"/>
        </w:rPr>
        <w:t>2025年，</w:t>
      </w:r>
      <w:r>
        <w:rPr>
          <w:rFonts w:hint="eastAsia" w:ascii="仿宋_GB2312" w:hAnsi="仿宋_GB2312" w:eastAsia="仿宋_GB2312" w:cs="仿宋_GB2312"/>
          <w:color w:val="auto"/>
          <w:sz w:val="32"/>
          <w:szCs w:val="32"/>
          <w:shd w:val="clear" w:color="auto" w:fill="auto"/>
          <w:lang w:eastAsia="zh-CN"/>
        </w:rPr>
        <w:t>滨海新区深入贯彻落实习近平法治思想，着力推进严格规范公正文明执法，积极对标</w:t>
      </w:r>
      <w:r>
        <w:rPr>
          <w:rFonts w:hint="eastAsia" w:ascii="仿宋_GB2312" w:hAnsi="仿宋_GB2312" w:eastAsia="仿宋_GB2312" w:cs="仿宋_GB2312"/>
          <w:color w:val="auto"/>
          <w:sz w:val="32"/>
          <w:szCs w:val="32"/>
          <w:shd w:val="clear" w:color="auto" w:fill="auto"/>
          <w:lang w:val="en-US" w:eastAsia="zh-CN"/>
        </w:rPr>
        <w:t>《提升行政执法质量三年行动计划（2023-2025年）》工作要求</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sz w:val="32"/>
          <w:szCs w:val="32"/>
          <w:lang w:val="en-US" w:eastAsia="zh-CN"/>
        </w:rPr>
        <w:t>深入开展规范涉企行政执法专项行动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shd w:val="clear" w:color="auto" w:fill="auto"/>
          <w:lang w:eastAsia="zh-CN"/>
        </w:rPr>
        <w:t>加强执法队伍建设，健全行政执法协调监督体系，强化制度和科技保障，</w:t>
      </w:r>
      <w:r>
        <w:rPr>
          <w:rFonts w:hint="eastAsia" w:ascii="仿宋_GB2312" w:hAnsi="仿宋_GB2312" w:eastAsia="仿宋_GB2312" w:cs="仿宋_GB2312"/>
          <w:sz w:val="32"/>
          <w:szCs w:val="32"/>
        </w:rPr>
        <w:t>全区行政执法工作质效得到稳步提升。</w:t>
      </w:r>
      <w:r>
        <w:rPr>
          <w:rFonts w:hint="eastAsia" w:ascii="仿宋_GB2312" w:hAnsi="仿宋_GB2312" w:eastAsia="仿宋_GB2312" w:cs="仿宋_GB2312"/>
          <w:color w:val="auto"/>
          <w:sz w:val="32"/>
          <w:szCs w:val="32"/>
          <w:shd w:val="clear" w:color="auto" w:fill="auto"/>
          <w:lang w:eastAsia="zh-CN"/>
        </w:rPr>
        <w:t>现将</w:t>
      </w:r>
      <w:r>
        <w:rPr>
          <w:rFonts w:hint="eastAsia" w:ascii="仿宋_GB2312" w:hAnsi="仿宋_GB2312" w:eastAsia="仿宋_GB2312" w:cs="仿宋_GB2312"/>
          <w:color w:val="auto"/>
          <w:sz w:val="32"/>
          <w:szCs w:val="32"/>
          <w:shd w:val="clear" w:color="auto" w:fill="auto"/>
          <w:lang w:val="en-US" w:eastAsia="zh-CN"/>
        </w:rPr>
        <w:t>2025年</w:t>
      </w:r>
      <w:r>
        <w:rPr>
          <w:rFonts w:hint="eastAsia" w:ascii="仿宋_GB2312" w:hAnsi="仿宋_GB2312" w:eastAsia="仿宋_GB2312" w:cs="仿宋_GB2312"/>
          <w:color w:val="auto"/>
          <w:sz w:val="32"/>
          <w:szCs w:val="32"/>
          <w:shd w:val="clear" w:color="auto" w:fill="auto"/>
          <w:lang w:eastAsia="zh-CN"/>
        </w:rPr>
        <w:t>行政执法情况报告如下。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22" w:firstLineChars="200"/>
        <w:jc w:val="both"/>
        <w:textAlignment w:val="auto"/>
        <w:rPr>
          <w:rFonts w:hint="eastAsia" w:ascii="方正黑体_GBK" w:hAnsi="方正黑体_GBK" w:eastAsia="方正黑体_GBK" w:cs="方正黑体_GBK"/>
          <w:sz w:val="32"/>
          <w:szCs w:val="32"/>
          <w:lang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lang w:eastAsia="zh-CN"/>
        </w:rPr>
        <w:t>基本情况</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22" w:firstLineChars="200"/>
        <w:jc w:val="both"/>
        <w:textAlignment w:val="auto"/>
        <w:rPr>
          <w:rFonts w:hint="eastAsia" w:ascii="仿宋_GB2312" w:hAnsi="仿宋_GB2312" w:eastAsia="仿宋_GB2312" w:cs="仿宋_GB2312"/>
          <w:color w:val="auto"/>
          <w:sz w:val="32"/>
          <w:szCs w:val="32"/>
          <w:shd w:val="clear" w:color="auto" w:fill="auto"/>
          <w:lang w:eastAsia="zh-CN"/>
        </w:rPr>
      </w:pPr>
      <w:r>
        <w:rPr>
          <w:rFonts w:hint="eastAsia" w:ascii="楷体" w:hAnsi="楷体" w:eastAsia="楷体" w:cs="楷体"/>
          <w:b w:val="0"/>
          <w:bCs w:val="0"/>
          <w:sz w:val="32"/>
          <w:szCs w:val="32"/>
          <w:lang w:val="en" w:eastAsia="zh-CN"/>
        </w:rPr>
        <w:t>（一）行</w:t>
      </w:r>
      <w:r>
        <w:rPr>
          <w:rFonts w:hint="eastAsia" w:ascii="楷体" w:hAnsi="楷体" w:eastAsia="楷体" w:cs="楷体"/>
          <w:b w:val="0"/>
          <w:bCs w:val="0"/>
          <w:color w:val="auto"/>
          <w:sz w:val="32"/>
          <w:szCs w:val="32"/>
          <w:shd w:val="clear" w:color="auto" w:fill="auto"/>
          <w:lang w:val="en" w:eastAsia="zh-CN"/>
        </w:rPr>
        <w:t>政执法主体及人员情况。</w:t>
      </w:r>
      <w:r>
        <w:rPr>
          <w:rFonts w:hint="eastAsia" w:ascii="仿宋_GB2312" w:hAnsi="仿宋_GB2312" w:eastAsia="仿宋_GB2312" w:cs="仿宋_GB2312"/>
          <w:color w:val="auto"/>
          <w:sz w:val="32"/>
          <w:szCs w:val="32"/>
          <w:shd w:val="clear" w:color="auto" w:fill="auto"/>
          <w:lang w:eastAsia="zh-CN"/>
        </w:rPr>
        <w:t>全区共有行政执法主体</w:t>
      </w:r>
      <w:r>
        <w:rPr>
          <w:rFonts w:hint="default" w:ascii="仿宋_GB2312" w:hAnsi="仿宋_GB2312" w:eastAsia="仿宋_GB2312" w:cs="仿宋_GB2312"/>
          <w:color w:val="auto"/>
          <w:sz w:val="32"/>
          <w:szCs w:val="32"/>
          <w:shd w:val="clear" w:color="auto" w:fill="auto"/>
          <w:lang w:val="en" w:eastAsia="zh-CN"/>
        </w:rPr>
        <w:t>104</w:t>
      </w:r>
      <w:r>
        <w:rPr>
          <w:rFonts w:hint="eastAsia" w:ascii="仿宋_GB2312" w:hAnsi="仿宋_GB2312" w:eastAsia="仿宋_GB2312" w:cs="仿宋_GB2312"/>
          <w:color w:val="auto"/>
          <w:sz w:val="32"/>
          <w:szCs w:val="32"/>
          <w:shd w:val="clear" w:color="auto" w:fill="auto"/>
          <w:lang w:eastAsia="zh-CN"/>
        </w:rPr>
        <w:t>个，持证执法人员</w:t>
      </w:r>
      <w:r>
        <w:rPr>
          <w:rFonts w:hint="eastAsia" w:ascii="仿宋_GB2312" w:hAnsi="仿宋_GB2312" w:eastAsia="仿宋_GB2312" w:cs="仿宋_GB2312"/>
          <w:color w:val="auto"/>
          <w:sz w:val="32"/>
          <w:szCs w:val="32"/>
          <w:shd w:val="clear" w:color="auto" w:fill="auto"/>
          <w:lang w:val="en-US" w:eastAsia="zh-CN"/>
        </w:rPr>
        <w:t>2767</w:t>
      </w:r>
      <w:r>
        <w:rPr>
          <w:rFonts w:hint="eastAsia" w:ascii="仿宋_GB2312" w:hAnsi="仿宋_GB2312" w:eastAsia="仿宋_GB2312" w:cs="仿宋_GB2312"/>
          <w:color w:val="auto"/>
          <w:sz w:val="32"/>
          <w:szCs w:val="32"/>
          <w:shd w:val="clear" w:color="auto" w:fill="auto"/>
          <w:lang w:eastAsia="zh-CN"/>
        </w:rPr>
        <w:t>名（不含公安和消防）</w:t>
      </w:r>
      <w:r>
        <w:rPr>
          <w:rFonts w:hint="eastAsia" w:ascii="仿宋_GB2312" w:hAnsi="仿宋_GB2312" w:eastAsia="仿宋_GB2312" w:cs="仿宋_GB2312"/>
          <w:color w:val="auto"/>
          <w:sz w:val="32"/>
          <w:szCs w:val="32"/>
          <w:shd w:val="clear" w:color="auto" w:fill="auto"/>
          <w:lang w:val="en-US" w:eastAsia="zh-CN"/>
        </w:rPr>
        <w:t>，2025年新领取执法证213人，注销执法证218人，注销执法证主要原因是人员退休、工作岗位调整不再从事行政执法工作等</w:t>
      </w:r>
      <w:r>
        <w:rPr>
          <w:rFonts w:hint="eastAsia" w:ascii="仿宋_GB2312" w:hAnsi="仿宋_GB2312" w:eastAsia="仿宋_GB2312" w:cs="仿宋_GB2312"/>
          <w:color w:val="auto"/>
          <w:sz w:val="32"/>
          <w:szCs w:val="32"/>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22" w:firstLineChars="200"/>
        <w:jc w:val="both"/>
        <w:textAlignment w:val="auto"/>
        <w:rPr>
          <w:rFonts w:hint="eastAsia" w:ascii="仿宋_GB2312" w:hAnsi="仿宋_GB2312" w:eastAsia="仿宋_GB2312" w:cs="仿宋_GB2312"/>
          <w:color w:val="auto"/>
          <w:sz w:val="32"/>
          <w:szCs w:val="32"/>
          <w:shd w:val="clear" w:color="auto" w:fill="auto"/>
          <w:lang w:eastAsia="zh-CN"/>
        </w:rPr>
      </w:pPr>
      <w:r>
        <w:rPr>
          <w:rFonts w:hint="eastAsia" w:ascii="楷体" w:hAnsi="楷体" w:eastAsia="楷体" w:cs="楷体"/>
          <w:b w:val="0"/>
          <w:bCs w:val="0"/>
          <w:sz w:val="32"/>
          <w:szCs w:val="32"/>
          <w:lang w:val="en" w:eastAsia="zh-CN"/>
        </w:rPr>
        <w:t>（二）行政执法案件情况。</w:t>
      </w:r>
      <w:r>
        <w:rPr>
          <w:rFonts w:hint="eastAsia" w:ascii="仿宋_GB2312" w:hAnsi="仿宋_GB2312" w:eastAsia="仿宋_GB2312" w:cs="仿宋_GB2312"/>
          <w:color w:val="auto"/>
          <w:sz w:val="32"/>
          <w:szCs w:val="32"/>
          <w:shd w:val="clear" w:color="auto" w:fill="auto"/>
          <w:lang w:eastAsia="zh-CN"/>
        </w:rPr>
        <w:t>各执法单位依托行政执法监督平台制定实施行政检查计划</w:t>
      </w:r>
      <w:r>
        <w:rPr>
          <w:rFonts w:hint="eastAsia" w:ascii="仿宋_GB2312" w:hAnsi="仿宋_GB2312" w:eastAsia="仿宋_GB2312" w:cs="仿宋_GB2312"/>
          <w:color w:val="auto"/>
          <w:sz w:val="32"/>
          <w:szCs w:val="32"/>
          <w:shd w:val="clear" w:color="auto" w:fill="auto"/>
          <w:lang w:val="en-US" w:eastAsia="zh-CN"/>
        </w:rPr>
        <w:t>2748</w:t>
      </w:r>
      <w:r>
        <w:rPr>
          <w:rFonts w:hint="eastAsia" w:ascii="仿宋_GB2312" w:hAnsi="仿宋_GB2312" w:eastAsia="仿宋_GB2312" w:cs="仿宋_GB2312"/>
          <w:color w:val="auto"/>
          <w:sz w:val="32"/>
          <w:szCs w:val="32"/>
          <w:shd w:val="clear" w:color="auto" w:fill="auto"/>
          <w:lang w:eastAsia="zh-CN"/>
        </w:rPr>
        <w:t>个，均已按时完成。共开展行政检查</w:t>
      </w:r>
      <w:r>
        <w:rPr>
          <w:rFonts w:hint="eastAsia" w:ascii="仿宋_GB2312" w:hAnsi="仿宋_GB2312" w:eastAsia="仿宋_GB2312" w:cs="仿宋_GB2312"/>
          <w:color w:val="auto"/>
          <w:sz w:val="32"/>
          <w:szCs w:val="32"/>
          <w:shd w:val="clear" w:color="auto" w:fill="auto"/>
          <w:lang w:val="en-US" w:eastAsia="zh-CN"/>
        </w:rPr>
        <w:t>41308</w:t>
      </w:r>
      <w:r>
        <w:rPr>
          <w:rFonts w:hint="eastAsia" w:ascii="仿宋_GB2312" w:hAnsi="仿宋_GB2312" w:eastAsia="仿宋_GB2312" w:cs="仿宋_GB2312"/>
          <w:color w:val="auto"/>
          <w:sz w:val="32"/>
          <w:szCs w:val="32"/>
          <w:shd w:val="clear" w:color="auto" w:fill="auto"/>
          <w:lang w:eastAsia="zh-CN"/>
        </w:rPr>
        <w:t>次</w:t>
      </w:r>
      <w:r>
        <w:rPr>
          <w:rFonts w:hint="eastAsia" w:ascii="仿宋_GB2312" w:hAnsi="仿宋_GB2312" w:eastAsia="仿宋_GB2312" w:cs="仿宋_GB2312"/>
          <w:color w:val="auto"/>
          <w:sz w:val="32"/>
          <w:szCs w:val="32"/>
          <w:shd w:val="clear" w:color="auto" w:fill="auto"/>
          <w:lang w:val="en-US" w:eastAsia="zh-CN"/>
        </w:rPr>
        <w:t>，较上年减少16.6%，</w:t>
      </w:r>
      <w:r>
        <w:rPr>
          <w:rFonts w:hint="eastAsia" w:ascii="仿宋_GB2312" w:hAnsi="仿宋_GB2312" w:eastAsia="仿宋_GB2312" w:cs="仿宋_GB2312"/>
          <w:color w:val="auto"/>
          <w:sz w:val="32"/>
          <w:szCs w:val="32"/>
          <w:shd w:val="clear" w:color="auto" w:fill="auto"/>
          <w:lang w:eastAsia="zh-CN"/>
        </w:rPr>
        <w:t>实施行政处罚</w:t>
      </w:r>
      <w:r>
        <w:rPr>
          <w:rFonts w:hint="default" w:ascii="仿宋_GB2312" w:hAnsi="仿宋_GB2312" w:eastAsia="仿宋_GB2312" w:cs="仿宋_GB2312"/>
          <w:color w:val="auto"/>
          <w:sz w:val="32"/>
          <w:szCs w:val="32"/>
          <w:shd w:val="clear" w:color="auto" w:fill="auto"/>
          <w:lang w:val="en" w:eastAsia="zh-CN"/>
        </w:rPr>
        <w:t>4905</w:t>
      </w:r>
      <w:r>
        <w:rPr>
          <w:rFonts w:hint="eastAsia" w:ascii="仿宋_GB2312" w:hAnsi="仿宋_GB2312" w:eastAsia="仿宋_GB2312" w:cs="仿宋_GB2312"/>
          <w:color w:val="auto"/>
          <w:sz w:val="32"/>
          <w:szCs w:val="32"/>
          <w:shd w:val="clear" w:color="auto" w:fill="auto"/>
          <w:lang w:val="en-US" w:eastAsia="zh-CN"/>
        </w:rPr>
        <w:t>起</w:t>
      </w:r>
      <w:r>
        <w:rPr>
          <w:rFonts w:hint="eastAsia" w:ascii="仿宋_GB2312" w:hAnsi="仿宋_GB2312" w:eastAsia="仿宋_GB2312" w:cs="仿宋_GB2312"/>
          <w:color w:val="auto"/>
          <w:sz w:val="32"/>
          <w:szCs w:val="32"/>
          <w:shd w:val="clear" w:color="auto" w:fill="auto"/>
          <w:lang w:eastAsia="zh-CN"/>
        </w:rPr>
        <w:t>（其中简易程序</w:t>
      </w:r>
      <w:r>
        <w:rPr>
          <w:rFonts w:hint="default" w:ascii="仿宋_GB2312" w:hAnsi="仿宋_GB2312" w:eastAsia="仿宋_GB2312" w:cs="仿宋_GB2312"/>
          <w:color w:val="auto"/>
          <w:sz w:val="32"/>
          <w:szCs w:val="32"/>
          <w:shd w:val="clear" w:color="auto" w:fill="auto"/>
          <w:lang w:val="en" w:eastAsia="zh-CN"/>
        </w:rPr>
        <w:t>1486</w:t>
      </w:r>
      <w:r>
        <w:rPr>
          <w:rFonts w:hint="eastAsia" w:ascii="仿宋_GB2312" w:hAnsi="仿宋_GB2312" w:eastAsia="仿宋_GB2312" w:cs="仿宋_GB2312"/>
          <w:color w:val="auto"/>
          <w:sz w:val="32"/>
          <w:szCs w:val="32"/>
          <w:shd w:val="clear" w:color="auto" w:fill="auto"/>
          <w:lang w:eastAsia="zh-CN"/>
        </w:rPr>
        <w:t>起，普通程序</w:t>
      </w:r>
      <w:r>
        <w:rPr>
          <w:rFonts w:hint="default" w:ascii="仿宋_GB2312" w:hAnsi="仿宋_GB2312" w:eastAsia="仿宋_GB2312" w:cs="仿宋_GB2312"/>
          <w:color w:val="auto"/>
          <w:sz w:val="32"/>
          <w:szCs w:val="32"/>
          <w:shd w:val="clear" w:color="auto" w:fill="auto"/>
          <w:lang w:val="en" w:eastAsia="zh-CN"/>
        </w:rPr>
        <w:t>3419</w:t>
      </w:r>
      <w:r>
        <w:rPr>
          <w:rFonts w:hint="eastAsia" w:ascii="仿宋_GB2312" w:hAnsi="仿宋_GB2312" w:eastAsia="仿宋_GB2312" w:cs="仿宋_GB2312"/>
          <w:color w:val="auto"/>
          <w:sz w:val="32"/>
          <w:szCs w:val="32"/>
          <w:shd w:val="clear" w:color="auto" w:fill="auto"/>
          <w:lang w:eastAsia="zh-CN"/>
        </w:rPr>
        <w:t>起），较上年</w:t>
      </w:r>
      <w:r>
        <w:rPr>
          <w:rFonts w:hint="eastAsia" w:ascii="仿宋_GB2312" w:hAnsi="仿宋_GB2312" w:eastAsia="仿宋_GB2312" w:cs="仿宋_GB2312"/>
          <w:color w:val="auto"/>
          <w:sz w:val="32"/>
          <w:szCs w:val="32"/>
          <w:shd w:val="clear" w:color="auto" w:fill="auto"/>
          <w:lang w:val="en-US" w:eastAsia="zh-CN"/>
        </w:rPr>
        <w:t>减少</w:t>
      </w:r>
      <w:r>
        <w:rPr>
          <w:rFonts w:hint="default" w:ascii="仿宋_GB2312" w:hAnsi="仿宋_GB2312" w:eastAsia="仿宋_GB2312" w:cs="仿宋_GB2312"/>
          <w:color w:val="auto"/>
          <w:sz w:val="32"/>
          <w:szCs w:val="32"/>
          <w:shd w:val="clear" w:color="auto" w:fill="auto"/>
          <w:lang w:val="en" w:eastAsia="zh-CN"/>
        </w:rPr>
        <w:t>27.9</w:t>
      </w:r>
      <w:r>
        <w:rPr>
          <w:rFonts w:hint="eastAsia" w:ascii="仿宋_GB2312" w:hAnsi="仿宋_GB2312" w:eastAsia="仿宋_GB2312" w:cs="仿宋_GB2312"/>
          <w:color w:val="auto"/>
          <w:sz w:val="32"/>
          <w:szCs w:val="32"/>
          <w:shd w:val="clear" w:color="auto" w:fill="auto"/>
          <w:lang w:val="en-US" w:eastAsia="zh-CN"/>
        </w:rPr>
        <w:t>%。</w:t>
      </w:r>
    </w:p>
    <w:p>
      <w:pPr>
        <w:keepNext w:val="0"/>
        <w:keepLines w:val="0"/>
        <w:pageBreakBefore w:val="0"/>
        <w:widowControl w:val="0"/>
        <w:kinsoku/>
        <w:wordWrap/>
        <w:overflowPunct/>
        <w:topLinePunct w:val="0"/>
        <w:autoSpaceDE/>
        <w:autoSpaceDN/>
        <w:bidi w:val="0"/>
        <w:adjustRightInd/>
        <w:spacing w:line="600" w:lineRule="exact"/>
        <w:ind w:firstLine="622"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二、主要工作措施及成效</w:t>
      </w:r>
    </w:p>
    <w:p>
      <w:pPr>
        <w:pStyle w:val="2"/>
        <w:spacing w:line="600" w:lineRule="exact"/>
        <w:rPr>
          <w:rFonts w:hint="default"/>
          <w:lang w:val="en-US" w:eastAsia="zh-CN"/>
        </w:rPr>
      </w:pPr>
      <w:r>
        <w:rPr>
          <w:rFonts w:hint="eastAsia" w:ascii="楷体" w:hAnsi="楷体" w:eastAsia="楷体" w:cs="楷体"/>
          <w:sz w:val="32"/>
          <w:szCs w:val="32"/>
          <w:lang w:val="en" w:eastAsia="zh-CN"/>
        </w:rPr>
        <w:t>（一）聚焦能力提升，打造高素质队伍。</w:t>
      </w:r>
      <w:r>
        <w:rPr>
          <w:rFonts w:hint="eastAsia" w:ascii="仿宋_GB2312" w:hAnsi="仿宋_GB2312" w:eastAsia="仿宋_GB2312" w:cs="仿宋_GB2312"/>
          <w:sz w:val="32"/>
          <w:szCs w:val="32"/>
          <w:lang w:val="en-US" w:eastAsia="zh-CN"/>
        </w:rPr>
        <w:t>一是</w:t>
      </w:r>
      <w:r>
        <w:rPr>
          <w:rFonts w:hint="default" w:ascii="仿宋_GB2312" w:hAnsi="仿宋_GB2312" w:eastAsia="仿宋_GB2312" w:cs="仿宋_GB2312"/>
          <w:sz w:val="32"/>
          <w:szCs w:val="32"/>
          <w:lang w:val="en-US" w:eastAsia="zh-CN"/>
        </w:rPr>
        <w:t>着力提高政治能力。</w:t>
      </w:r>
      <w:r>
        <w:rPr>
          <w:rFonts w:hint="eastAsia" w:ascii="仿宋_GB2312" w:hAnsi="仿宋_GB2312" w:eastAsia="仿宋_GB2312" w:cs="仿宋_GB2312"/>
          <w:sz w:val="32"/>
          <w:szCs w:val="32"/>
          <w:lang w:val="en-US" w:eastAsia="zh-CN"/>
        </w:rPr>
        <w:t>建立健全行政执法部门党委（党组）理论学习中心组习近平新时代中国特色社会主义思想、习近平法治思想和党的二十大精神常态化机制，将法治素养纳入干部任用任职考核制度，不断深化思想认识，筑牢理论根基。二是</w:t>
      </w:r>
      <w:r>
        <w:rPr>
          <w:rFonts w:hint="default" w:ascii="仿宋_GB2312" w:hAnsi="仿宋_GB2312" w:eastAsia="仿宋_GB2312" w:cs="仿宋_GB2312"/>
          <w:sz w:val="32"/>
          <w:szCs w:val="32"/>
          <w:lang w:val="en-US" w:eastAsia="zh-CN"/>
        </w:rPr>
        <w:t>着力提升执法能力</w:t>
      </w:r>
      <w:r>
        <w:rPr>
          <w:rFonts w:hint="eastAsia" w:ascii="仿宋_GB2312" w:hAnsi="仿宋_GB2312" w:eastAsia="仿宋_GB2312" w:cs="仿宋_GB2312"/>
          <w:sz w:val="32"/>
          <w:szCs w:val="32"/>
          <w:lang w:val="en-US" w:eastAsia="zh-CN"/>
        </w:rPr>
        <w:t>。加强业务培训，定期组织开展全领域、全战线、全覆盖学习培训，不断提高行政执法人员运用法治思维开展工作的本领。依托市行政执法监督平台，组织全覆盖公共法律知识在线培训考试；依托区行政执法监督平台，结合法治政府建设示范创建，完成全区执法人员、新提拔处级干部、新入职公务员法律知识三轮次在线考试。三是</w:t>
      </w:r>
      <w:r>
        <w:rPr>
          <w:rFonts w:hint="default" w:ascii="仿宋_GB2312" w:hAnsi="仿宋_GB2312" w:eastAsia="仿宋_GB2312" w:cs="仿宋_GB2312"/>
          <w:sz w:val="32"/>
          <w:szCs w:val="32"/>
          <w:lang w:val="en-US" w:eastAsia="zh-CN"/>
        </w:rPr>
        <w:t>着力加强队伍建设</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贯彻落实行政执法人员持证执法管理制度，</w:t>
      </w:r>
      <w:r>
        <w:rPr>
          <w:rFonts w:hint="eastAsia" w:ascii="仿宋_GB2312" w:hAnsi="仿宋_GB2312" w:eastAsia="仿宋_GB2312" w:cs="仿宋_GB2312"/>
          <w:sz w:val="32"/>
          <w:szCs w:val="32"/>
          <w:lang w:val="en-US" w:eastAsia="zh-CN"/>
        </w:rPr>
        <w:t>做好行政执法证件的动态管理，严格资格审查，确保执法主体合法。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2" w:firstLineChars="200"/>
        <w:textAlignment w:val="auto"/>
        <w:rPr>
          <w:rFonts w:hint="eastAsia" w:ascii="楷体" w:hAnsi="楷体" w:eastAsia="楷体" w:cs="楷体"/>
          <w:b w:val="0"/>
          <w:bCs w:val="0"/>
          <w:sz w:val="32"/>
          <w:szCs w:val="32"/>
          <w:lang w:val="en" w:eastAsia="zh-CN"/>
        </w:rPr>
      </w:pPr>
      <w:r>
        <w:rPr>
          <w:rFonts w:hint="eastAsia" w:ascii="楷体" w:hAnsi="楷体" w:eastAsia="楷体" w:cs="楷体"/>
          <w:b w:val="0"/>
          <w:bCs w:val="0"/>
          <w:sz w:val="32"/>
          <w:szCs w:val="32"/>
          <w:lang w:val="en" w:eastAsia="zh-CN"/>
        </w:rPr>
        <w:t>（二）严格规范涉企执法，持续优化法治化营商环境。</w:t>
      </w:r>
    </w:p>
    <w:p>
      <w:pPr>
        <w:keepNext w:val="0"/>
        <w:keepLines w:val="0"/>
        <w:pageBreakBefore w:val="0"/>
        <w:widowControl/>
        <w:kinsoku/>
        <w:wordWrap/>
        <w:overflowPunct/>
        <w:topLinePunct w:val="0"/>
        <w:autoSpaceDE/>
        <w:autoSpaceDN/>
        <w:bidi w:val="0"/>
        <w:adjustRightInd/>
        <w:snapToGrid/>
        <w:spacing w:line="600" w:lineRule="exact"/>
        <w:ind w:firstLine="646" w:firstLine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sz w:val="32"/>
          <w:szCs w:val="32"/>
          <w:lang w:val="en-US" w:eastAsia="zh-CN"/>
        </w:rPr>
        <w:t>拓宽行政执法监督渠道</w:t>
      </w:r>
      <w:r>
        <w:rPr>
          <w:rFonts w:hint="eastAsia" w:ascii="仿宋_GB2312" w:hAnsi="仿宋_GB2312" w:eastAsia="仿宋_GB2312" w:cs="仿宋_GB2312"/>
          <w:kern w:val="0"/>
          <w:sz w:val="32"/>
          <w:szCs w:val="32"/>
          <w:shd w:val="clear" w:color="auto" w:fill="FFFFFF"/>
          <w:lang w:val="en-US" w:eastAsia="zh-CN" w:bidi="ar"/>
        </w:rPr>
        <w:t>。强化社会参与，</w:t>
      </w:r>
      <w:r>
        <w:rPr>
          <w:rFonts w:hint="eastAsia" w:ascii="仿宋_GB2312" w:hAnsi="仿宋_GB2312" w:eastAsia="仿宋_GB2312" w:cs="仿宋_GB2312"/>
          <w:b w:val="0"/>
          <w:bCs w:val="0"/>
          <w:kern w:val="0"/>
          <w:sz w:val="32"/>
          <w:szCs w:val="32"/>
          <w:shd w:val="clear" w:color="auto" w:fill="FFFFFF"/>
          <w:lang w:val="en-US" w:eastAsia="zh-CN" w:bidi="ar"/>
        </w:rPr>
        <w:t>建立13家行政执法监督企业联系点，聘任16名特邀行政执法监督员，并将相关信息向社会公开。</w:t>
      </w:r>
      <w:r>
        <w:rPr>
          <w:rFonts w:hint="eastAsia" w:ascii="仿宋_GB2312" w:hAnsi="仿宋_GB2312" w:eastAsia="仿宋_GB2312" w:cs="仿宋_GB2312"/>
          <w:sz w:val="32"/>
          <w:szCs w:val="32"/>
          <w:lang w:val="en-US" w:eastAsia="zh-CN"/>
        </w:rPr>
        <w:t>区行政执法监督平台新增检查评价功能，收集企业对行政检查的意见建议，</w:t>
      </w:r>
      <w:r>
        <w:rPr>
          <w:rFonts w:hint="eastAsia" w:ascii="仿宋_GB2312" w:hAnsi="仿宋_GB2312" w:eastAsia="仿宋_GB2312" w:cs="仿宋_GB2312"/>
          <w:b w:val="0"/>
          <w:bCs w:val="0"/>
          <w:kern w:val="0"/>
          <w:sz w:val="32"/>
          <w:szCs w:val="32"/>
          <w:shd w:val="clear" w:color="auto" w:fill="FFFFFF"/>
          <w:lang w:val="en-US" w:eastAsia="zh-CN" w:bidi="ar"/>
        </w:rPr>
        <w:t>及时发现和纠正行政执法中的问题</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1" w:firstLine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扎实推进</w:t>
      </w:r>
      <w:r>
        <w:rPr>
          <w:rFonts w:hint="eastAsia" w:ascii="仿宋_GB2312" w:hAnsi="仿宋_GB2312" w:eastAsia="仿宋_GB2312" w:cs="仿宋_GB2312"/>
          <w:b w:val="0"/>
          <w:bCs w:val="0"/>
          <w:sz w:val="32"/>
          <w:szCs w:val="32"/>
          <w:lang w:val="en-US" w:eastAsia="zh-CN"/>
        </w:rPr>
        <w:t>规范涉企行政执法专项行动。一是规范行政检查主体，全面清理行政检查主体资格和执法事项，并做好向社会公布。二是</w:t>
      </w:r>
      <w:r>
        <w:rPr>
          <w:rFonts w:hint="eastAsia" w:eastAsia="仿宋_GB2312" w:cs="Times New Roman"/>
          <w:sz w:val="32"/>
          <w:szCs w:val="32"/>
          <w:lang w:val="en-US" w:eastAsia="zh-CN"/>
        </w:rPr>
        <w:t>开展走访调研，</w:t>
      </w:r>
      <w:r>
        <w:rPr>
          <w:rFonts w:hint="eastAsia" w:ascii="仿宋_GB2312" w:hAnsi="仿宋_GB2312" w:eastAsia="仿宋_GB2312" w:cs="仿宋_GB2312"/>
          <w:sz w:val="32"/>
          <w:szCs w:val="32"/>
          <w:lang w:val="en-US" w:eastAsia="zh-CN"/>
        </w:rPr>
        <w:t>通过“滨海司法”、“津滨海”向企业发放涉企行政执法调查问卷，收到答卷1296份，整体基本满意以上占比97.7%；开展企业走访，深入了解执法部门规范执法情况，共走访企业81家，走访部门10个，组织13家行政执法监督企业联系点召开座谈会。</w:t>
      </w:r>
    </w:p>
    <w:p>
      <w:pPr>
        <w:keepNext w:val="0"/>
        <w:keepLines w:val="0"/>
        <w:pageBreakBefore w:val="0"/>
        <w:widowControl w:val="0"/>
        <w:kinsoku/>
        <w:wordWrap/>
        <w:overflowPunct/>
        <w:topLinePunct w:val="0"/>
        <w:autoSpaceDE/>
        <w:autoSpaceDN/>
        <w:bidi w:val="0"/>
        <w:adjustRightInd/>
        <w:snapToGrid/>
        <w:spacing w:line="600" w:lineRule="exact"/>
        <w:ind w:firstLine="621" w:firstLineChars="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 w:val="0"/>
          <w:bCs w:val="0"/>
          <w:sz w:val="32"/>
          <w:szCs w:val="32"/>
          <w:lang w:val="en-US" w:eastAsia="zh-CN"/>
        </w:rPr>
        <w:t>3.推进包容审慎监管，引导采用柔性执法。今年3月份印发《滨海新区轻微违法行为不予行政处罚清单、一般违法行为从轻行政处罚清单、初创企业行政指导清单》（即“三张清单”）</w:t>
      </w:r>
      <w:r>
        <w:rPr>
          <w:rFonts w:hint="default" w:ascii="仿宋_GB2312" w:hAnsi="仿宋_GB2312" w:eastAsia="仿宋_GB2312" w:cs="仿宋_GB2312"/>
          <w:b w:val="0"/>
          <w:bCs w:val="0"/>
          <w:sz w:val="32"/>
          <w:szCs w:val="32"/>
          <w:lang w:val="en" w:eastAsia="zh-CN"/>
        </w:rPr>
        <w:t>,</w:t>
      </w:r>
      <w:r>
        <w:rPr>
          <w:rFonts w:hint="eastAsia" w:ascii="仿宋_GB2312" w:hAnsi="仿宋_GB2312" w:eastAsia="仿宋_GB2312" w:cs="仿宋_GB2312"/>
          <w:b w:val="0"/>
          <w:bCs w:val="0"/>
          <w:sz w:val="32"/>
          <w:szCs w:val="32"/>
          <w:lang w:val="en-US" w:eastAsia="zh-CN"/>
        </w:rPr>
        <w:t>自“三张清单”制定实施以来</w:t>
      </w:r>
      <w:r>
        <w:rPr>
          <w:rFonts w:hint="default" w:ascii="仿宋_GB2312" w:hAnsi="仿宋_GB2312" w:eastAsia="仿宋_GB2312" w:cs="仿宋_GB2312"/>
          <w:b w:val="0"/>
          <w:bCs w:val="0"/>
          <w:sz w:val="32"/>
          <w:szCs w:val="32"/>
          <w:lang w:val="en" w:eastAsia="zh-CN"/>
        </w:rPr>
        <w:t>,</w:t>
      </w:r>
      <w:r>
        <w:rPr>
          <w:rFonts w:hint="eastAsia" w:ascii="仿宋_GB2312" w:hAnsi="仿宋_GB2312" w:eastAsia="仿宋_GB2312" w:cs="仿宋_GB2312"/>
          <w:sz w:val="32"/>
          <w:szCs w:val="32"/>
          <w:lang w:eastAsia="zh-CN"/>
        </w:rPr>
        <w:t>全区</w:t>
      </w:r>
      <w:r>
        <w:rPr>
          <w:rFonts w:hint="eastAsia" w:ascii="仿宋_GB2312" w:hAnsi="仿宋_GB2312" w:eastAsia="仿宋_GB2312" w:cs="仿宋_GB2312"/>
          <w:sz w:val="32"/>
          <w:szCs w:val="32"/>
          <w:lang w:val="en-US" w:eastAsia="zh-CN"/>
        </w:rPr>
        <w:t>不予行政处罚13</w:t>
      </w:r>
      <w:r>
        <w:rPr>
          <w:rFonts w:hint="default" w:ascii="仿宋_GB2312" w:hAnsi="仿宋_GB2312" w:eastAsia="仿宋_GB2312" w:cs="仿宋_GB2312"/>
          <w:sz w:val="32"/>
          <w:szCs w:val="32"/>
          <w:lang w:val="en" w:eastAsia="zh-CN"/>
        </w:rPr>
        <w:t>45</w:t>
      </w:r>
      <w:r>
        <w:rPr>
          <w:rFonts w:hint="eastAsia" w:ascii="仿宋_GB2312" w:hAnsi="仿宋_GB2312" w:eastAsia="仿宋_GB2312" w:cs="仿宋_GB2312"/>
          <w:sz w:val="32"/>
          <w:szCs w:val="32"/>
          <w:lang w:val="en-US" w:eastAsia="zh-CN"/>
        </w:rPr>
        <w:t>件，从轻减轻处罚72</w:t>
      </w:r>
      <w:r>
        <w:rPr>
          <w:rFonts w:hint="default" w:ascii="仿宋_GB2312" w:hAnsi="仿宋_GB2312" w:eastAsia="仿宋_GB2312" w:cs="仿宋_GB2312"/>
          <w:sz w:val="32"/>
          <w:szCs w:val="32"/>
          <w:lang w:val="en" w:eastAsia="zh-CN"/>
        </w:rPr>
        <w:t>4</w:t>
      </w:r>
      <w:r>
        <w:rPr>
          <w:rFonts w:hint="eastAsia" w:ascii="仿宋_GB2312" w:hAnsi="仿宋_GB2312" w:eastAsia="仿宋_GB2312" w:cs="仿宋_GB2312"/>
          <w:sz w:val="32"/>
          <w:szCs w:val="32"/>
          <w:lang w:val="en-US" w:eastAsia="zh-CN"/>
        </w:rPr>
        <w:t>件，免罚金额</w:t>
      </w:r>
      <w:r>
        <w:rPr>
          <w:rFonts w:hint="default" w:ascii="仿宋_GB2312" w:hAnsi="仿宋_GB2312" w:eastAsia="仿宋_GB2312" w:cs="仿宋_GB2312"/>
          <w:sz w:val="32"/>
          <w:szCs w:val="32"/>
          <w:lang w:val="en" w:eastAsia="zh-CN"/>
        </w:rPr>
        <w:t>1102.7</w:t>
      </w:r>
      <w:r>
        <w:rPr>
          <w:rFonts w:hint="eastAsia" w:ascii="仿宋_GB2312" w:hAnsi="仿宋_GB2312" w:eastAsia="仿宋_GB2312" w:cs="仿宋_GB2312"/>
          <w:sz w:val="32"/>
          <w:szCs w:val="32"/>
          <w:lang w:val="en-US" w:eastAsia="zh-CN"/>
        </w:rPr>
        <w:t>万元，轻罚金额</w:t>
      </w:r>
      <w:r>
        <w:rPr>
          <w:rFonts w:hint="default" w:ascii="仿宋_GB2312" w:hAnsi="仿宋_GB2312" w:eastAsia="仿宋_GB2312" w:cs="仿宋_GB2312"/>
          <w:sz w:val="32"/>
          <w:szCs w:val="32"/>
          <w:lang w:val="en" w:eastAsia="zh-CN"/>
        </w:rPr>
        <w:t>1258.3</w:t>
      </w:r>
      <w:r>
        <w:rPr>
          <w:rFonts w:hint="eastAsia" w:ascii="仿宋_GB2312" w:hAnsi="仿宋_GB2312" w:eastAsia="仿宋_GB2312" w:cs="仿宋_GB2312"/>
          <w:sz w:val="32"/>
          <w:szCs w:val="32"/>
          <w:lang w:val="en-US" w:eastAsia="zh-CN"/>
        </w:rPr>
        <w:t>万元，鼓励各执法单位更多采取警示约谈、说服教育等柔性执法措施，</w:t>
      </w:r>
      <w:r>
        <w:rPr>
          <w:rFonts w:hint="eastAsia" w:ascii="仿宋_GB2312" w:hAnsi="仿宋_GB2312" w:eastAsia="仿宋_GB2312" w:cs="仿宋_GB2312"/>
          <w:bCs/>
          <w:sz w:val="32"/>
          <w:szCs w:val="32"/>
          <w:lang w:eastAsia="zh-CN"/>
        </w:rPr>
        <w:t>切实减轻企业负担，帮助企业守法合规经营。</w:t>
      </w:r>
    </w:p>
    <w:p>
      <w:pPr>
        <w:spacing w:line="600" w:lineRule="exact"/>
        <w:ind w:firstLine="622"/>
        <w:rPr>
          <w:rFonts w:hint="eastAsia" w:ascii="楷体_GB2312" w:hAnsi="楷体_GB2312" w:eastAsia="仿宋_GB2312" w:cs="楷体_GB2312"/>
          <w:bCs w:val="0"/>
          <w:sz w:val="32"/>
          <w:szCs w:val="32"/>
          <w:lang w:val="en-US" w:eastAsia="zh-CN"/>
        </w:rPr>
      </w:pPr>
      <w:r>
        <w:rPr>
          <w:rFonts w:hint="eastAsia" w:ascii="楷体" w:hAnsi="楷体" w:eastAsia="楷体" w:cs="楷体"/>
          <w:bCs w:val="0"/>
          <w:sz w:val="32"/>
          <w:szCs w:val="32"/>
          <w:lang w:val="en" w:eastAsia="zh-CN"/>
        </w:rPr>
        <w:t>（三）聚焦重点领域，抓好常态化监管。</w:t>
      </w:r>
      <w:r>
        <w:rPr>
          <w:rFonts w:hint="eastAsia" w:ascii="仿宋_GB2312" w:hAnsi="仿宋_GB2312" w:eastAsia="仿宋_GB2312" w:cs="仿宋_GB2312"/>
          <w:bCs w:val="0"/>
          <w:sz w:val="32"/>
          <w:szCs w:val="32"/>
          <w:lang w:val="en-US" w:eastAsia="zh-CN"/>
        </w:rPr>
        <w:t>住房建设领域：加强安全生产、工程质量和文明施工监督检查力度，针对</w:t>
      </w:r>
      <w:r>
        <w:rPr>
          <w:rFonts w:hint="eastAsia" w:ascii="仿宋_GB2312" w:eastAsia="仿宋_GB2312"/>
          <w:sz w:val="32"/>
          <w:szCs w:val="32"/>
        </w:rPr>
        <w:t>高处作业、动火作业和保温材料、燃气安全、危化品、消防安全、防范硫化氢中毒和有限空间作业等</w:t>
      </w:r>
      <w:r>
        <w:rPr>
          <w:rFonts w:hint="eastAsia" w:ascii="仿宋_GB2312" w:eastAsia="仿宋_GB2312"/>
          <w:sz w:val="32"/>
          <w:szCs w:val="32"/>
          <w:lang w:eastAsia="zh-CN"/>
        </w:rPr>
        <w:t>开展重点检查，</w:t>
      </w:r>
      <w:r>
        <w:rPr>
          <w:rFonts w:hint="eastAsia" w:ascii="仿宋_GB2312" w:eastAsia="仿宋_GB2312"/>
          <w:sz w:val="32"/>
          <w:szCs w:val="32"/>
        </w:rPr>
        <w:t>累计出动检查组4184组次，检查项目4432项次，出动执法人员11693人次，下达责令整改通知书1630份，涉及整改意见5035条，下达暂停施工通知书85份，涉及停工意见296条。</w:t>
      </w:r>
      <w:r>
        <w:rPr>
          <w:rFonts w:hint="eastAsia" w:ascii="仿宋_GB2312" w:eastAsia="仿宋_GB2312"/>
          <w:sz w:val="32"/>
          <w:szCs w:val="32"/>
          <w:lang w:eastAsia="zh-CN"/>
        </w:rPr>
        <w:t>生态环境领域：聚焦“重点领域、重点区域、重点时段”,深入打好污染防治攻坚战,创新开展固体废物和新污染物治理。用足用好各类信息化平台和执法装备,开展油气回收检测仪、红外热成像仪、多参数气体检测仪等新装备的实战实训,不断丰富非现场监管执法手段,拓展各类新装备应用场景。应急管理领域：</w:t>
      </w:r>
      <w:r>
        <w:rPr>
          <w:rFonts w:hint="eastAsia" w:ascii="仿宋_GB2312" w:hAnsi="仿宋_GB2312" w:eastAsia="仿宋_GB2312" w:cs="仿宋_GB2312"/>
          <w:b w:val="0"/>
          <w:bCs/>
          <w:sz w:val="32"/>
          <w:szCs w:val="32"/>
          <w:highlight w:val="none"/>
          <w:lang w:val="en-US" w:eastAsia="zh-CN"/>
        </w:rPr>
        <w:t>扎实推进安全生产百日攻坚行动，组织召开全区危化品企业警示教育大会，通过剖析典型事故案例，研判安全生产形势，强化企业主体责任意识。将百日攻坚行动与“无事故企业”创建深度融合，构建“层层传导、全员覆盖”的责任体系。构建“企业自查+专家诊断+执法检查”的立体化监管体系，推动企业从“被动整改隐患”向“主动提升”转变。交通运输领域：</w:t>
      </w:r>
      <w:r>
        <w:rPr>
          <w:rFonts w:hint="eastAsia" w:ascii="仿宋_GB2312" w:hAnsi="仿宋_GB2312" w:eastAsia="仿宋_GB2312" w:cs="仿宋_GB2312"/>
          <w:sz w:val="32"/>
          <w:szCs w:val="32"/>
          <w:lang w:val="en-US" w:eastAsia="zh-CN"/>
        </w:rPr>
        <w:t>定期开展“路警”联合执法行动，</w:t>
      </w: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以来</w:t>
      </w:r>
      <w:r>
        <w:rPr>
          <w:rFonts w:hint="default" w:ascii="仿宋_GB2312" w:hAnsi="仿宋_GB2312" w:eastAsia="仿宋_GB2312" w:cs="仿宋_GB2312"/>
          <w:sz w:val="32"/>
          <w:szCs w:val="32"/>
          <w:lang w:val="en-US" w:eastAsia="zh-CN"/>
        </w:rPr>
        <w:t>共查扣车辆</w:t>
      </w:r>
      <w:r>
        <w:rPr>
          <w:rFonts w:hint="eastAsia" w:ascii="仿宋_GB2312" w:hAnsi="仿宋_GB2312" w:eastAsia="仿宋_GB2312" w:cs="仿宋_GB2312"/>
          <w:sz w:val="32"/>
          <w:szCs w:val="32"/>
          <w:lang w:val="en-US" w:eastAsia="zh-CN"/>
        </w:rPr>
        <w:t>779</w:t>
      </w:r>
      <w:r>
        <w:rPr>
          <w:rFonts w:hint="default" w:ascii="仿宋_GB2312" w:hAnsi="仿宋_GB2312" w:eastAsia="仿宋_GB2312" w:cs="仿宋_GB2312"/>
          <w:sz w:val="32"/>
          <w:szCs w:val="32"/>
          <w:lang w:val="en-US" w:eastAsia="zh-CN"/>
        </w:rPr>
        <w:t>辆，其中</w:t>
      </w:r>
      <w:r>
        <w:rPr>
          <w:rFonts w:hint="eastAsia" w:ascii="仿宋_GB2312" w:hAnsi="仿宋_GB2312" w:eastAsia="仿宋_GB2312" w:cs="仿宋_GB2312"/>
          <w:sz w:val="32"/>
          <w:szCs w:val="32"/>
          <w:lang w:val="en-US" w:eastAsia="zh-CN"/>
        </w:rPr>
        <w:t>“双百”车辆146</w:t>
      </w:r>
      <w:r>
        <w:rPr>
          <w:rFonts w:hint="default" w:ascii="仿宋_GB2312" w:hAnsi="仿宋_GB2312" w:eastAsia="仿宋_GB2312" w:cs="仿宋_GB2312"/>
          <w:sz w:val="32"/>
          <w:szCs w:val="32"/>
          <w:lang w:val="en-US" w:eastAsia="zh-CN"/>
        </w:rPr>
        <w:t>辆，卸载货物</w:t>
      </w:r>
      <w:r>
        <w:rPr>
          <w:rFonts w:hint="eastAsia" w:ascii="仿宋_GB2312" w:hAnsi="仿宋_GB2312" w:eastAsia="仿宋_GB2312" w:cs="仿宋_GB2312"/>
          <w:sz w:val="32"/>
          <w:szCs w:val="32"/>
          <w:lang w:val="en-US" w:eastAsia="zh-CN"/>
        </w:rPr>
        <w:t>3.3万</w:t>
      </w:r>
      <w:r>
        <w:rPr>
          <w:rFonts w:hint="default" w:ascii="仿宋_GB2312" w:hAnsi="仿宋_GB2312" w:eastAsia="仿宋_GB2312" w:cs="仿宋_GB2312"/>
          <w:sz w:val="32"/>
          <w:szCs w:val="32"/>
          <w:lang w:val="en-US" w:eastAsia="zh-CN"/>
        </w:rPr>
        <w:t>吨</w:t>
      </w:r>
      <w:r>
        <w:rPr>
          <w:rFonts w:hint="eastAsia" w:ascii="仿宋_GB2312" w:hAnsi="仿宋_GB2312" w:eastAsia="仿宋_GB2312" w:cs="仿宋_GB2312"/>
          <w:sz w:val="32"/>
          <w:szCs w:val="32"/>
          <w:lang w:val="en-US" w:eastAsia="zh-CN"/>
        </w:rPr>
        <w:t>，处罚212件，罚款170.45万元。同时，加大源头治理力度，普及车辆超限超载法律法规知识，明确企业主体责任，并签订承诺书。共处罚货运源头9件，罚款8万元，停业整顿9件，吊销道路运输证1件，全部纳入信用惩戒。市场监管领域：</w:t>
      </w:r>
      <w:r>
        <w:rPr>
          <w:rFonts w:hint="eastAsia" w:ascii="仿宋_GB2312" w:eastAsia="仿宋_GB2312"/>
          <w:color w:val="000000"/>
          <w:sz w:val="32"/>
          <w:szCs w:val="32"/>
        </w:rPr>
        <w:t>深入开展2025“守护消费”铁拳行动，聚焦消费领域人民群众反映强烈、社会危害性突出的问题，强化精准打击，集中查办大案要案。2025年查办“铁拳”重点案件139件、罚没款金额合计169.32万元、移送司法机关涉嫌犯罪案件线索18件。加强曝光典型案例，提升对违法行为的震慑效果，对外公布典型案例6件。</w:t>
      </w:r>
      <w:r>
        <w:rPr>
          <w:rFonts w:hint="eastAsia" w:ascii="仿宋_GB2312" w:eastAsia="仿宋_GB2312"/>
          <w:color w:val="000000"/>
          <w:sz w:val="32"/>
          <w:szCs w:val="32"/>
          <w:lang w:eastAsia="zh-CN"/>
        </w:rPr>
        <w:t>城市管理领域：</w:t>
      </w:r>
      <w:r>
        <w:rPr>
          <w:rFonts w:hint="eastAsia" w:ascii="仿宋_GB2312" w:hAnsi="黑体" w:eastAsia="仿宋_GB2312"/>
          <w:bCs/>
          <w:sz w:val="32"/>
          <w:szCs w:val="32"/>
        </w:rPr>
        <w:t>进一步强化占路经营、里空外卖、建成区露天焚烧、违法户外广告设施、共享单车停放秩序、渣土撒漏、乱丢垃圾等违法行为的治理力度</w:t>
      </w:r>
      <w:r>
        <w:rPr>
          <w:rFonts w:hint="eastAsia" w:ascii="仿宋_GB2312" w:hAnsi="黑体" w:eastAsia="仿宋_GB2312"/>
          <w:bCs/>
          <w:sz w:val="32"/>
          <w:szCs w:val="32"/>
          <w:lang w:eastAsia="zh-CN"/>
        </w:rPr>
        <w:t>，</w:t>
      </w:r>
      <w:r>
        <w:rPr>
          <w:rFonts w:hint="eastAsia" w:ascii="仿宋_GB2312" w:hAnsi="黑体" w:eastAsia="仿宋_GB2312"/>
          <w:bCs/>
          <w:sz w:val="32"/>
          <w:szCs w:val="32"/>
        </w:rPr>
        <w:t>聚焦燃气、供热、道桥、道路交通等公共安全领域，依法依规严格查处违法违规行为，切实守好城市安全运行底线，做好各项安全防范工作。</w:t>
      </w:r>
    </w:p>
    <w:p>
      <w:pPr>
        <w:widowControl/>
        <w:adjustRightInd/>
        <w:snapToGrid/>
        <w:spacing w:line="600" w:lineRule="exact"/>
        <w:ind w:firstLine="622" w:firstLineChars="0"/>
        <w:rPr>
          <w:rFonts w:hint="eastAsia" w:ascii="仿宋_GB2312" w:hAnsi="仿宋_GB2312" w:eastAsia="仿宋_GB2312" w:cs="仿宋_GB2312"/>
          <w:sz w:val="32"/>
          <w:szCs w:val="32"/>
          <w:lang w:val="en-US" w:eastAsia="zh-CN"/>
        </w:rPr>
      </w:pPr>
      <w:r>
        <w:rPr>
          <w:rFonts w:hint="eastAsia" w:ascii="楷体" w:hAnsi="楷体" w:eastAsia="楷体" w:cs="楷体"/>
          <w:sz w:val="32"/>
          <w:szCs w:val="32"/>
          <w:shd w:val="clear"/>
          <w:lang w:val="en-US" w:eastAsia="zh-CN"/>
        </w:rPr>
        <w:t>（</w:t>
      </w:r>
      <w:r>
        <w:rPr>
          <w:rFonts w:hint="eastAsia" w:ascii="楷体" w:hAnsi="楷体" w:eastAsia="楷体" w:cs="楷体"/>
          <w:sz w:val="32"/>
          <w:szCs w:val="32"/>
          <w:shd w:val="clear"/>
          <w:lang w:val="en" w:eastAsia="zh-CN"/>
        </w:rPr>
        <w:t>四</w:t>
      </w:r>
      <w:r>
        <w:rPr>
          <w:rFonts w:hint="eastAsia" w:ascii="楷体" w:hAnsi="楷体" w:eastAsia="楷体" w:cs="楷体"/>
          <w:sz w:val="32"/>
          <w:szCs w:val="32"/>
          <w:shd w:val="clear"/>
          <w:lang w:val="en-US" w:eastAsia="zh-CN"/>
        </w:rPr>
        <w:t>）深化街镇综合执法改革，做好收回执法事项衔接。</w:t>
      </w:r>
      <w:r>
        <w:rPr>
          <w:rFonts w:hint="eastAsia" w:ascii="仿宋_GB2312" w:hAnsi="仿宋_GB2312" w:eastAsia="仿宋_GB2312" w:cs="仿宋_GB2312"/>
          <w:sz w:val="32"/>
          <w:szCs w:val="32"/>
          <w:shd w:val="clear"/>
          <w:lang w:val="en-US" w:eastAsia="zh-CN"/>
        </w:rPr>
        <w:t>组织21个街镇和相关部门召开综合执法收回事项工作衔接座谈会，围绕涉及收回事项尚未办结案件存在的交接难点问题进行交流讨论，就各街镇的共性问题由相关部门进行解释指导。积极对接区法院，召开街镇综合执法部分职权收回工作衔接研讨会，就执法主体调整的时间节点、执法事项如何界定等争议焦点展开交流，提出协调指导意见，督促部门与街镇加强协作配合，确保收回工作平稳衔接。</w:t>
      </w:r>
    </w:p>
    <w:p>
      <w:pPr>
        <w:adjustRightInd/>
        <w:snapToGrid/>
        <w:spacing w:line="600" w:lineRule="exact"/>
        <w:ind w:firstLine="622"/>
        <w:rPr>
          <w:rFonts w:hint="eastAsia" w:ascii="仿宋_GB2312" w:hAnsi="仿宋_GB2312" w:eastAsia="仿宋_GB2312" w:cs="仿宋_GB2312"/>
          <w:sz w:val="32"/>
          <w:szCs w:val="32"/>
          <w:lang w:val="en-US" w:eastAsia="zh-CN"/>
        </w:rPr>
      </w:pPr>
      <w:r>
        <w:rPr>
          <w:rFonts w:hint="eastAsia" w:ascii="楷体" w:hAnsi="楷体" w:eastAsia="楷体" w:cs="楷体"/>
          <w:b w:val="0"/>
          <w:bCs w:val="0"/>
          <w:sz w:val="32"/>
          <w:szCs w:val="32"/>
          <w:lang w:val="en-US" w:eastAsia="zh-CN"/>
        </w:rPr>
        <w:t>（五）强化执法监督，推动执法规范。</w:t>
      </w:r>
      <w:r>
        <w:rPr>
          <w:rFonts w:hint="eastAsia" w:ascii="仿宋_GB2312" w:hAnsi="仿宋_GB2312" w:eastAsia="仿宋_GB2312" w:cs="仿宋_GB2312"/>
          <w:sz w:val="32"/>
          <w:szCs w:val="32"/>
          <w:lang w:val="en-US" w:eastAsia="zh-CN"/>
        </w:rPr>
        <w:t>一是加强制度体系建设。</w:t>
      </w:r>
      <w:r>
        <w:rPr>
          <w:rFonts w:hint="eastAsia" w:ascii="仿宋_GB2312" w:hAnsi="仿宋_GB2312" w:eastAsia="仿宋_GB2312" w:cs="仿宋_GB2312"/>
          <w:sz w:val="32"/>
          <w:szCs w:val="32"/>
          <w:lang w:val="en" w:eastAsia="zh-CN"/>
        </w:rPr>
        <w:t>推进</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kern w:val="2"/>
          <w:sz w:val="32"/>
          <w:szCs w:val="32"/>
          <w:highlight w:val="none"/>
          <w:lang w:val="en-US" w:eastAsia="zh-CN" w:bidi="ar-SA"/>
        </w:rPr>
        <w:t>2025</w:t>
      </w:r>
      <w:r>
        <w:rPr>
          <w:rFonts w:hint="eastAsia" w:ascii="仿宋_GB2312" w:hAnsi="仿宋_GB2312" w:eastAsia="仿宋_GB2312" w:cs="仿宋_GB2312"/>
          <w:sz w:val="32"/>
          <w:szCs w:val="32"/>
          <w:lang w:val="en-US" w:eastAsia="zh-CN"/>
        </w:rPr>
        <w:t>年天津市滨海新区行政执法协调监督工作方案》落实落细，推动构建区级和各行政执法部门、街镇行政执法监督体系建设。二是定期开展</w:t>
      </w:r>
      <w:r>
        <w:rPr>
          <w:rFonts w:hint="eastAsia" w:ascii="仿宋_GB2312" w:hAnsi="仿宋_GB2312" w:eastAsia="仿宋_GB2312" w:cs="仿宋_GB2312"/>
          <w:b w:val="0"/>
          <w:bCs w:val="0"/>
          <w:kern w:val="2"/>
          <w:sz w:val="32"/>
          <w:szCs w:val="32"/>
          <w:lang w:val="en-US" w:eastAsia="zh-CN" w:bidi="ar-SA"/>
        </w:rPr>
        <w:t>行政执法质效评估，从执法人员参与率、执法权责履职率、执法计划完成率、执法案卷质量等多维度对全区各执法单位的执法质量和执法效能进行评估，做好质效评估问题通报，督促各单位规范执法，依法履职。三是</w:t>
      </w:r>
      <w:r>
        <w:rPr>
          <w:rFonts w:hint="eastAsia" w:ascii="仿宋_GB2312" w:hAnsi="仿宋_GB2312" w:eastAsia="仿宋_GB2312" w:cs="仿宋_GB2312"/>
          <w:sz w:val="32"/>
          <w:szCs w:val="32"/>
          <w:lang w:val="en-US" w:eastAsia="zh-CN"/>
        </w:rPr>
        <w:t>加强行政执法监督和协调</w:t>
      </w:r>
      <w:r>
        <w:rPr>
          <w:rFonts w:hint="eastAsia" w:ascii="仿宋_GB2312" w:hAnsi="仿宋_GB2312" w:eastAsia="仿宋_GB2312" w:cs="仿宋_GB2312"/>
          <w:sz w:val="32"/>
          <w:szCs w:val="32"/>
        </w:rPr>
        <w:t>指导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开展行政执法监督，</w:t>
      </w:r>
      <w:r>
        <w:rPr>
          <w:rFonts w:hint="eastAsia" w:ascii="仿宋_GB2312" w:hAnsi="仿宋_GB2312" w:eastAsia="仿宋_GB2312" w:cs="仿宋_GB2312"/>
          <w:sz w:val="32"/>
          <w:szCs w:val="32"/>
          <w:lang w:eastAsia="zh-CN"/>
        </w:rPr>
        <w:t>参加</w:t>
      </w:r>
      <w:r>
        <w:rPr>
          <w:rFonts w:hint="eastAsia" w:ascii="仿宋_GB2312" w:hAnsi="仿宋_GB2312" w:eastAsia="仿宋_GB2312" w:cs="仿宋_GB2312"/>
          <w:sz w:val="32"/>
          <w:szCs w:val="32"/>
          <w:lang w:val="en-US" w:eastAsia="zh-CN"/>
        </w:rPr>
        <w:t>执法协调会170余次，提出执法工作建议200余条。四是做好案卷评查工作。通过线上线下相结合的形式，开展执法案卷季度抽查、互评互查，共评查案卷1000余本，发现各类问题90余处，对案卷中存在的问题逐案反馈，督促做好问题整改工作。</w:t>
      </w:r>
    </w:p>
    <w:p>
      <w:pPr>
        <w:pStyle w:val="9"/>
        <w:keepNext w:val="0"/>
        <w:keepLines w:val="0"/>
        <w:pageBreakBefore w:val="0"/>
        <w:widowControl w:val="0"/>
        <w:kinsoku/>
        <w:wordWrap/>
        <w:overflowPunct/>
        <w:topLinePunct w:val="0"/>
        <w:autoSpaceDE/>
        <w:autoSpaceDN/>
        <w:bidi w:val="0"/>
        <w:spacing w:line="600" w:lineRule="exact"/>
        <w:ind w:firstLine="622"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三、下一步工作计划</w:t>
      </w:r>
    </w:p>
    <w:p>
      <w:pPr>
        <w:pStyle w:val="2"/>
        <w:keepNext w:val="0"/>
        <w:keepLines w:val="0"/>
        <w:pageBreakBefore w:val="0"/>
        <w:widowControl w:val="0"/>
        <w:kinsoku/>
        <w:wordWrap/>
        <w:overflowPunct/>
        <w:topLinePunct w:val="0"/>
        <w:autoSpaceDE/>
        <w:autoSpaceDN/>
        <w:bidi w:val="0"/>
        <w:adjustRightInd/>
        <w:spacing w:beforeAutospacing="0" w:afterAutospacing="0" w:line="600" w:lineRule="exact"/>
        <w:ind w:firstLine="622" w:firstLineChars="200"/>
        <w:jc w:val="both"/>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color w:val="auto"/>
          <w:sz w:val="32"/>
          <w:szCs w:val="32"/>
          <w:lang w:val="en" w:eastAsia="zh-CN"/>
        </w:rPr>
        <w:t>（一）加强行政执法队伍建设。</w:t>
      </w:r>
      <w:r>
        <w:rPr>
          <w:rFonts w:hint="eastAsia" w:ascii="仿宋_GB2312" w:hAnsi="仿宋_GB2312" w:eastAsia="仿宋_GB2312" w:cs="仿宋_GB2312"/>
          <w:color w:val="auto"/>
          <w:sz w:val="32"/>
          <w:szCs w:val="32"/>
          <w:lang w:val="en-US" w:eastAsia="zh-CN"/>
        </w:rPr>
        <w:t>严格落实行政执法人员资格管理和持证上岗制度，</w:t>
      </w:r>
      <w:r>
        <w:rPr>
          <w:rFonts w:hint="eastAsia" w:ascii="仿宋_GB2312" w:hAnsi="仿宋_GB2312" w:eastAsia="仿宋_GB2312" w:cs="仿宋_GB2312"/>
          <w:color w:val="auto"/>
          <w:kern w:val="2"/>
          <w:sz w:val="32"/>
          <w:szCs w:val="32"/>
          <w:lang w:val="en-US" w:eastAsia="zh-CN" w:bidi="ar-SA"/>
        </w:rPr>
        <w:t>把好执法入口关</w:t>
      </w:r>
      <w:r>
        <w:rPr>
          <w:rFonts w:hint="eastAsia" w:ascii="仿宋_GB2312" w:hAnsi="仿宋_GB2312" w:eastAsia="仿宋_GB2312" w:cs="仿宋_GB2312"/>
          <w:color w:val="auto"/>
          <w:sz w:val="32"/>
          <w:szCs w:val="32"/>
          <w:lang w:val="en-US" w:eastAsia="zh-CN"/>
        </w:rPr>
        <w:t>。持续强化行政执法业务培训，突出培训的针对性和时效性，推动《行政执法人员行为准则》落到实处，提升执法人员业务能力和行为规范。进一步加强法制机构设立和</w:t>
      </w:r>
      <w:r>
        <w:rPr>
          <w:rFonts w:hint="eastAsia" w:ascii="仿宋_GB2312" w:hAnsi="仿宋_GB2312" w:eastAsia="仿宋_GB2312" w:cs="仿宋_GB2312"/>
          <w:color w:val="auto"/>
          <w:sz w:val="32"/>
          <w:szCs w:val="32"/>
        </w:rPr>
        <w:t>机构人员配备，积极引进法律人才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充实法制机构人员力量</w:t>
      </w:r>
      <w:r>
        <w:rPr>
          <w:rFonts w:hint="eastAsia" w:ascii="仿宋_GB2312" w:hAnsi="仿宋_GB2312" w:eastAsia="仿宋_GB2312" w:cs="仿宋_GB2312"/>
          <w:color w:val="auto"/>
          <w:sz w:val="32"/>
          <w:szCs w:val="32"/>
        </w:rPr>
        <w:t>,充分发挥外部法律顾问和本部门公职律师的作用</w:t>
      </w:r>
      <w:r>
        <w:rPr>
          <w:rFonts w:hint="eastAsia" w:ascii="仿宋_GB2312" w:hAnsi="仿宋_GB2312" w:eastAsia="仿宋_GB2312" w:cs="仿宋_GB2312"/>
          <w:color w:val="auto"/>
          <w:sz w:val="32"/>
          <w:szCs w:val="32"/>
          <w:lang w:eastAsia="zh-CN"/>
        </w:rPr>
        <w:t>。</w:t>
      </w:r>
    </w:p>
    <w:p>
      <w:pPr>
        <w:pStyle w:val="11"/>
        <w:keepNext w:val="0"/>
        <w:keepLines w:val="0"/>
        <w:pageBreakBefore w:val="0"/>
        <w:widowControl w:val="0"/>
        <w:kinsoku/>
        <w:wordWrap/>
        <w:overflowPunct/>
        <w:topLinePunct w:val="0"/>
        <w:autoSpaceDE/>
        <w:autoSpaceDN/>
        <w:bidi w:val="0"/>
        <w:adjustRightInd/>
        <w:spacing w:beforeAutospacing="0" w:afterAutospacing="0" w:line="600" w:lineRule="exact"/>
        <w:ind w:left="0" w:leftChars="0" w:firstLine="0" w:firstLineChars="0"/>
        <w:jc w:val="both"/>
        <w:textAlignment w:val="auto"/>
        <w:rPr>
          <w:rFonts w:hint="default" w:ascii="方正楷体_GBK" w:hAnsi="方正楷体_GBK" w:eastAsia="方正楷体_GBK" w:cs="方正楷体_GBK"/>
          <w:color w:val="auto"/>
          <w:sz w:val="32"/>
          <w:szCs w:val="32"/>
          <w:lang w:val="en-US" w:eastAsia="zh-CN"/>
        </w:rPr>
      </w:pPr>
      <w:r>
        <w:rPr>
          <w:rFonts w:hint="eastAsia" w:ascii="楷体" w:hAnsi="楷体" w:eastAsia="楷体" w:cs="楷体"/>
          <w:b w:val="0"/>
          <w:bCs w:val="0"/>
          <w:kern w:val="2"/>
          <w:sz w:val="32"/>
          <w:szCs w:val="32"/>
          <w:lang w:val="en" w:eastAsia="zh-CN" w:bidi="ar-SA"/>
        </w:rPr>
        <w:t xml:space="preserve">    （二）进一步规范行政执法行为。</w:t>
      </w:r>
      <w:r>
        <w:rPr>
          <w:rFonts w:hint="eastAsia" w:ascii="仿宋_GB2312" w:hAnsi="仿宋_GB2312" w:eastAsia="仿宋_GB2312" w:cs="仿宋_GB2312"/>
          <w:b w:val="0"/>
          <w:bCs w:val="0"/>
          <w:sz w:val="32"/>
          <w:szCs w:val="32"/>
          <w:lang w:val="en-US" w:eastAsia="zh-CN"/>
        </w:rPr>
        <w:t>加强对区行政执法监督平台行政执法案件办理情况的统计和情况通报，</w:t>
      </w:r>
      <w:r>
        <w:rPr>
          <w:rFonts w:hint="eastAsia" w:ascii="仿宋_GB2312" w:hAnsi="仿宋_GB2312" w:eastAsia="仿宋_GB2312" w:cs="仿宋_GB2312"/>
          <w:sz w:val="32"/>
          <w:szCs w:val="32"/>
          <w:lang w:val="en-US" w:eastAsia="zh-CN"/>
        </w:rPr>
        <w:t>督促各行政执法机关</w:t>
      </w:r>
      <w:r>
        <w:rPr>
          <w:rFonts w:hint="eastAsia" w:ascii="仿宋_GB2312" w:hAnsi="黑体" w:eastAsia="仿宋_GB2312"/>
          <w:sz w:val="32"/>
          <w:szCs w:val="32"/>
          <w:lang w:val="en-US" w:eastAsia="zh-CN"/>
        </w:rPr>
        <w:t>严格执行《滨海新区行政检查办法》，全面落实“电子检查证”制度，严格按照计划，持执法证和“电子检查证”开展现场检查，杜绝</w:t>
      </w:r>
      <w:r>
        <w:rPr>
          <w:rFonts w:hint="eastAsia" w:ascii="仿宋_GB2312" w:hAnsi="仿宋_GB2312" w:eastAsia="仿宋_GB2312" w:cs="仿宋_GB2312"/>
          <w:sz w:val="32"/>
          <w:szCs w:val="32"/>
          <w:lang w:val="en-US" w:eastAsia="zh-CN"/>
        </w:rPr>
        <w:t>随意执法、任性执法、重复执法等情况的发生，巩固深化规范涉企行政执法专项行动已有成果，健全规范涉企行政执法长效机制。</w:t>
      </w:r>
    </w:p>
    <w:p>
      <w:pPr>
        <w:pStyle w:val="9"/>
        <w:keepNext w:val="0"/>
        <w:keepLines w:val="0"/>
        <w:pageBreakBefore w:val="0"/>
        <w:widowControl w:val="0"/>
        <w:kinsoku/>
        <w:wordWrap/>
        <w:overflowPunct/>
        <w:topLinePunct w:val="0"/>
        <w:autoSpaceDE/>
        <w:autoSpaceDN/>
        <w:bidi w:val="0"/>
        <w:adjustRightInd/>
        <w:spacing w:beforeAutospacing="0" w:afterAutospacing="0" w:line="600" w:lineRule="exact"/>
        <w:ind w:firstLine="622"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s="楷体"/>
          <w:color w:val="auto"/>
          <w:kern w:val="2"/>
          <w:sz w:val="32"/>
          <w:szCs w:val="32"/>
          <w:lang w:val="en" w:eastAsia="zh-CN" w:bidi="ar-SA"/>
        </w:rPr>
        <w:t>（三）加强行政执法监督。</w:t>
      </w:r>
      <w:r>
        <w:rPr>
          <w:rFonts w:hint="eastAsia" w:ascii="仿宋_GB2312" w:hAnsi="仿宋_GB2312" w:eastAsia="仿宋_GB2312" w:cs="仿宋_GB2312"/>
          <w:color w:val="auto"/>
          <w:kern w:val="2"/>
          <w:sz w:val="32"/>
          <w:szCs w:val="32"/>
          <w:lang w:val="en-US" w:eastAsia="zh-CN" w:bidi="ar"/>
        </w:rPr>
        <w:t>持续推动落实行政执法“三项制度”及相关配套细则，推进严格规范公正文明执法。不定期组织企业联系点、特邀行政执法监督员座谈，广泛听取企业和社会各界意见和建议。做好宣传引导，推动各执法单位引导当事人做好检查评价反馈工作。加大行政执法与执法监督数字化、智能化推动力度，为精准规范高效执法和执法监督提供科技支撑。</w:t>
      </w:r>
      <w:r>
        <w:rPr>
          <w:rFonts w:hint="eastAsia" w:ascii="仿宋_GB2312" w:hAnsi="仿宋_GB2312" w:eastAsia="仿宋_GB2312" w:cs="仿宋_GB2312"/>
          <w:color w:val="auto"/>
          <w:kern w:val="2"/>
          <w:sz w:val="32"/>
          <w:szCs w:val="32"/>
          <w:lang w:val="en-US" w:eastAsia="zh-CN" w:bidi="ar-SA"/>
        </w:rPr>
        <w:t>重点针对自由裁量基准的适用情况、类案不同罚、随意顶格处罚和高额罚款等问题，定期开展案卷评查，做好全区行政执法质效评估，对于评查、督查发现问题，及时督促做好整改。</w:t>
      </w:r>
    </w:p>
    <w:p>
      <w:pPr>
        <w:pStyle w:val="11"/>
        <w:keepNext w:val="0"/>
        <w:keepLines w:val="0"/>
        <w:pageBreakBefore w:val="0"/>
        <w:kinsoku/>
        <w:wordWrap/>
        <w:overflowPunct/>
        <w:topLinePunct w:val="0"/>
        <w:autoSpaceDE/>
        <w:autoSpaceDN/>
        <w:bidi w:val="0"/>
        <w:adjustRightInd/>
        <w:spacing w:line="600" w:lineRule="exact"/>
        <w:ind w:left="0" w:leftChars="0" w:firstLine="640" w:firstLineChars="0"/>
        <w:textAlignment w:val="auto"/>
        <w:rPr>
          <w:rFonts w:hint="eastAsia" w:ascii="Times New Roman" w:hAnsi="Times New Roman" w:eastAsia="仿宋_GB2312" w:cs="Times New Roman"/>
          <w:color w:val="auto"/>
          <w:sz w:val="32"/>
          <w:szCs w:val="32"/>
          <w:highlight w:val="none"/>
          <w:lang w:val="en-US" w:eastAsia="zh-CN"/>
        </w:rPr>
      </w:pPr>
      <w:r>
        <w:rPr>
          <w:rFonts w:hint="eastAsia" w:ascii="楷体" w:hAnsi="楷体" w:eastAsia="楷体" w:cs="楷体"/>
          <w:color w:val="auto"/>
          <w:sz w:val="32"/>
          <w:szCs w:val="32"/>
          <w:lang w:val="en" w:eastAsia="zh-CN" w:bidi="ar-SA"/>
        </w:rPr>
        <w:t>（四）进一步探索人工智能AI大模型在工作中的应用实践。</w:t>
      </w:r>
      <w:r>
        <w:rPr>
          <w:rFonts w:hint="eastAsia" w:ascii="仿宋_GB2312" w:hAnsi="仿宋_GB2312" w:eastAsia="仿宋_GB2312" w:cs="仿宋_GB2312"/>
          <w:color w:val="auto"/>
          <w:sz w:val="32"/>
          <w:szCs w:val="32"/>
          <w:highlight w:val="none"/>
          <w:lang w:val="en-US" w:eastAsia="zh-CN"/>
        </w:rPr>
        <w:t>探索实现</w:t>
      </w:r>
      <w:r>
        <w:rPr>
          <w:rFonts w:hint="eastAsia" w:ascii="仿宋_GB2312" w:hAnsi="仿宋_GB2312" w:eastAsia="仿宋_GB2312" w:cs="仿宋_GB2312"/>
          <w:color w:val="auto"/>
          <w:kern w:val="2"/>
          <w:sz w:val="32"/>
          <w:szCs w:val="32"/>
          <w:highlight w:val="none"/>
          <w:lang w:val="en-US" w:eastAsia="zh-CN" w:bidi="ar-SA"/>
        </w:rPr>
        <w:t>12345</w:t>
      </w:r>
      <w:r>
        <w:rPr>
          <w:rFonts w:hint="eastAsia" w:ascii="仿宋_GB2312" w:hAnsi="仿宋_GB2312" w:eastAsia="仿宋_GB2312" w:cs="仿宋_GB2312"/>
          <w:color w:val="auto"/>
          <w:sz w:val="32"/>
          <w:szCs w:val="32"/>
          <w:highlight w:val="none"/>
          <w:lang w:val="en-US" w:eastAsia="zh-CN"/>
        </w:rPr>
        <w:t>政务服务便民热线平台工单智能分拨及派转执法处置的智能监督，提升热线工单分拨及行政执法监督的有效率和准确率。探索实现行政执法案件的智能评查，同步将评查标准前置到行政执法的事中过程，努力实现执法全程规范高效和监督的实时同步，提升精准执法和精准监督水平。</w:t>
      </w:r>
    </w:p>
    <w:p>
      <w:pPr>
        <w:pStyle w:val="11"/>
        <w:keepNext w:val="0"/>
        <w:keepLines w:val="0"/>
        <w:pageBreakBefore w:val="0"/>
        <w:kinsoku/>
        <w:wordWrap/>
        <w:overflowPunct/>
        <w:topLinePunct w:val="0"/>
        <w:autoSpaceDE/>
        <w:autoSpaceDN/>
        <w:bidi w:val="0"/>
        <w:adjustRightInd/>
        <w:spacing w:line="600" w:lineRule="exact"/>
        <w:ind w:left="0" w:leftChars="0" w:firstLine="640" w:firstLineChars="0"/>
        <w:textAlignment w:val="auto"/>
        <w:rPr>
          <w:rFonts w:hint="eastAsia" w:ascii="仿宋_GB2312" w:hAnsi="仿宋_GB2312" w:eastAsia="仿宋_GB2312" w:cs="仿宋_GB2312"/>
          <w:color w:val="auto"/>
          <w:sz w:val="32"/>
          <w:szCs w:val="32"/>
          <w:highlight w:val="none"/>
          <w:lang w:val="en-US" w:eastAsia="zh-CN"/>
        </w:rPr>
      </w:pPr>
    </w:p>
    <w:p>
      <w:pPr>
        <w:pStyle w:val="11"/>
        <w:keepNext w:val="0"/>
        <w:keepLines w:val="0"/>
        <w:pageBreakBefore w:val="0"/>
        <w:kinsoku/>
        <w:wordWrap/>
        <w:overflowPunct/>
        <w:topLinePunct w:val="0"/>
        <w:autoSpaceDE/>
        <w:autoSpaceDN/>
        <w:bidi w:val="0"/>
        <w:adjustRightInd/>
        <w:spacing w:line="600" w:lineRule="exact"/>
        <w:ind w:left="0" w:leftChars="0" w:firstLine="640" w:firstLineChars="0"/>
        <w:textAlignment w:val="auto"/>
        <w:rPr>
          <w:rFonts w:hint="eastAsia" w:ascii="仿宋_GB2312" w:hAnsi="仿宋_GB2312" w:eastAsia="仿宋_GB2312" w:cs="仿宋_GB2312"/>
          <w:color w:val="auto"/>
          <w:sz w:val="32"/>
          <w:szCs w:val="32"/>
          <w:highlight w:val="none"/>
          <w:lang w:val="en-US" w:eastAsia="zh-CN"/>
        </w:rPr>
      </w:pPr>
    </w:p>
    <w:p>
      <w:pPr>
        <w:pStyle w:val="11"/>
        <w:keepNext w:val="0"/>
        <w:keepLines w:val="0"/>
        <w:pageBreakBefore w:val="0"/>
        <w:kinsoku/>
        <w:wordWrap/>
        <w:overflowPunct/>
        <w:topLinePunct w:val="0"/>
        <w:autoSpaceDE/>
        <w:autoSpaceDN/>
        <w:bidi w:val="0"/>
        <w:adjustRightInd/>
        <w:spacing w:line="600" w:lineRule="exact"/>
        <w:ind w:left="0" w:leftChars="0" w:firstLine="640" w:firstLineChars="0"/>
        <w:textAlignment w:val="auto"/>
        <w:rPr>
          <w:rFonts w:hint="eastAsia" w:ascii="仿宋_GB2312" w:hAnsi="仿宋_GB2312" w:eastAsia="仿宋_GB2312" w:cs="仿宋_GB2312"/>
          <w:color w:val="auto"/>
          <w:sz w:val="32"/>
          <w:szCs w:val="32"/>
          <w:highlight w:val="none"/>
          <w:lang w:val="en-US" w:eastAsia="zh-CN"/>
        </w:rPr>
      </w:pPr>
    </w:p>
    <w:p>
      <w:pPr>
        <w:pStyle w:val="9"/>
        <w:keepNext w:val="0"/>
        <w:keepLines w:val="0"/>
        <w:pageBreakBefore w:val="0"/>
        <w:widowControl w:val="0"/>
        <w:kinsoku/>
        <w:wordWrap/>
        <w:overflowPunct/>
        <w:topLinePunct w:val="0"/>
        <w:autoSpaceDE/>
        <w:autoSpaceDN/>
        <w:bidi w:val="0"/>
        <w:spacing w:line="600" w:lineRule="exact"/>
        <w:ind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bookmarkStart w:id="0" w:name="_GoBack"/>
      <w:bookmarkEnd w:id="0"/>
    </w:p>
    <w:sectPr>
      <w:footerReference r:id="rId3" w:type="default"/>
      <w:footerReference r:id="rId4" w:type="even"/>
      <w:pgSz w:w="11906" w:h="16838"/>
      <w:pgMar w:top="1446" w:right="1474" w:bottom="1134" w:left="1587" w:header="0" w:footer="907" w:gutter="0"/>
      <w:pgNumType w:fmt="numberInDash" w:start="1"/>
      <w:cols w:space="720" w:num="1"/>
      <w:docGrid w:type="linesAndChars" w:linePitch="318"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黑体"/>
    <w:panose1 w:val="020B0503020204020204"/>
    <w:charset w:val="86"/>
    <w:family w:val="auto"/>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- 0 -</w:t>
    </w:r>
    <w:r>
      <w:rPr>
        <w:rStyle w:val="14"/>
      </w:rPr>
      <w:fldChar w:fldCharType="end"/>
    </w:r>
  </w:p>
  <w:p>
    <w:pPr>
      <w:pStyle w:val="9"/>
      <w:spacing w:line="100" w:lineRule="exact"/>
      <w:ind w:right="360" w:firstLine="360"/>
      <w:rPr>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separate"/>
    </w:r>
    <w:r>
      <w:fldChar w:fldCharType="end"/>
    </w:r>
  </w:p>
  <w:p>
    <w:pPr>
      <w:pStyle w:val="9"/>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drawingGridHorizontalSpacing w:val="201"/>
  <w:drawingGridVerticalSpacing w:val="159"/>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52F"/>
    <w:rsid w:val="00421050"/>
    <w:rsid w:val="00426B29"/>
    <w:rsid w:val="00445DAB"/>
    <w:rsid w:val="0045587F"/>
    <w:rsid w:val="0048235C"/>
    <w:rsid w:val="00533F00"/>
    <w:rsid w:val="00594B34"/>
    <w:rsid w:val="005D504E"/>
    <w:rsid w:val="008A5DD5"/>
    <w:rsid w:val="00944CD4"/>
    <w:rsid w:val="00AA4059"/>
    <w:rsid w:val="00B77ED9"/>
    <w:rsid w:val="00BA5B02"/>
    <w:rsid w:val="00C15BA7"/>
    <w:rsid w:val="00E319F4"/>
    <w:rsid w:val="00FD407D"/>
    <w:rsid w:val="00FE70AE"/>
    <w:rsid w:val="0D874B68"/>
    <w:rsid w:val="0EFD125E"/>
    <w:rsid w:val="12FBA595"/>
    <w:rsid w:val="137E9F61"/>
    <w:rsid w:val="13A275D9"/>
    <w:rsid w:val="1472480D"/>
    <w:rsid w:val="17BE839C"/>
    <w:rsid w:val="17CF23DC"/>
    <w:rsid w:val="1BDBF0CC"/>
    <w:rsid w:val="1DFF0FD8"/>
    <w:rsid w:val="1EEB25FA"/>
    <w:rsid w:val="1EFFD374"/>
    <w:rsid w:val="1F0717F9"/>
    <w:rsid w:val="1F5E4F0C"/>
    <w:rsid w:val="1FAB72F5"/>
    <w:rsid w:val="1FB55861"/>
    <w:rsid w:val="1FDF4EB1"/>
    <w:rsid w:val="1FEF5A20"/>
    <w:rsid w:val="20FE914E"/>
    <w:rsid w:val="2777B43B"/>
    <w:rsid w:val="27BF0837"/>
    <w:rsid w:val="27ED6E0F"/>
    <w:rsid w:val="27F740FA"/>
    <w:rsid w:val="27F7AC5E"/>
    <w:rsid w:val="299F65E4"/>
    <w:rsid w:val="2BBAB5BC"/>
    <w:rsid w:val="2BDF3091"/>
    <w:rsid w:val="2BFB4B63"/>
    <w:rsid w:val="2BFBDAC6"/>
    <w:rsid w:val="2D9FA7DF"/>
    <w:rsid w:val="2DFECC07"/>
    <w:rsid w:val="2EEFB401"/>
    <w:rsid w:val="2F7CCAF8"/>
    <w:rsid w:val="2F7F7F34"/>
    <w:rsid w:val="2FC38205"/>
    <w:rsid w:val="2FEE7680"/>
    <w:rsid w:val="2FF75DEF"/>
    <w:rsid w:val="2FFFA429"/>
    <w:rsid w:val="307F28D1"/>
    <w:rsid w:val="3217DFAB"/>
    <w:rsid w:val="331FA57E"/>
    <w:rsid w:val="339427C0"/>
    <w:rsid w:val="33FB1F57"/>
    <w:rsid w:val="34DB00A6"/>
    <w:rsid w:val="353D71F7"/>
    <w:rsid w:val="375F0E63"/>
    <w:rsid w:val="375F52EB"/>
    <w:rsid w:val="375FC70F"/>
    <w:rsid w:val="37BE0626"/>
    <w:rsid w:val="37DE74E7"/>
    <w:rsid w:val="37EFB747"/>
    <w:rsid w:val="37FE9E42"/>
    <w:rsid w:val="387FC1AC"/>
    <w:rsid w:val="3B1DD85F"/>
    <w:rsid w:val="3B2B1D88"/>
    <w:rsid w:val="3B7F1A8A"/>
    <w:rsid w:val="3BD6AB14"/>
    <w:rsid w:val="3BFD0EEB"/>
    <w:rsid w:val="3DFEBF35"/>
    <w:rsid w:val="3DFF1D23"/>
    <w:rsid w:val="3DFF86D8"/>
    <w:rsid w:val="3EBCE78B"/>
    <w:rsid w:val="3ED1B28C"/>
    <w:rsid w:val="3F056EF7"/>
    <w:rsid w:val="3F2F1E2A"/>
    <w:rsid w:val="3F391E54"/>
    <w:rsid w:val="3F93CCF5"/>
    <w:rsid w:val="3FD479F1"/>
    <w:rsid w:val="3FF72FB7"/>
    <w:rsid w:val="3FF8D0D1"/>
    <w:rsid w:val="3FFDC6CB"/>
    <w:rsid w:val="3FFDD53B"/>
    <w:rsid w:val="3FFFC041"/>
    <w:rsid w:val="3FFFD3D6"/>
    <w:rsid w:val="40F7C7CF"/>
    <w:rsid w:val="41EBEBC3"/>
    <w:rsid w:val="43076181"/>
    <w:rsid w:val="4375CAD5"/>
    <w:rsid w:val="46D5C198"/>
    <w:rsid w:val="47EF18D2"/>
    <w:rsid w:val="47FEAF2E"/>
    <w:rsid w:val="494BBE51"/>
    <w:rsid w:val="497E3C4F"/>
    <w:rsid w:val="4B8C3160"/>
    <w:rsid w:val="4BF73F40"/>
    <w:rsid w:val="4E7F67CC"/>
    <w:rsid w:val="4FDC99FC"/>
    <w:rsid w:val="4FDF6401"/>
    <w:rsid w:val="51FED7AB"/>
    <w:rsid w:val="539BB866"/>
    <w:rsid w:val="53EFA5A3"/>
    <w:rsid w:val="53FF1677"/>
    <w:rsid w:val="558F1250"/>
    <w:rsid w:val="55F1AC82"/>
    <w:rsid w:val="55FF58FF"/>
    <w:rsid w:val="567F9B47"/>
    <w:rsid w:val="56BDDBF6"/>
    <w:rsid w:val="56DF519E"/>
    <w:rsid w:val="56F36798"/>
    <w:rsid w:val="56FF657C"/>
    <w:rsid w:val="574F282F"/>
    <w:rsid w:val="577F3968"/>
    <w:rsid w:val="579F1572"/>
    <w:rsid w:val="57E767B9"/>
    <w:rsid w:val="57FB3213"/>
    <w:rsid w:val="57FEE050"/>
    <w:rsid w:val="5A75EDAE"/>
    <w:rsid w:val="5AEFA7F0"/>
    <w:rsid w:val="5B3BDB63"/>
    <w:rsid w:val="5B7F848E"/>
    <w:rsid w:val="5BD462C2"/>
    <w:rsid w:val="5BF93BF8"/>
    <w:rsid w:val="5BFDF6DD"/>
    <w:rsid w:val="5C4728BA"/>
    <w:rsid w:val="5C7BEC86"/>
    <w:rsid w:val="5D7EA438"/>
    <w:rsid w:val="5DFF663B"/>
    <w:rsid w:val="5E3BFA31"/>
    <w:rsid w:val="5E3F3845"/>
    <w:rsid w:val="5E4E2FCD"/>
    <w:rsid w:val="5E6B4672"/>
    <w:rsid w:val="5E714C82"/>
    <w:rsid w:val="5E7B020A"/>
    <w:rsid w:val="5E7F856B"/>
    <w:rsid w:val="5E868599"/>
    <w:rsid w:val="5EAD11E2"/>
    <w:rsid w:val="5EFA7CCD"/>
    <w:rsid w:val="5F3FD0F5"/>
    <w:rsid w:val="5F484372"/>
    <w:rsid w:val="5F7BD129"/>
    <w:rsid w:val="5F7DE640"/>
    <w:rsid w:val="5F9D516A"/>
    <w:rsid w:val="5FAF7663"/>
    <w:rsid w:val="5FBAB22C"/>
    <w:rsid w:val="5FEF8A8B"/>
    <w:rsid w:val="5FF59684"/>
    <w:rsid w:val="5FF5EA34"/>
    <w:rsid w:val="5FF602C7"/>
    <w:rsid w:val="5FF78820"/>
    <w:rsid w:val="5FF96E2E"/>
    <w:rsid w:val="5FFA733A"/>
    <w:rsid w:val="5FFBABAD"/>
    <w:rsid w:val="5FFC90AB"/>
    <w:rsid w:val="5FFE3E4F"/>
    <w:rsid w:val="5FFE6487"/>
    <w:rsid w:val="5FFF6C3F"/>
    <w:rsid w:val="6179B766"/>
    <w:rsid w:val="6353CCDB"/>
    <w:rsid w:val="63BFD95A"/>
    <w:rsid w:val="63DB2D92"/>
    <w:rsid w:val="653BF187"/>
    <w:rsid w:val="65DD4726"/>
    <w:rsid w:val="65F98B00"/>
    <w:rsid w:val="66D7340C"/>
    <w:rsid w:val="66DD3F9E"/>
    <w:rsid w:val="677D1BA9"/>
    <w:rsid w:val="677FC794"/>
    <w:rsid w:val="67EF5B69"/>
    <w:rsid w:val="67F5012A"/>
    <w:rsid w:val="67F923B8"/>
    <w:rsid w:val="67F93FC7"/>
    <w:rsid w:val="69BCCEBF"/>
    <w:rsid w:val="69C35F49"/>
    <w:rsid w:val="69FB5B80"/>
    <w:rsid w:val="69FE15AB"/>
    <w:rsid w:val="6A3EECCE"/>
    <w:rsid w:val="6B64BAAF"/>
    <w:rsid w:val="6B7B46D8"/>
    <w:rsid w:val="6B7D2A09"/>
    <w:rsid w:val="6BBF67AC"/>
    <w:rsid w:val="6BE6E4DE"/>
    <w:rsid w:val="6BEFBF5B"/>
    <w:rsid w:val="6BFB486B"/>
    <w:rsid w:val="6CF942D0"/>
    <w:rsid w:val="6CFF40CE"/>
    <w:rsid w:val="6D9BD3CF"/>
    <w:rsid w:val="6E2ABECA"/>
    <w:rsid w:val="6E6DFAF5"/>
    <w:rsid w:val="6EDF0257"/>
    <w:rsid w:val="6EDFF61E"/>
    <w:rsid w:val="6EFC11EF"/>
    <w:rsid w:val="6F212473"/>
    <w:rsid w:val="6FA5F073"/>
    <w:rsid w:val="6FAED459"/>
    <w:rsid w:val="6FBB27F8"/>
    <w:rsid w:val="6FCFC3B5"/>
    <w:rsid w:val="6FDB700B"/>
    <w:rsid w:val="6FE735C5"/>
    <w:rsid w:val="6FEAB698"/>
    <w:rsid w:val="6FF26D37"/>
    <w:rsid w:val="6FF579F9"/>
    <w:rsid w:val="6FF64F78"/>
    <w:rsid w:val="6FFB58D2"/>
    <w:rsid w:val="6FFE2FE9"/>
    <w:rsid w:val="6FFEDE1D"/>
    <w:rsid w:val="6FFF438D"/>
    <w:rsid w:val="6FFF4970"/>
    <w:rsid w:val="706BDB6C"/>
    <w:rsid w:val="724E1353"/>
    <w:rsid w:val="726E7E45"/>
    <w:rsid w:val="727F35A3"/>
    <w:rsid w:val="728BACF5"/>
    <w:rsid w:val="72EE4E2A"/>
    <w:rsid w:val="72FA3E2F"/>
    <w:rsid w:val="736FCC4A"/>
    <w:rsid w:val="73BB60BE"/>
    <w:rsid w:val="73F3E481"/>
    <w:rsid w:val="73F60507"/>
    <w:rsid w:val="73F70217"/>
    <w:rsid w:val="73FB2B47"/>
    <w:rsid w:val="747B1791"/>
    <w:rsid w:val="74EA0E63"/>
    <w:rsid w:val="74F49EB4"/>
    <w:rsid w:val="74FBBB43"/>
    <w:rsid w:val="757DE146"/>
    <w:rsid w:val="75B7C1C6"/>
    <w:rsid w:val="75C7A19F"/>
    <w:rsid w:val="75ED5D32"/>
    <w:rsid w:val="75FD9D6B"/>
    <w:rsid w:val="7643402C"/>
    <w:rsid w:val="765F42C0"/>
    <w:rsid w:val="7673E413"/>
    <w:rsid w:val="76D3577D"/>
    <w:rsid w:val="76E311CA"/>
    <w:rsid w:val="76E76CD3"/>
    <w:rsid w:val="76FBE242"/>
    <w:rsid w:val="76FD2E71"/>
    <w:rsid w:val="76FFED23"/>
    <w:rsid w:val="773F2FC4"/>
    <w:rsid w:val="7747DAAA"/>
    <w:rsid w:val="775E832A"/>
    <w:rsid w:val="775F2D6C"/>
    <w:rsid w:val="776260EC"/>
    <w:rsid w:val="776E6C4E"/>
    <w:rsid w:val="776F4421"/>
    <w:rsid w:val="7776E9B6"/>
    <w:rsid w:val="77B705DA"/>
    <w:rsid w:val="77B90DB8"/>
    <w:rsid w:val="77BFE6A0"/>
    <w:rsid w:val="77CFFF3D"/>
    <w:rsid w:val="77DB8F84"/>
    <w:rsid w:val="77F36D89"/>
    <w:rsid w:val="77F3D705"/>
    <w:rsid w:val="77F4D780"/>
    <w:rsid w:val="77F6EBFF"/>
    <w:rsid w:val="77F74095"/>
    <w:rsid w:val="77FC8A0B"/>
    <w:rsid w:val="787D1D53"/>
    <w:rsid w:val="78E33AB6"/>
    <w:rsid w:val="78FE01D6"/>
    <w:rsid w:val="78FE481A"/>
    <w:rsid w:val="78FFAF0E"/>
    <w:rsid w:val="797B89AF"/>
    <w:rsid w:val="797FDF10"/>
    <w:rsid w:val="79CBE717"/>
    <w:rsid w:val="79DE9DE0"/>
    <w:rsid w:val="79FB0937"/>
    <w:rsid w:val="79FF0B59"/>
    <w:rsid w:val="79FFC220"/>
    <w:rsid w:val="7A37093E"/>
    <w:rsid w:val="7A613519"/>
    <w:rsid w:val="7A6657F7"/>
    <w:rsid w:val="7A7F6E95"/>
    <w:rsid w:val="7ADFD301"/>
    <w:rsid w:val="7AFABEC0"/>
    <w:rsid w:val="7AFF6A03"/>
    <w:rsid w:val="7B130E4C"/>
    <w:rsid w:val="7B1FF844"/>
    <w:rsid w:val="7B3F3EB0"/>
    <w:rsid w:val="7B5E5B65"/>
    <w:rsid w:val="7B5FD9BE"/>
    <w:rsid w:val="7B8FEDA2"/>
    <w:rsid w:val="7BBE649F"/>
    <w:rsid w:val="7BCE88C6"/>
    <w:rsid w:val="7BD76E01"/>
    <w:rsid w:val="7BDA3349"/>
    <w:rsid w:val="7BDF0B17"/>
    <w:rsid w:val="7BFE733F"/>
    <w:rsid w:val="7C7F8DBD"/>
    <w:rsid w:val="7CA3E458"/>
    <w:rsid w:val="7CF4AD63"/>
    <w:rsid w:val="7CFFBAC2"/>
    <w:rsid w:val="7D1777EC"/>
    <w:rsid w:val="7D3753D6"/>
    <w:rsid w:val="7D3B9127"/>
    <w:rsid w:val="7D4F657C"/>
    <w:rsid w:val="7D5F8BD7"/>
    <w:rsid w:val="7D7AE5E6"/>
    <w:rsid w:val="7D8E8421"/>
    <w:rsid w:val="7DBD4957"/>
    <w:rsid w:val="7DBFDD17"/>
    <w:rsid w:val="7DC35093"/>
    <w:rsid w:val="7DE2B683"/>
    <w:rsid w:val="7DEEB5F8"/>
    <w:rsid w:val="7DEF56E5"/>
    <w:rsid w:val="7DF2B01E"/>
    <w:rsid w:val="7DF484FF"/>
    <w:rsid w:val="7DFF1B18"/>
    <w:rsid w:val="7E7F3871"/>
    <w:rsid w:val="7EBFCFB2"/>
    <w:rsid w:val="7EDFF619"/>
    <w:rsid w:val="7EE74017"/>
    <w:rsid w:val="7EEB09C0"/>
    <w:rsid w:val="7EEB3435"/>
    <w:rsid w:val="7EED4543"/>
    <w:rsid w:val="7EFAF087"/>
    <w:rsid w:val="7EFD6487"/>
    <w:rsid w:val="7EFF2BE7"/>
    <w:rsid w:val="7EFF3DCB"/>
    <w:rsid w:val="7F0D50B3"/>
    <w:rsid w:val="7F5A0EA7"/>
    <w:rsid w:val="7F5D3F1B"/>
    <w:rsid w:val="7F5E7FD0"/>
    <w:rsid w:val="7F632C15"/>
    <w:rsid w:val="7F65C2F7"/>
    <w:rsid w:val="7F6CC849"/>
    <w:rsid w:val="7F6E74DE"/>
    <w:rsid w:val="7F6F6B3B"/>
    <w:rsid w:val="7F78B878"/>
    <w:rsid w:val="7F7D58EC"/>
    <w:rsid w:val="7F7F10CE"/>
    <w:rsid w:val="7F7F61E1"/>
    <w:rsid w:val="7F7F62CD"/>
    <w:rsid w:val="7F7F6D8A"/>
    <w:rsid w:val="7F866687"/>
    <w:rsid w:val="7F8FC39A"/>
    <w:rsid w:val="7F959956"/>
    <w:rsid w:val="7F97D0AE"/>
    <w:rsid w:val="7F9BE0C6"/>
    <w:rsid w:val="7F9FF246"/>
    <w:rsid w:val="7FB142B2"/>
    <w:rsid w:val="7FB78C8C"/>
    <w:rsid w:val="7FBDC54E"/>
    <w:rsid w:val="7FBF211C"/>
    <w:rsid w:val="7FBF2A65"/>
    <w:rsid w:val="7FCD7B0F"/>
    <w:rsid w:val="7FCFE54E"/>
    <w:rsid w:val="7FDDC8DA"/>
    <w:rsid w:val="7FDF063C"/>
    <w:rsid w:val="7FDF65CC"/>
    <w:rsid w:val="7FE315E1"/>
    <w:rsid w:val="7FEDF667"/>
    <w:rsid w:val="7FEE826C"/>
    <w:rsid w:val="7FEF095F"/>
    <w:rsid w:val="7FEF8F53"/>
    <w:rsid w:val="7FEF93EB"/>
    <w:rsid w:val="7FF5C6FC"/>
    <w:rsid w:val="7FF716F2"/>
    <w:rsid w:val="7FF9636E"/>
    <w:rsid w:val="7FFB0C68"/>
    <w:rsid w:val="7FFB1B18"/>
    <w:rsid w:val="7FFB2381"/>
    <w:rsid w:val="7FFB4B8C"/>
    <w:rsid w:val="7FFBECDB"/>
    <w:rsid w:val="7FFD42B5"/>
    <w:rsid w:val="7FFD569D"/>
    <w:rsid w:val="7FFE05D5"/>
    <w:rsid w:val="7FFE7065"/>
    <w:rsid w:val="7FFF5F0C"/>
    <w:rsid w:val="7FFF7E1F"/>
    <w:rsid w:val="7FFFD79A"/>
    <w:rsid w:val="7FFFEAAD"/>
    <w:rsid w:val="7FFFED88"/>
    <w:rsid w:val="873F2367"/>
    <w:rsid w:val="8B61C1E1"/>
    <w:rsid w:val="8C7B0BC3"/>
    <w:rsid w:val="8FFE5922"/>
    <w:rsid w:val="97CF5EDC"/>
    <w:rsid w:val="99DF555B"/>
    <w:rsid w:val="9ACE69E1"/>
    <w:rsid w:val="9D4B5CFF"/>
    <w:rsid w:val="9D7B78B4"/>
    <w:rsid w:val="9DFBBF00"/>
    <w:rsid w:val="9F57395C"/>
    <w:rsid w:val="9F7AEAA1"/>
    <w:rsid w:val="9FCE2741"/>
    <w:rsid w:val="9FF3997D"/>
    <w:rsid w:val="A06EB5B4"/>
    <w:rsid w:val="A2A7A50E"/>
    <w:rsid w:val="A56BBFA5"/>
    <w:rsid w:val="A7FF0593"/>
    <w:rsid w:val="AB75E0C3"/>
    <w:rsid w:val="ABF10203"/>
    <w:rsid w:val="AD5F5AE9"/>
    <w:rsid w:val="ADFF16D3"/>
    <w:rsid w:val="AE316E30"/>
    <w:rsid w:val="AEDF4F7B"/>
    <w:rsid w:val="AEEF0733"/>
    <w:rsid w:val="AEEF8033"/>
    <w:rsid w:val="AF3B3559"/>
    <w:rsid w:val="AFDBA861"/>
    <w:rsid w:val="AFDF663B"/>
    <w:rsid w:val="AFEF9BA9"/>
    <w:rsid w:val="AFF5D7DC"/>
    <w:rsid w:val="AFFB616C"/>
    <w:rsid w:val="B16FAF7D"/>
    <w:rsid w:val="B3CED87D"/>
    <w:rsid w:val="B3E39623"/>
    <w:rsid w:val="B5F7EDBD"/>
    <w:rsid w:val="B62F3C99"/>
    <w:rsid w:val="B73EC542"/>
    <w:rsid w:val="B757ECB1"/>
    <w:rsid w:val="B76FA91B"/>
    <w:rsid w:val="B77FB7CA"/>
    <w:rsid w:val="B7CDC04A"/>
    <w:rsid w:val="B7EB7EA5"/>
    <w:rsid w:val="B7FDC13C"/>
    <w:rsid w:val="B7FE47E1"/>
    <w:rsid w:val="B96F93DA"/>
    <w:rsid w:val="B9EF7485"/>
    <w:rsid w:val="BA59F742"/>
    <w:rsid w:val="BA7B23C6"/>
    <w:rsid w:val="BA7CA31F"/>
    <w:rsid w:val="BAFBBB07"/>
    <w:rsid w:val="BB377395"/>
    <w:rsid w:val="BB540902"/>
    <w:rsid w:val="BBBE7299"/>
    <w:rsid w:val="BBCF5FC3"/>
    <w:rsid w:val="BBFD8E05"/>
    <w:rsid w:val="BBFE7726"/>
    <w:rsid w:val="BD46C5B9"/>
    <w:rsid w:val="BD9FADEB"/>
    <w:rsid w:val="BDAD4DBB"/>
    <w:rsid w:val="BDDBAD5A"/>
    <w:rsid w:val="BDEB48E1"/>
    <w:rsid w:val="BDF43814"/>
    <w:rsid w:val="BDFFE6A5"/>
    <w:rsid w:val="BE4905B7"/>
    <w:rsid w:val="BE5DCE8F"/>
    <w:rsid w:val="BE79E641"/>
    <w:rsid w:val="BEBE3398"/>
    <w:rsid w:val="BEE7F8C9"/>
    <w:rsid w:val="BEFF9892"/>
    <w:rsid w:val="BF37883A"/>
    <w:rsid w:val="BF5FE9F9"/>
    <w:rsid w:val="BF5FFB65"/>
    <w:rsid w:val="BF7F37DA"/>
    <w:rsid w:val="BFBF6452"/>
    <w:rsid w:val="BFD33C21"/>
    <w:rsid w:val="BFEE8485"/>
    <w:rsid w:val="BFF7EA37"/>
    <w:rsid w:val="C17F1E74"/>
    <w:rsid w:val="C5EE50AA"/>
    <w:rsid w:val="C7BD6327"/>
    <w:rsid w:val="C7DF7288"/>
    <w:rsid w:val="CADFE5AC"/>
    <w:rsid w:val="CBFC8F54"/>
    <w:rsid w:val="CBFD6FD2"/>
    <w:rsid w:val="CC67AD6F"/>
    <w:rsid w:val="CCBF78C5"/>
    <w:rsid w:val="CD35F36B"/>
    <w:rsid w:val="CD3EDDE9"/>
    <w:rsid w:val="CF6FA719"/>
    <w:rsid w:val="CFBCA39D"/>
    <w:rsid w:val="CFFBCE58"/>
    <w:rsid w:val="CFFF7263"/>
    <w:rsid w:val="D3BCCFB3"/>
    <w:rsid w:val="D5FE48E1"/>
    <w:rsid w:val="D6BBF64C"/>
    <w:rsid w:val="D6BFF6CF"/>
    <w:rsid w:val="D767B836"/>
    <w:rsid w:val="D77CA92E"/>
    <w:rsid w:val="D7B41056"/>
    <w:rsid w:val="D7FDEE60"/>
    <w:rsid w:val="D83745A8"/>
    <w:rsid w:val="D9DF705B"/>
    <w:rsid w:val="D9DFCE36"/>
    <w:rsid w:val="DA3ED9F2"/>
    <w:rsid w:val="DA77C8B4"/>
    <w:rsid w:val="DAAFEBD6"/>
    <w:rsid w:val="DADF0856"/>
    <w:rsid w:val="DB7B528F"/>
    <w:rsid w:val="DBAFCDD3"/>
    <w:rsid w:val="DBBF89C6"/>
    <w:rsid w:val="DBF227B3"/>
    <w:rsid w:val="DBFF0E7F"/>
    <w:rsid w:val="DBFF666F"/>
    <w:rsid w:val="DD3E2D0E"/>
    <w:rsid w:val="DDBD52CA"/>
    <w:rsid w:val="DE1BAED2"/>
    <w:rsid w:val="DE77E946"/>
    <w:rsid w:val="DEDBC0FA"/>
    <w:rsid w:val="DEEB7B7F"/>
    <w:rsid w:val="DEEF2EEE"/>
    <w:rsid w:val="DEFEFCF0"/>
    <w:rsid w:val="DF3D2260"/>
    <w:rsid w:val="DF4A7F86"/>
    <w:rsid w:val="DF7D86E2"/>
    <w:rsid w:val="DF7FA051"/>
    <w:rsid w:val="DF8D579F"/>
    <w:rsid w:val="DF9FD1C0"/>
    <w:rsid w:val="DFA9BB19"/>
    <w:rsid w:val="DFAA26FA"/>
    <w:rsid w:val="DFADA278"/>
    <w:rsid w:val="DFBE7840"/>
    <w:rsid w:val="DFBE9DAB"/>
    <w:rsid w:val="DFE5686E"/>
    <w:rsid w:val="DFEB4ADC"/>
    <w:rsid w:val="DFEC2352"/>
    <w:rsid w:val="DFEFD79F"/>
    <w:rsid w:val="DFF3C835"/>
    <w:rsid w:val="DFF665A9"/>
    <w:rsid w:val="DFF7E9E8"/>
    <w:rsid w:val="DFFB1347"/>
    <w:rsid w:val="DFFCCCAF"/>
    <w:rsid w:val="DFFF0AE5"/>
    <w:rsid w:val="E34FD4A1"/>
    <w:rsid w:val="E3DB8CB1"/>
    <w:rsid w:val="E5FE5F69"/>
    <w:rsid w:val="E6179392"/>
    <w:rsid w:val="E6AD571E"/>
    <w:rsid w:val="E73BFACC"/>
    <w:rsid w:val="E76FE1E2"/>
    <w:rsid w:val="E7EF56B2"/>
    <w:rsid w:val="E7F7E80C"/>
    <w:rsid w:val="E7FFCE2A"/>
    <w:rsid w:val="E9EC0548"/>
    <w:rsid w:val="E9EE1295"/>
    <w:rsid w:val="E9EEF49F"/>
    <w:rsid w:val="E9F71EFB"/>
    <w:rsid w:val="EAB971A7"/>
    <w:rsid w:val="EADBA044"/>
    <w:rsid w:val="EAFE621D"/>
    <w:rsid w:val="EB561FA1"/>
    <w:rsid w:val="EB5FD80F"/>
    <w:rsid w:val="EB77712D"/>
    <w:rsid w:val="EBA788BE"/>
    <w:rsid w:val="EBF400B2"/>
    <w:rsid w:val="EBFB811C"/>
    <w:rsid w:val="EC006908"/>
    <w:rsid w:val="EC4F137F"/>
    <w:rsid w:val="ECA7B4EA"/>
    <w:rsid w:val="ECAE8611"/>
    <w:rsid w:val="ECFF5EE1"/>
    <w:rsid w:val="ED5FE109"/>
    <w:rsid w:val="EDDB068F"/>
    <w:rsid w:val="EDDFD0C8"/>
    <w:rsid w:val="EDFDF0FA"/>
    <w:rsid w:val="EDFFC525"/>
    <w:rsid w:val="EEA7AC3E"/>
    <w:rsid w:val="EEB707A4"/>
    <w:rsid w:val="EEDE0160"/>
    <w:rsid w:val="EEEEC2CA"/>
    <w:rsid w:val="EEFDC60B"/>
    <w:rsid w:val="EEFDFE0D"/>
    <w:rsid w:val="EEFE9D35"/>
    <w:rsid w:val="EF3F0ECA"/>
    <w:rsid w:val="EF3F5F33"/>
    <w:rsid w:val="EF5FCFBB"/>
    <w:rsid w:val="EF6791B8"/>
    <w:rsid w:val="EF71ABAD"/>
    <w:rsid w:val="EF7AFE42"/>
    <w:rsid w:val="EF8D8172"/>
    <w:rsid w:val="EF933169"/>
    <w:rsid w:val="EFAEF5ED"/>
    <w:rsid w:val="EFBB761C"/>
    <w:rsid w:val="EFBFA4D4"/>
    <w:rsid w:val="EFEB4292"/>
    <w:rsid w:val="EFEFCECF"/>
    <w:rsid w:val="EFF5F206"/>
    <w:rsid w:val="EFF67B5B"/>
    <w:rsid w:val="EFF7ADA7"/>
    <w:rsid w:val="EFF8B7D6"/>
    <w:rsid w:val="EFFBC364"/>
    <w:rsid w:val="EFFF2069"/>
    <w:rsid w:val="F0FB53C9"/>
    <w:rsid w:val="F10F3A30"/>
    <w:rsid w:val="F1A93495"/>
    <w:rsid w:val="F3369382"/>
    <w:rsid w:val="F3369860"/>
    <w:rsid w:val="F38D895D"/>
    <w:rsid w:val="F4F2541F"/>
    <w:rsid w:val="F4FFBF95"/>
    <w:rsid w:val="F53672E6"/>
    <w:rsid w:val="F53FA9B2"/>
    <w:rsid w:val="F57F4550"/>
    <w:rsid w:val="F5F93A69"/>
    <w:rsid w:val="F5FBC2C0"/>
    <w:rsid w:val="F5FD14E4"/>
    <w:rsid w:val="F5FF2359"/>
    <w:rsid w:val="F5FFC33A"/>
    <w:rsid w:val="F6AFB9BF"/>
    <w:rsid w:val="F6B1EA76"/>
    <w:rsid w:val="F6BA26BB"/>
    <w:rsid w:val="F6D8D8F2"/>
    <w:rsid w:val="F6DCC16B"/>
    <w:rsid w:val="F6EF4892"/>
    <w:rsid w:val="F6F79685"/>
    <w:rsid w:val="F6FF3F7D"/>
    <w:rsid w:val="F71B8E6B"/>
    <w:rsid w:val="F71F44A0"/>
    <w:rsid w:val="F72D59BE"/>
    <w:rsid w:val="F72EFB8D"/>
    <w:rsid w:val="F73F3C5B"/>
    <w:rsid w:val="F74F3FE6"/>
    <w:rsid w:val="F77D40A9"/>
    <w:rsid w:val="F77E5F01"/>
    <w:rsid w:val="F77FCAC4"/>
    <w:rsid w:val="F797DB34"/>
    <w:rsid w:val="F7A814D5"/>
    <w:rsid w:val="F7BB7771"/>
    <w:rsid w:val="F7BE3120"/>
    <w:rsid w:val="F7DF7E4C"/>
    <w:rsid w:val="F7E8FBAB"/>
    <w:rsid w:val="F7ED6C3F"/>
    <w:rsid w:val="F7F7AE27"/>
    <w:rsid w:val="F7FF35EB"/>
    <w:rsid w:val="F7FF8D05"/>
    <w:rsid w:val="F8FF07BB"/>
    <w:rsid w:val="F9BD7694"/>
    <w:rsid w:val="F9BEABC3"/>
    <w:rsid w:val="F9CF8CB2"/>
    <w:rsid w:val="FA1A5955"/>
    <w:rsid w:val="FA2F67F1"/>
    <w:rsid w:val="FA5DA317"/>
    <w:rsid w:val="FA6B2F61"/>
    <w:rsid w:val="FA6E1A4A"/>
    <w:rsid w:val="FA7A06FB"/>
    <w:rsid w:val="FA7F1360"/>
    <w:rsid w:val="FA97ECC7"/>
    <w:rsid w:val="FA9B5365"/>
    <w:rsid w:val="FAF41D82"/>
    <w:rsid w:val="FB3BD7B7"/>
    <w:rsid w:val="FB6E079A"/>
    <w:rsid w:val="FB7A8883"/>
    <w:rsid w:val="FB7D3DA3"/>
    <w:rsid w:val="FB7E255A"/>
    <w:rsid w:val="FB7F1CC4"/>
    <w:rsid w:val="FB7F6103"/>
    <w:rsid w:val="FBA6DE03"/>
    <w:rsid w:val="FBB719B3"/>
    <w:rsid w:val="FBBF78B2"/>
    <w:rsid w:val="FBDF5ACD"/>
    <w:rsid w:val="FBEB6B28"/>
    <w:rsid w:val="FBECC161"/>
    <w:rsid w:val="FBF92230"/>
    <w:rsid w:val="FBF962A5"/>
    <w:rsid w:val="FBF965DC"/>
    <w:rsid w:val="FBFD3C34"/>
    <w:rsid w:val="FC7B5703"/>
    <w:rsid w:val="FCC05132"/>
    <w:rsid w:val="FCEBC49F"/>
    <w:rsid w:val="FCF4C59E"/>
    <w:rsid w:val="FCFE2F1E"/>
    <w:rsid w:val="FD338641"/>
    <w:rsid w:val="FD3FFF3E"/>
    <w:rsid w:val="FD5FC567"/>
    <w:rsid w:val="FD680B66"/>
    <w:rsid w:val="FD74579C"/>
    <w:rsid w:val="FD7AC785"/>
    <w:rsid w:val="FD7CE155"/>
    <w:rsid w:val="FDAB4DEA"/>
    <w:rsid w:val="FDABA8D4"/>
    <w:rsid w:val="FDAFF8E5"/>
    <w:rsid w:val="FDCFF182"/>
    <w:rsid w:val="FDD7A529"/>
    <w:rsid w:val="FDEA2A97"/>
    <w:rsid w:val="FDEDB77B"/>
    <w:rsid w:val="FDF15F31"/>
    <w:rsid w:val="FDF305F7"/>
    <w:rsid w:val="FDFA7FFF"/>
    <w:rsid w:val="FDFDBD3D"/>
    <w:rsid w:val="FDFDEFBE"/>
    <w:rsid w:val="FDFE3341"/>
    <w:rsid w:val="FDFFF8E1"/>
    <w:rsid w:val="FE493402"/>
    <w:rsid w:val="FE6F31CE"/>
    <w:rsid w:val="FE734873"/>
    <w:rsid w:val="FE7B7CB0"/>
    <w:rsid w:val="FEAB17F4"/>
    <w:rsid w:val="FEB7A93B"/>
    <w:rsid w:val="FECFC6CB"/>
    <w:rsid w:val="FED9DC21"/>
    <w:rsid w:val="FEE9B48F"/>
    <w:rsid w:val="FEEBCF84"/>
    <w:rsid w:val="FEEDD9E0"/>
    <w:rsid w:val="FEEF2B48"/>
    <w:rsid w:val="FEEF6135"/>
    <w:rsid w:val="FEFF0531"/>
    <w:rsid w:val="FF03B64E"/>
    <w:rsid w:val="FF1E7F43"/>
    <w:rsid w:val="FF3F65FC"/>
    <w:rsid w:val="FF46A45C"/>
    <w:rsid w:val="FF5FD535"/>
    <w:rsid w:val="FF7BDF2A"/>
    <w:rsid w:val="FF7D76C3"/>
    <w:rsid w:val="FF7E9FEA"/>
    <w:rsid w:val="FF956B76"/>
    <w:rsid w:val="FF9F2781"/>
    <w:rsid w:val="FF9FC787"/>
    <w:rsid w:val="FF9FF68E"/>
    <w:rsid w:val="FFAFCA09"/>
    <w:rsid w:val="FFB57CA3"/>
    <w:rsid w:val="FFB78BAA"/>
    <w:rsid w:val="FFBCAD6F"/>
    <w:rsid w:val="FFBE2A7A"/>
    <w:rsid w:val="FFBEEC72"/>
    <w:rsid w:val="FFBFB062"/>
    <w:rsid w:val="FFCEB6A7"/>
    <w:rsid w:val="FFCEFF3E"/>
    <w:rsid w:val="FFDB5C58"/>
    <w:rsid w:val="FFDD2F8F"/>
    <w:rsid w:val="FFDF7137"/>
    <w:rsid w:val="FFDF7796"/>
    <w:rsid w:val="FFDFBA6C"/>
    <w:rsid w:val="FFEE70E6"/>
    <w:rsid w:val="FFF53760"/>
    <w:rsid w:val="FFF67860"/>
    <w:rsid w:val="FFF7295F"/>
    <w:rsid w:val="FFF7C7D4"/>
    <w:rsid w:val="FFFB83E4"/>
    <w:rsid w:val="FFFC29BF"/>
    <w:rsid w:val="FFFC99DC"/>
    <w:rsid w:val="FFFE57C8"/>
    <w:rsid w:val="FFFF949F"/>
    <w:rsid w:val="FFFFF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qFormat/>
    <w:uiPriority w:val="0"/>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next w:val="3"/>
    <w:qFormat/>
    <w:uiPriority w:val="0"/>
    <w:pPr>
      <w:ind w:firstLine="200" w:firstLineChars="200"/>
    </w:pPr>
  </w:style>
  <w:style w:type="paragraph" w:customStyle="1" w:styleId="3">
    <w:name w:val="索引 51"/>
    <w:basedOn w:val="1"/>
    <w:next w:val="1"/>
    <w:qFormat/>
    <w:uiPriority w:val="0"/>
    <w:pPr>
      <w:ind w:left="1680"/>
    </w:pPr>
    <w:rPr>
      <w:rFonts w:hAnsi="Times New Roman"/>
    </w:rPr>
  </w:style>
  <w:style w:type="paragraph" w:styleId="4">
    <w:name w:val="Normal Indent"/>
    <w:basedOn w:val="1"/>
    <w:next w:val="1"/>
    <w:qFormat/>
    <w:uiPriority w:val="0"/>
    <w:pPr>
      <w:adjustRightInd w:val="0"/>
      <w:snapToGrid w:val="0"/>
      <w:spacing w:after="200"/>
      <w:ind w:firstLine="420" w:firstLineChars="200"/>
    </w:pPr>
    <w:rPr>
      <w:rFonts w:ascii="Tahoma" w:hAnsi="Tahoma" w:eastAsia="微软雅黑"/>
      <w:sz w:val="22"/>
    </w:rPr>
  </w:style>
  <w:style w:type="paragraph" w:styleId="5">
    <w:name w:val="Body Text"/>
    <w:basedOn w:val="1"/>
    <w:qFormat/>
    <w:uiPriority w:val="99"/>
    <w:pPr>
      <w:spacing w:after="120"/>
    </w:pPr>
  </w:style>
  <w:style w:type="paragraph" w:styleId="6">
    <w:name w:val="Body Text Indent"/>
    <w:basedOn w:val="1"/>
    <w:next w:val="4"/>
    <w:qFormat/>
    <w:uiPriority w:val="0"/>
    <w:pPr>
      <w:spacing w:after="120"/>
      <w:ind w:left="200" w:leftChars="200"/>
    </w:pPr>
  </w:style>
  <w:style w:type="paragraph" w:styleId="7">
    <w:name w:val="Date"/>
    <w:basedOn w:val="1"/>
    <w:next w:val="1"/>
    <w:qFormat/>
    <w:uiPriority w:val="0"/>
    <w:pPr>
      <w:ind w:left="100" w:leftChars="2500"/>
    </w:pPr>
    <w:rPr>
      <w:rFonts w:ascii="仿宋_GB2312" w:eastAsia="仿宋_GB2312"/>
      <w:sz w:val="32"/>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6"/>
    <w:next w:val="7"/>
    <w:qFormat/>
    <w:uiPriority w:val="0"/>
    <w:pPr>
      <w:keepNext w:val="0"/>
      <w:keepLines w:val="0"/>
      <w:widowControl w:val="0"/>
      <w:suppressLineNumbers w:val="0"/>
      <w:spacing w:before="0" w:beforeAutospacing="0" w:after="120" w:afterAutospacing="0"/>
      <w:ind w:left="200" w:leftChars="200" w:right="0" w:firstLine="200" w:firstLineChars="200"/>
      <w:jc w:val="both"/>
    </w:pPr>
    <w:rPr>
      <w:rFonts w:ascii="Times New Roman" w:hAnsi="Times New Roman" w:eastAsia="宋体" w:cs="Times New Roman"/>
      <w:kern w:val="2"/>
      <w:sz w:val="21"/>
      <w:szCs w:val="24"/>
      <w:lang w:val="en-US" w:eastAsia="zh-CN" w:bidi="ar"/>
    </w:rPr>
  </w:style>
  <w:style w:type="character" w:styleId="14">
    <w:name w:val="page number"/>
    <w:basedOn w:val="13"/>
    <w:qFormat/>
    <w:uiPriority w:val="0"/>
  </w:style>
  <w:style w:type="paragraph" w:styleId="15">
    <w:name w:val="List Paragraph"/>
    <w:basedOn w:val="1"/>
    <w:qFormat/>
    <w:uiPriority w:val="0"/>
    <w:pPr>
      <w:ind w:firstLine="420" w:firstLineChars="200"/>
    </w:pPr>
  </w:style>
  <w:style w:type="character" w:customStyle="1" w:styleId="16">
    <w:name w:val="Hei Ti"/>
    <w:qFormat/>
    <w:uiPriority w:val="0"/>
    <w:rPr>
      <w:rFonts w:ascii="黑体" w:hAnsi="黑体" w:eastAsia="黑体" w:cs="黑体"/>
      <w:sz w:val="32"/>
    </w:rPr>
  </w:style>
  <w:style w:type="character" w:customStyle="1" w:styleId="17">
    <w:name w:val="Hei Ti Bold"/>
    <w:qFormat/>
    <w:uiPriority w:val="0"/>
    <w:rPr>
      <w:rFonts w:ascii="黑体" w:hAnsi="黑体" w:eastAsia="黑体" w:cs="黑体"/>
      <w:b/>
      <w:sz w:val="32"/>
    </w:rPr>
  </w:style>
  <w:style w:type="character" w:customStyle="1" w:styleId="18">
    <w:name w:val="Hei Ti Bold1"/>
    <w:qFormat/>
    <w:uiPriority w:val="0"/>
    <w:rPr>
      <w:rFonts w:ascii="黑体" w:hAnsi="黑体" w:eastAsia="黑体" w:cs="黑体"/>
      <w:b/>
      <w:sz w:val="36"/>
    </w:rPr>
  </w:style>
  <w:style w:type="character" w:customStyle="1" w:styleId="19">
    <w:name w:val="GB_2312"/>
    <w:qFormat/>
    <w:uiPriority w:val="0"/>
    <w:rPr>
      <w:rFonts w:ascii="仿宋_GB2312" w:hAnsi="仿宋_GB2312" w:eastAsia="仿宋_GB2312" w:cs="仿宋_GB2312"/>
      <w:sz w:val="32"/>
    </w:rPr>
  </w:style>
  <w:style w:type="character" w:customStyle="1" w:styleId="20">
    <w:name w:val="GB_23121"/>
    <w:qFormat/>
    <w:uiPriority w:val="0"/>
    <w:rPr>
      <w:rFonts w:ascii="仿宋_GB2312" w:hAnsi="仿宋_GB2312" w:eastAsia="仿宋_GB2312" w:cs="仿宋_GB2312"/>
      <w:sz w:val="36"/>
    </w:rPr>
  </w:style>
  <w:style w:type="character" w:customStyle="1" w:styleId="21">
    <w:name w:val="Red_Color"/>
    <w:qFormat/>
    <w:uiPriority w:val="0"/>
    <w:rPr>
      <w:rFonts w:ascii="方正小标宋简体" w:hAnsi="方正小标宋简体" w:eastAsia="方正小标宋简体" w:cs="方正小标宋简体"/>
      <w:color w:val="000000"/>
      <w:sz w:val="65"/>
    </w:rPr>
  </w:style>
  <w:style w:type="character" w:customStyle="1" w:styleId="22">
    <w:name w:val="KaiTi"/>
    <w:qFormat/>
    <w:uiPriority w:val="0"/>
    <w:rPr>
      <w:rFonts w:ascii="楷体_GB2312" w:hAnsi="楷体_GB2312" w:eastAsia="楷体_GB2312" w:cs="楷体_GB2312"/>
      <w:sz w:val="32"/>
    </w:rPr>
  </w:style>
  <w:style w:type="character" w:customStyle="1" w:styleId="23">
    <w:name w:val="Fz_Xbs"/>
    <w:qFormat/>
    <w:uiPriority w:val="0"/>
    <w:rPr>
      <w:rFonts w:ascii="方正小标宋简体" w:hAnsi="方正小标宋简体" w:eastAsia="方正小标宋简体" w:cs="方正小标宋简体"/>
      <w:sz w:val="44"/>
    </w:rPr>
  </w:style>
  <w:style w:type="paragraph" w:customStyle="1" w:styleId="24">
    <w:name w:val="NormalIndent"/>
    <w:basedOn w:val="1"/>
    <w:qFormat/>
    <w:uiPriority w:val="99"/>
    <w:pPr>
      <w:ind w:firstLine="420" w:firstLineChars="200"/>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tjec</Company>
  <Pages>7</Pages>
  <Words>11</Words>
  <Characters>66</Characters>
  <Lines>1</Lines>
  <Paragraphs>1</Paragraphs>
  <TotalTime>1</TotalTime>
  <ScaleCrop>false</ScaleCrop>
  <LinksUpToDate>false</LinksUpToDate>
  <CharactersWithSpaces>76</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2020-11-24T15:10:00Z</dcterms:created>
  <dc:creator>办公室</dc:creator>
  <cp:lastModifiedBy>kylin</cp:lastModifiedBy>
  <cp:lastPrinted>2012-09-22T14:28:00Z</cp:lastPrinted>
  <dcterms:modified xsi:type="dcterms:W3CDTF">2026-01-22T14:58:09Z</dcterms:modified>
  <dc:title>津经[2003]号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9BEBE897122F4759F92B62674F11DBEC_42</vt:lpwstr>
  </property>
</Properties>
</file>