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keepLines/>
        <w:overflowPunct w:val="0"/>
        <w:spacing w:line="580" w:lineRule="exact"/>
        <w:ind w:firstLine="0" w:firstLineChars="0"/>
        <w:jc w:val="center"/>
        <w:outlineLvl w:val="1"/>
        <w:rPr>
          <w:rFonts w:ascii="Times New Roman" w:hAnsi="Times New Roman" w:eastAsia="方正小标宋_GBK" w:cs="Times New Roman"/>
          <w:bCs w:val="0"/>
          <w:kern w:val="2"/>
          <w:sz w:val="44"/>
          <w:szCs w:val="44"/>
          <w:lang w:val="en-US" w:eastAsia="zh-CN" w:bidi="ar-SA"/>
        </w:rPr>
      </w:pPr>
      <w:bookmarkStart w:id="0" w:name="_Toc1615986100"/>
      <w:bookmarkStart w:id="1" w:name="_Toc1621939120"/>
      <w:bookmarkStart w:id="2" w:name="_Toc10884"/>
      <w:bookmarkStart w:id="3" w:name="_Hlk149230021"/>
      <w:bookmarkStart w:id="116" w:name="_GoBack"/>
      <w:r>
        <w:rPr>
          <w:rFonts w:hint="eastAsia" w:ascii="Times New Roman" w:hAnsi="Times New Roman" w:eastAsia="方正小标宋_GBK" w:cs="Times New Roman"/>
          <w:bCs w:val="0"/>
          <w:kern w:val="2"/>
          <w:sz w:val="44"/>
          <w:szCs w:val="44"/>
          <w:lang w:val="en-US" w:eastAsia="zh-CN" w:bidi="ar-SA"/>
        </w:rPr>
        <w:t>国家碳达峰试点（天津经济技术开发区）</w:t>
      </w:r>
    </w:p>
    <w:p>
      <w:pPr>
        <w:keepNext/>
        <w:keepLines/>
        <w:overflowPunct w:val="0"/>
        <w:spacing w:line="580" w:lineRule="exact"/>
        <w:ind w:firstLine="0" w:firstLineChars="0"/>
        <w:jc w:val="center"/>
        <w:outlineLvl w:val="1"/>
        <w:rPr>
          <w:rFonts w:ascii="Times New Roman" w:hAnsi="Times New Roman" w:eastAsia="方正小标宋_GBK" w:cs="Times New Roman"/>
          <w:bCs w:val="0"/>
          <w:kern w:val="2"/>
          <w:sz w:val="44"/>
          <w:szCs w:val="44"/>
          <w:lang w:val="en-US" w:eastAsia="zh-CN" w:bidi="ar-SA"/>
        </w:rPr>
      </w:pPr>
      <w:r>
        <w:rPr>
          <w:rFonts w:hint="eastAsia" w:ascii="Times New Roman" w:hAnsi="Times New Roman" w:eastAsia="方正小标宋_GBK" w:cs="Times New Roman"/>
          <w:bCs w:val="0"/>
          <w:kern w:val="2"/>
          <w:sz w:val="44"/>
          <w:szCs w:val="44"/>
          <w:lang w:val="en-US" w:eastAsia="zh-CN" w:bidi="ar-SA"/>
        </w:rPr>
        <w:t>实施方案</w:t>
      </w:r>
    </w:p>
    <w:bookmarkEnd w:id="116"/>
    <w:p>
      <w:pPr>
        <w:widowControl/>
        <w:overflowPunct w:val="0"/>
        <w:ind w:firstLine="0" w:firstLineChars="0"/>
        <w:jc w:val="center"/>
        <w:rPr>
          <w:rFonts w:hint="default" w:eastAsia="楷体_GB2312"/>
          <w:sz w:val="32"/>
          <w:szCs w:val="22"/>
        </w:rPr>
      </w:pPr>
      <w:r>
        <w:rPr>
          <w:rFonts w:hint="default" w:eastAsia="楷体_GB2312"/>
          <w:sz w:val="32"/>
          <w:szCs w:val="22"/>
        </w:rPr>
        <w:t>（公开发布稿）</w:t>
      </w:r>
    </w:p>
    <w:p>
      <w:pPr>
        <w:keepNext/>
        <w:keepLines/>
        <w:overflowPunct w:val="0"/>
        <w:spacing w:line="560" w:lineRule="exact"/>
        <w:ind w:firstLine="640" w:firstLineChars="200"/>
        <w:jc w:val="both"/>
        <w:outlineLvl w:val="0"/>
        <w:rPr>
          <w:rFonts w:hint="eastAsia" w:ascii="Times New Roman" w:hAnsi="Times New Roman" w:eastAsia="黑体" w:cs="Times New Roman"/>
          <w:bCs w:val="0"/>
          <w:kern w:val="44"/>
          <w:sz w:val="32"/>
          <w:szCs w:val="44"/>
          <w:lang w:val="en-US" w:eastAsia="zh-CN" w:bidi="ar-SA"/>
        </w:rPr>
      </w:pPr>
    </w:p>
    <w:p>
      <w:pPr>
        <w:keepNext/>
        <w:keepLines/>
        <w:overflowPunct w:val="0"/>
        <w:spacing w:line="560" w:lineRule="exact"/>
        <w:ind w:firstLine="640" w:firstLineChars="200"/>
        <w:jc w:val="both"/>
        <w:outlineLvl w:val="0"/>
        <w:rPr>
          <w:rFonts w:hint="default" w:ascii="Times New Roman" w:hAnsi="Times New Roman" w:eastAsia="黑体" w:cs="Times New Roman"/>
          <w:bCs w:val="0"/>
          <w:kern w:val="44"/>
          <w:sz w:val="32"/>
          <w:szCs w:val="44"/>
          <w:lang w:val="en-US" w:eastAsia="zh-CN" w:bidi="ar-SA"/>
        </w:rPr>
      </w:pPr>
      <w:r>
        <w:rPr>
          <w:rFonts w:hint="eastAsia" w:ascii="Times New Roman" w:hAnsi="Times New Roman" w:eastAsia="黑体" w:cs="Times New Roman"/>
          <w:bCs w:val="0"/>
          <w:kern w:val="44"/>
          <w:sz w:val="32"/>
          <w:szCs w:val="44"/>
          <w:lang w:val="en-US" w:eastAsia="zh-CN" w:bidi="ar-SA"/>
        </w:rPr>
        <w:t>一、</w:t>
      </w:r>
      <w:bookmarkEnd w:id="0"/>
      <w:bookmarkEnd w:id="1"/>
      <w:bookmarkEnd w:id="2"/>
      <w:r>
        <w:rPr>
          <w:rFonts w:hint="eastAsia" w:ascii="Times New Roman" w:hAnsi="Times New Roman" w:eastAsia="黑体" w:cs="Times New Roman"/>
          <w:bCs w:val="0"/>
          <w:kern w:val="44"/>
          <w:sz w:val="32"/>
          <w:szCs w:val="44"/>
          <w:lang w:val="en-US" w:eastAsia="zh-CN" w:bidi="ar-SA"/>
        </w:rPr>
        <w:t>指导思想</w:t>
      </w:r>
    </w:p>
    <w:p>
      <w:pPr>
        <w:widowControl/>
        <w:overflowPunct w:val="0"/>
        <w:spacing w:line="560" w:lineRule="exact"/>
        <w:ind w:firstLine="640" w:firstLineChars="200"/>
        <w:rPr>
          <w:rFonts w:eastAsia="仿宋_GB2312" w:cs="Times New Roman"/>
          <w:sz w:val="32"/>
          <w:szCs w:val="22"/>
        </w:rPr>
      </w:pPr>
      <w:r>
        <w:rPr>
          <w:rFonts w:hint="eastAsia" w:eastAsia="仿宋_GB2312" w:cs="Times New Roman"/>
          <w:sz w:val="32"/>
          <w:szCs w:val="22"/>
        </w:rPr>
        <w:t>坚持以习近平新时代中国特色社会主义思想为指导，深入贯彻党的二十大和二十届历次全会精神，全面落实习近平总书记视察天津重要讲话精神和对天津工作一系列重要指示要求，</w:t>
      </w:r>
      <w:r>
        <w:rPr>
          <w:rFonts w:eastAsia="仿宋_GB2312" w:cs="Times New Roman"/>
          <w:sz w:val="32"/>
          <w:szCs w:val="22"/>
        </w:rPr>
        <w:t>充分发挥京津冀协同发展的排头兵和重要承载地作用，以经济社会可持续发展为导向，以产业绿色转型为抓手，以低碳科技创新为支撑，以体制机制改革为保障，执行“多产协同、石化减排、科创助力、共建低碳园区”方针策略，结合区域“一区十园”、多元化产业和发展阶段等特征，为</w:t>
      </w:r>
      <w:r>
        <w:rPr>
          <w:rFonts w:hint="eastAsia" w:eastAsia="仿宋_GB2312" w:cs="Times New Roman"/>
          <w:sz w:val="32"/>
          <w:szCs w:val="22"/>
        </w:rPr>
        <w:t>京津冀乃至全国</w:t>
      </w:r>
      <w:r>
        <w:rPr>
          <w:rFonts w:eastAsia="仿宋_GB2312" w:cs="Times New Roman"/>
          <w:sz w:val="32"/>
          <w:szCs w:val="22"/>
        </w:rPr>
        <w:t>综合型产业园区探索行之有效、先进适用的绿色低碳转型升级路径，为全国其他开发区提供可复制、可推广的鲜活案例，打造国内外最具影响力的</w:t>
      </w:r>
      <w:r>
        <w:rPr>
          <w:rFonts w:hint="eastAsia" w:eastAsia="仿宋_GB2312" w:cs="Times New Roman"/>
          <w:sz w:val="32"/>
          <w:szCs w:val="22"/>
        </w:rPr>
        <w:t>碳达峰园区示范</w:t>
      </w:r>
      <w:r>
        <w:rPr>
          <w:rFonts w:eastAsia="仿宋_GB2312" w:cs="Times New Roman"/>
          <w:sz w:val="32"/>
          <w:szCs w:val="22"/>
        </w:rPr>
        <w:t>样板。</w:t>
      </w:r>
    </w:p>
    <w:p>
      <w:pPr>
        <w:keepNext/>
        <w:keepLines/>
        <w:overflowPunct w:val="0"/>
        <w:spacing w:line="560" w:lineRule="exact"/>
        <w:ind w:firstLine="640" w:firstLineChars="200"/>
        <w:jc w:val="both"/>
        <w:outlineLvl w:val="0"/>
        <w:rPr>
          <w:rFonts w:hint="default" w:ascii="Times New Roman" w:hAnsi="Times New Roman" w:eastAsia="黑体" w:cs="Times New Roman"/>
          <w:bCs w:val="0"/>
          <w:kern w:val="44"/>
          <w:sz w:val="32"/>
          <w:szCs w:val="44"/>
          <w:lang w:val="en-US" w:eastAsia="zh-CN" w:bidi="ar-SA"/>
        </w:rPr>
      </w:pPr>
      <w:bookmarkStart w:id="4" w:name="_Toc1127095954"/>
      <w:bookmarkStart w:id="5" w:name="_Toc7759"/>
      <w:bookmarkStart w:id="6" w:name="_Toc1914427045"/>
      <w:r>
        <w:rPr>
          <w:rFonts w:hint="eastAsia" w:ascii="Times New Roman" w:hAnsi="Times New Roman" w:eastAsia="黑体" w:cs="Times New Roman"/>
          <w:bCs w:val="0"/>
          <w:kern w:val="44"/>
          <w:sz w:val="32"/>
          <w:szCs w:val="44"/>
          <w:lang w:val="en-US" w:eastAsia="zh-CN" w:bidi="ar-SA"/>
        </w:rPr>
        <w:t>二、建设</w:t>
      </w:r>
      <w:r>
        <w:rPr>
          <w:rFonts w:hint="default" w:ascii="Times New Roman" w:hAnsi="Times New Roman" w:eastAsia="黑体" w:cs="Times New Roman"/>
          <w:bCs w:val="0"/>
          <w:kern w:val="44"/>
          <w:sz w:val="32"/>
          <w:szCs w:val="44"/>
          <w:lang w:val="en-US" w:eastAsia="zh-CN" w:bidi="ar-SA"/>
        </w:rPr>
        <w:t>目标</w:t>
      </w:r>
      <w:bookmarkEnd w:id="4"/>
      <w:bookmarkEnd w:id="5"/>
      <w:bookmarkEnd w:id="6"/>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通过碳达峰试点建设，聚焦产业链高端延伸，推动先进低碳技术集群落地，通过创新碳预算管理等机制，深化CCUS技术验证应用，破解南港片区重化工业转型难题，为全国同类园区提供可复制、可推广的绿色低碳转型经验做法。到2030年，</w:t>
      </w:r>
      <w:r>
        <w:rPr>
          <w:rFonts w:hint="eastAsia" w:eastAsia="仿宋_GB2312" w:cs="Times New Roman"/>
          <w:sz w:val="32"/>
          <w:szCs w:val="22"/>
        </w:rPr>
        <w:t>实现</w:t>
      </w:r>
      <w:r>
        <w:rPr>
          <w:rFonts w:eastAsia="仿宋_GB2312" w:cs="Times New Roman"/>
          <w:sz w:val="32"/>
          <w:szCs w:val="22"/>
        </w:rPr>
        <w:t>产业结构调整取得重大突破，清洁低碳安全高效的能源体系初步建立，现代产业体系聚集区基本建成，非化石能源消费比重进一步提高，绿色低碳技术示范应用取得关键突破，调结构、换动能基本完成，建成低碳技术研发应用高地。</w:t>
      </w:r>
    </w:p>
    <w:p>
      <w:pPr>
        <w:keepNext/>
        <w:keepLines/>
        <w:overflowPunct w:val="0"/>
        <w:spacing w:line="560" w:lineRule="exact"/>
        <w:ind w:firstLine="640" w:firstLineChars="200"/>
        <w:jc w:val="both"/>
        <w:outlineLvl w:val="0"/>
        <w:rPr>
          <w:rFonts w:hint="default" w:ascii="Times New Roman" w:hAnsi="Times New Roman" w:eastAsia="黑体" w:cs="Times New Roman"/>
          <w:bCs w:val="0"/>
          <w:kern w:val="44"/>
          <w:sz w:val="32"/>
          <w:szCs w:val="44"/>
          <w:lang w:val="en-US" w:eastAsia="zh-CN" w:bidi="ar-SA"/>
        </w:rPr>
      </w:pPr>
      <w:bookmarkStart w:id="7" w:name="_Toc27434"/>
      <w:bookmarkStart w:id="8" w:name="_Toc23960"/>
      <w:bookmarkStart w:id="9" w:name="_Toc1418776274"/>
      <w:bookmarkStart w:id="10" w:name="_Toc1429167855"/>
      <w:r>
        <w:rPr>
          <w:rFonts w:hint="default" w:ascii="Times New Roman" w:hAnsi="Times New Roman" w:eastAsia="黑体" w:cs="Times New Roman"/>
          <w:bCs w:val="0"/>
          <w:kern w:val="44"/>
          <w:sz w:val="32"/>
          <w:szCs w:val="44"/>
          <w:lang w:val="en-US" w:eastAsia="zh-CN" w:bidi="ar-SA"/>
        </w:rPr>
        <w:t>三、重点任务</w:t>
      </w:r>
      <w:bookmarkEnd w:id="7"/>
      <w:bookmarkEnd w:id="8"/>
      <w:bookmarkEnd w:id="9"/>
      <w:bookmarkEnd w:id="10"/>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11" w:name="_Toc651126279"/>
      <w:bookmarkStart w:id="12" w:name="_Toc11683"/>
      <w:bookmarkStart w:id="13" w:name="_Toc25369"/>
      <w:bookmarkStart w:id="14" w:name="_Toc2046518906"/>
      <w:r>
        <w:rPr>
          <w:rFonts w:ascii="Times New Roman" w:hAnsi="Times New Roman" w:eastAsia="楷体_GB2312" w:cs="Times New Roman"/>
          <w:bCs w:val="0"/>
          <w:kern w:val="2"/>
          <w:sz w:val="32"/>
          <w:szCs w:val="32"/>
          <w:lang w:val="en-US" w:eastAsia="zh-CN" w:bidi="ar-SA"/>
        </w:rPr>
        <w:t>（一）深化能源绿色低碳转型</w:t>
      </w:r>
      <w:bookmarkEnd w:id="11"/>
      <w:bookmarkEnd w:id="12"/>
      <w:bookmarkEnd w:id="13"/>
      <w:bookmarkEnd w:id="14"/>
    </w:p>
    <w:p>
      <w:pPr>
        <w:keepNext/>
        <w:keepLines/>
        <w:widowControl/>
        <w:overflowPunct w:val="0"/>
        <w:spacing w:line="560" w:lineRule="exact"/>
        <w:ind w:firstLine="642" w:firstLineChars="200"/>
        <w:outlineLvl w:val="2"/>
        <w:rPr>
          <w:rFonts w:eastAsia="仿宋_GB2312" w:cs="Times New Roman"/>
          <w:b/>
          <w:bCs/>
          <w:sz w:val="32"/>
          <w:szCs w:val="32"/>
        </w:rPr>
      </w:pPr>
      <w:bookmarkStart w:id="15" w:name="OLE_LINK4"/>
      <w:r>
        <w:rPr>
          <w:rFonts w:eastAsia="仿宋_GB2312" w:cs="Times New Roman"/>
          <w:b/>
          <w:bCs/>
          <w:sz w:val="32"/>
          <w:szCs w:val="32"/>
        </w:rPr>
        <w:t>1.加强化石能源清洁高效利用</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持续做好控煤降碳工作</w:t>
      </w:r>
      <w:bookmarkEnd w:id="15"/>
      <w:r>
        <w:rPr>
          <w:rFonts w:eastAsia="仿宋_GB2312" w:cs="Times New Roman"/>
          <w:sz w:val="32"/>
          <w:szCs w:val="22"/>
        </w:rPr>
        <w:t>。完成重点耗煤企业控煤目标，在保障能源安全的前提下，持续降低燃煤在能源系统中的消耗量。加强煤炭质量和流通环节管控，加快推动现有供热系统低碳化改造。推动燃煤发电机组实施提升效率改造，达到同级别机组国内先进水平，鼓励发电企业参与深度调峰服务，推动热电联产机组灵活性改造。</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优化天然气利用结构和方式</w:t>
      </w:r>
      <w:r>
        <w:rPr>
          <w:rFonts w:hint="eastAsia" w:eastAsia="仿宋_GB2312" w:cs="Times New Roman"/>
          <w:sz w:val="32"/>
          <w:szCs w:val="22"/>
        </w:rPr>
        <w:t>。</w:t>
      </w:r>
      <w:r>
        <w:rPr>
          <w:rFonts w:eastAsia="仿宋_GB2312" w:cs="Times New Roman"/>
          <w:sz w:val="32"/>
          <w:szCs w:val="22"/>
        </w:rPr>
        <w:t>积极引进LNG（液化天然气），推进LNG项目建设，实现陆地、海上气源相互补充</w:t>
      </w:r>
      <w:r>
        <w:rPr>
          <w:rFonts w:hint="eastAsia" w:eastAsia="仿宋_GB2312" w:cs="Times New Roman"/>
          <w:sz w:val="32"/>
          <w:szCs w:val="22"/>
        </w:rPr>
        <w:t>、</w:t>
      </w:r>
      <w:r>
        <w:rPr>
          <w:rFonts w:eastAsia="仿宋_GB2312" w:cs="Times New Roman"/>
          <w:sz w:val="32"/>
          <w:szCs w:val="22"/>
        </w:rPr>
        <w:t>互为备用</w:t>
      </w:r>
      <w:r>
        <w:rPr>
          <w:rFonts w:hint="eastAsia" w:eastAsia="仿宋_GB2312" w:cs="Times New Roman"/>
          <w:sz w:val="32"/>
          <w:szCs w:val="22"/>
        </w:rPr>
        <w:t>，</w:t>
      </w:r>
      <w:r>
        <w:rPr>
          <w:rFonts w:eastAsia="仿宋_GB2312" w:cs="Times New Roman"/>
          <w:sz w:val="32"/>
          <w:szCs w:val="22"/>
        </w:rPr>
        <w:t>实现多源供气。扩大天然气利用规模，谋划建设燃气调峰锅炉，推进能源综合利用的研发和建设，推动符合条件的石化、化工等LNG大用户采用天然气直购模式。积极发展燃气分布式能源，推动冷（热）负荷集中区域建设冷热电多联供分布式能源系统。积极拓展用气领域，推动城镇燃气、交通运输、工业燃料、公共服务等领域的能源高效科学利用，支持推广天然气汽车和货车，完善车用LNG加气站布局。加快油品利用场景向电能转变。</w:t>
      </w:r>
    </w:p>
    <w:p>
      <w:pPr>
        <w:keepNext/>
        <w:keepLines/>
        <w:widowControl/>
        <w:overflowPunct w:val="0"/>
        <w:spacing w:line="560" w:lineRule="exact"/>
        <w:ind w:firstLine="642" w:firstLineChars="200"/>
        <w:outlineLvl w:val="2"/>
        <w:rPr>
          <w:rFonts w:eastAsia="仿宋_GB2312" w:cs="Times New Roman"/>
          <w:b/>
          <w:bCs/>
          <w:sz w:val="32"/>
          <w:szCs w:val="32"/>
        </w:rPr>
      </w:pPr>
      <w:bookmarkStart w:id="16" w:name="_Toc20473"/>
      <w:bookmarkStart w:id="17" w:name="_Toc31293"/>
      <w:r>
        <w:rPr>
          <w:rFonts w:eastAsia="仿宋_GB2312" w:cs="Times New Roman"/>
          <w:b/>
          <w:bCs/>
          <w:sz w:val="32"/>
          <w:szCs w:val="32"/>
        </w:rPr>
        <w:t>2.充分挖掘可再生能源发展潜力</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加强顶层设计谋划。</w:t>
      </w:r>
      <w:r>
        <w:rPr>
          <w:rFonts w:hint="eastAsia" w:eastAsia="仿宋_GB2312" w:cs="Times New Roman"/>
          <w:sz w:val="32"/>
          <w:szCs w:val="22"/>
        </w:rPr>
        <w:t>结合园区可再生能源开发利用现状及需求，进一步</w:t>
      </w:r>
      <w:r>
        <w:rPr>
          <w:rFonts w:eastAsia="仿宋_GB2312" w:cs="Times New Roman"/>
          <w:sz w:val="32"/>
          <w:szCs w:val="22"/>
        </w:rPr>
        <w:t>统筹全区风、光、地热等可再生资源评估开发，将可再生能源使用需求纳入基础设施规划和厂区设计，推动多能互补项目多场景融合发展。同时，加强与周边区域的能源合作，推动跨区域能源互联互通，形成协同发展的能源格局，为区域经济高质量发展提供坚实的能源保障。</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多领域推动可再生能源开发利用。充分利用太阳能资源与建筑集成技术进行发电，鼓励各功能园区利用未建土地、绿带或与公园结合，建设城市绿地光伏</w:t>
      </w:r>
      <w:r>
        <w:rPr>
          <w:rFonts w:hint="eastAsia" w:eastAsia="仿宋_GB2312" w:cs="Times New Roman"/>
          <w:sz w:val="32"/>
          <w:szCs w:val="22"/>
        </w:rPr>
        <w:t>、地热</w:t>
      </w:r>
      <w:r>
        <w:rPr>
          <w:rFonts w:eastAsia="仿宋_GB2312" w:cs="Times New Roman"/>
          <w:sz w:val="32"/>
          <w:szCs w:val="22"/>
        </w:rPr>
        <w:t>示范；鼓励工业厂房、服务业、商贸业项目建筑安装光伏。结合上位规划和区域资源条件，积极布局陆上风电，推动“风光储一体化”多能互补项目，提升区域绿色电力供给能力。因地制宜</w:t>
      </w:r>
      <w:r>
        <w:rPr>
          <w:rFonts w:hint="eastAsia" w:eastAsia="仿宋_GB2312" w:cs="Times New Roman"/>
          <w:sz w:val="32"/>
          <w:szCs w:val="22"/>
        </w:rPr>
        <w:t>利用</w:t>
      </w:r>
      <w:r>
        <w:rPr>
          <w:rFonts w:eastAsia="仿宋_GB2312" w:cs="Times New Roman"/>
          <w:sz w:val="32"/>
          <w:szCs w:val="22"/>
        </w:rPr>
        <w:t>生物质能，鼓励生物质能多形式综合利用，支持探索开展绿色蒸汽认证。充分利用余热余能，有序推进一批效率高、效益好、效果优的余热余能综合利用示范项目，重点推动工业余热的开发利用和LNG冷能综合利用，实现能源梯级开发，要素循环利用。</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加速新能源产业开发应用，开展新能源和蓄热、蓄冷、制氢相结合的工程示范，推动新能源生产、转化、储存、运输多环节融合，实现多途径利用；开展氢燃料电池汽车新技术、新车型、新模式的示范应用，结合实际探索加氢站建设，探索在交通、物流、环卫、专用配送和邮政等领域推广应用氢燃料电池汽车。</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3.推进新型能源系统建设</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打造国际领先能源互联网</w:t>
      </w:r>
      <w:r>
        <w:rPr>
          <w:rFonts w:hint="eastAsia" w:eastAsia="仿宋_GB2312" w:cs="Times New Roman"/>
          <w:sz w:val="32"/>
          <w:szCs w:val="22"/>
        </w:rPr>
        <w:t>先行区</w:t>
      </w:r>
      <w:r>
        <w:rPr>
          <w:rFonts w:eastAsia="仿宋_GB2312" w:cs="Times New Roman"/>
          <w:sz w:val="32"/>
          <w:szCs w:val="22"/>
        </w:rPr>
        <w:t>。整合供热、燃气、电力等市政能源信息，集中展示区内场站、管线及能源用量信息，实现能源智慧高效、互补互联。推广智能热网建设，通过对热源、管网、换热站的工况数据实时监控管理，实现直观高效调整运行参数，准确及时处理供热事故，提高科学调度、节能增效水平。</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积极构建新型电力系统。推动分布式电源和智慧微电网发展，加快主动配电网建设，积极鼓励建设新能源电力专线供电。建设储能电站和基于源储荷全量可控资源池的虚拟电厂，有效促进新能源消纳，实现调峰、调频、电力需求响应等功能和各种能源资源的优化配置。利用</w:t>
      </w:r>
      <w:r>
        <w:rPr>
          <w:rFonts w:hint="eastAsia" w:eastAsia="仿宋_GB2312" w:cs="Times New Roman"/>
          <w:sz w:val="32"/>
          <w:szCs w:val="22"/>
          <w:lang w:eastAsia="zh-CN"/>
        </w:rPr>
        <w:t>经开区</w:t>
      </w:r>
      <w:r>
        <w:rPr>
          <w:rFonts w:eastAsia="仿宋_GB2312" w:cs="Times New Roman"/>
          <w:sz w:val="32"/>
          <w:szCs w:val="22"/>
        </w:rPr>
        <w:t>东区增量配电网优势，大力开展分布式新能源建设和集中式可再生能源发电就近接入消纳，支持企业使用直供绿电，增强绿电消纳能力，整合热力、燃气利用情况，做好能源供给端和需求端平衡，集中打造</w:t>
      </w:r>
      <w:r>
        <w:rPr>
          <w:rFonts w:hint="eastAsia" w:eastAsia="仿宋_GB2312" w:cs="Times New Roman"/>
          <w:sz w:val="32"/>
          <w:szCs w:val="22"/>
          <w:lang w:eastAsia="zh-CN"/>
        </w:rPr>
        <w:t>经开区</w:t>
      </w:r>
      <w:r>
        <w:rPr>
          <w:rFonts w:eastAsia="仿宋_GB2312" w:cs="Times New Roman"/>
          <w:sz w:val="32"/>
          <w:szCs w:val="22"/>
        </w:rPr>
        <w:t>东区能源互联网，以源网荷储一体化能源互联网为基础，实现多能互补，提升园区用能效率，打造能源互联网</w:t>
      </w:r>
      <w:r>
        <w:rPr>
          <w:rFonts w:hint="eastAsia" w:eastAsia="仿宋_GB2312" w:cs="Times New Roman"/>
          <w:sz w:val="32"/>
          <w:szCs w:val="22"/>
        </w:rPr>
        <w:t>先行</w:t>
      </w:r>
      <w:r>
        <w:rPr>
          <w:rFonts w:eastAsia="仿宋_GB2312" w:cs="Times New Roman"/>
          <w:sz w:val="32"/>
          <w:szCs w:val="22"/>
        </w:rPr>
        <w:t>区。</w:t>
      </w:r>
    </w:p>
    <w:p>
      <w:pPr>
        <w:keepNext/>
        <w:keepLines/>
        <w:widowControl/>
        <w:overflowPunct w:val="0"/>
        <w:spacing w:line="560" w:lineRule="exact"/>
        <w:ind w:firstLine="642" w:firstLineChars="200"/>
        <w:outlineLvl w:val="2"/>
        <w:rPr>
          <w:rFonts w:eastAsia="仿宋_GB2312" w:cs="Times New Roman"/>
          <w:b/>
          <w:bCs/>
          <w:sz w:val="32"/>
          <w:szCs w:val="32"/>
        </w:rPr>
      </w:pPr>
      <w:r>
        <w:rPr>
          <w:rFonts w:hint="eastAsia" w:eastAsia="仿宋_GB2312" w:cs="Times New Roman"/>
          <w:b/>
          <w:bCs/>
          <w:sz w:val="32"/>
          <w:szCs w:val="32"/>
        </w:rPr>
        <w:t>4.</w:t>
      </w:r>
      <w:r>
        <w:rPr>
          <w:rFonts w:eastAsia="仿宋_GB2312" w:cs="Times New Roman"/>
          <w:b/>
          <w:bCs/>
          <w:sz w:val="32"/>
          <w:szCs w:val="32"/>
        </w:rPr>
        <w:t>创新探索绿电供给机制</w:t>
      </w:r>
    </w:p>
    <w:p>
      <w:pPr>
        <w:widowControl/>
        <w:overflowPunct w:val="0"/>
        <w:spacing w:line="560" w:lineRule="exact"/>
        <w:ind w:firstLine="640" w:firstLineChars="200"/>
        <w:rPr>
          <w:rFonts w:eastAsia="仿宋_GB2312"/>
          <w:sz w:val="32"/>
          <w:szCs w:val="22"/>
        </w:rPr>
      </w:pPr>
      <w:r>
        <w:rPr>
          <w:rFonts w:eastAsia="仿宋_GB2312"/>
          <w:sz w:val="32"/>
          <w:szCs w:val="22"/>
        </w:rPr>
        <w:t>结合园区绿电资源禀赋，创新探索开展绿电项目与用电项目通过电网企业建设专线直联的供电模式；探索分布式绿电规模化发展和就地消纳机制。加强与电网、企业、配电公司及其他资源的联系与合作，探索跨区域绿电交易新模式，推动绿电市场化、规模化应用，助力园区绿色能源转型。整合发电企业、电网公司、第三方认证机构、能源服务商以及区内重点绿电消纳企业等多方资源，简化企业采购流程，降低交易成本，帮助企业便捷获取绿色电力。</w:t>
      </w:r>
    </w:p>
    <w:p>
      <w:pPr>
        <w:keepNext/>
        <w:keepLines/>
        <w:widowControl/>
        <w:overflowPunct w:val="0"/>
        <w:spacing w:line="560" w:lineRule="exact"/>
        <w:ind w:firstLine="642" w:firstLineChars="200"/>
        <w:outlineLvl w:val="2"/>
        <w:rPr>
          <w:rFonts w:eastAsia="仿宋_GB2312" w:cs="Times New Roman"/>
          <w:b/>
          <w:bCs/>
          <w:sz w:val="32"/>
          <w:szCs w:val="32"/>
        </w:rPr>
      </w:pPr>
      <w:r>
        <w:rPr>
          <w:rFonts w:hint="eastAsia" w:eastAsia="仿宋_GB2312" w:cs="Times New Roman"/>
          <w:b/>
          <w:bCs/>
          <w:sz w:val="32"/>
          <w:szCs w:val="32"/>
        </w:rPr>
        <w:t>5</w:t>
      </w:r>
      <w:r>
        <w:rPr>
          <w:rFonts w:eastAsia="仿宋_GB2312" w:cs="Times New Roman"/>
          <w:b/>
          <w:bCs/>
          <w:sz w:val="32"/>
          <w:szCs w:val="32"/>
        </w:rPr>
        <w:t>.完善区域节能监管机制</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做好项目增量能耗管理，</w:t>
      </w:r>
      <w:r>
        <w:rPr>
          <w:rFonts w:hint="eastAsia" w:eastAsia="仿宋_GB2312" w:cs="Times New Roman"/>
          <w:sz w:val="32"/>
          <w:szCs w:val="22"/>
        </w:rPr>
        <w:t>严格高耗能项目准入</w:t>
      </w:r>
      <w:r>
        <w:rPr>
          <w:rFonts w:eastAsia="仿宋_GB2312" w:cs="Times New Roman"/>
          <w:sz w:val="32"/>
          <w:szCs w:val="22"/>
        </w:rPr>
        <w:t>，配合项目能评机制把好项目落地能效标准关。进行固定资产投资项目节能审查事项事中事后监管，促进能效先进的优质项目落地。做好项目存量科学化管理，做好重点用能单位能耗双控考核工作，推动企业、建筑能耗在线监测系统建设，实现区内节能形势预测预警、节能监察等功能，强化节能管理信息平台对节能管理工作科学化、精细化的支撑作用。发挥节能减排激励政策引导作用，充分使用国家、市级、经开区级各项节能减排资金、鼓励开展园区级、企业级节能减排项目。</w:t>
      </w:r>
      <w:r>
        <w:rPr>
          <w:rFonts w:hint="eastAsia" w:eastAsia="仿宋_GB2312" w:cs="Times New Roman"/>
          <w:sz w:val="32"/>
          <w:szCs w:val="22"/>
        </w:rPr>
        <w:t>加强</w:t>
      </w:r>
      <w:r>
        <w:rPr>
          <w:rFonts w:eastAsia="仿宋_GB2312" w:cs="Times New Roman"/>
          <w:sz w:val="32"/>
          <w:szCs w:val="22"/>
        </w:rPr>
        <w:t>经开区节能监督执法队伍</w:t>
      </w:r>
      <w:r>
        <w:rPr>
          <w:rFonts w:hint="eastAsia" w:eastAsia="仿宋_GB2312" w:cs="Times New Roman"/>
          <w:sz w:val="32"/>
          <w:szCs w:val="22"/>
        </w:rPr>
        <w:t>建设</w:t>
      </w:r>
      <w:r>
        <w:rPr>
          <w:rFonts w:eastAsia="仿宋_GB2312" w:cs="Times New Roman"/>
          <w:sz w:val="32"/>
          <w:szCs w:val="22"/>
        </w:rPr>
        <w:t>，强化节能监督检查，推进节能执法监察工作，形成节能管理、节能服务、节能监察执法“三位一体”的工作模式。</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18" w:name="_Toc517691728"/>
      <w:bookmarkStart w:id="19" w:name="_Toc734338178"/>
      <w:r>
        <w:rPr>
          <w:rFonts w:ascii="Times New Roman" w:hAnsi="Times New Roman" w:eastAsia="楷体_GB2312" w:cs="Times New Roman"/>
          <w:bCs w:val="0"/>
          <w:kern w:val="2"/>
          <w:sz w:val="32"/>
          <w:szCs w:val="32"/>
          <w:lang w:val="en-US" w:eastAsia="zh-CN" w:bidi="ar-SA"/>
        </w:rPr>
        <w:t>（二）</w:t>
      </w:r>
      <w:bookmarkEnd w:id="16"/>
      <w:bookmarkEnd w:id="17"/>
      <w:r>
        <w:rPr>
          <w:rFonts w:ascii="Times New Roman" w:hAnsi="Times New Roman" w:eastAsia="楷体_GB2312" w:cs="Times New Roman"/>
          <w:bCs w:val="0"/>
          <w:kern w:val="2"/>
          <w:sz w:val="32"/>
          <w:szCs w:val="32"/>
          <w:lang w:val="en-US" w:eastAsia="zh-CN" w:bidi="ar-SA"/>
        </w:rPr>
        <w:t>打造新质生产力发展优势</w:t>
      </w:r>
      <w:bookmarkEnd w:id="18"/>
      <w:bookmarkEnd w:id="19"/>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1.打造汽车及高端装备产业集群</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推动汽车产业深度转型，鼓励整车制造企业导入HEV、PHEV、增程式等新能源车型，支持零部件配套企业电动化和智能化转型；完善新能源汽车“三电”系统及智能驾驶、智能座舱，智慧车载系统等重点领域布局；探索氢能、醇氢汽车等新赛道，构建醇氢生态。推动装备产业高端化发展，重点布局工业机器人、人形机器人、服务机器人，高端数控机床等领域，系统推进智能机器人技术创新，产品研制和场景应用；巩固高端能源装备、先进航天运输装备发展优势，加快以无人化、电动化，智能化为技术特征的新型无人通用航空装备发展壮大；推动海洋装备产业发展，形成“零部件</w:t>
      </w:r>
      <w:r>
        <w:rPr>
          <w:rFonts w:hint="eastAsia" w:eastAsia="仿宋_GB2312" w:cs="Times New Roman"/>
          <w:sz w:val="32"/>
          <w:szCs w:val="22"/>
        </w:rPr>
        <w:t>－</w:t>
      </w:r>
      <w:r>
        <w:rPr>
          <w:rFonts w:eastAsia="仿宋_GB2312" w:cs="Times New Roman"/>
          <w:sz w:val="32"/>
          <w:szCs w:val="22"/>
        </w:rPr>
        <w:t>装备集成</w:t>
      </w:r>
      <w:r>
        <w:rPr>
          <w:rFonts w:hint="eastAsia" w:eastAsia="仿宋_GB2312" w:cs="Times New Roman"/>
          <w:sz w:val="32"/>
          <w:szCs w:val="22"/>
        </w:rPr>
        <w:t>－</w:t>
      </w:r>
      <w:r>
        <w:rPr>
          <w:rFonts w:eastAsia="仿宋_GB2312" w:cs="Times New Roman"/>
          <w:sz w:val="32"/>
          <w:szCs w:val="22"/>
        </w:rPr>
        <w:t>总装建造</w:t>
      </w:r>
      <w:r>
        <w:rPr>
          <w:rFonts w:hint="eastAsia" w:eastAsia="仿宋_GB2312" w:cs="Times New Roman"/>
          <w:sz w:val="32"/>
          <w:szCs w:val="22"/>
        </w:rPr>
        <w:t>－</w:t>
      </w:r>
      <w:r>
        <w:rPr>
          <w:rFonts w:eastAsia="仿宋_GB2312" w:cs="Times New Roman"/>
          <w:sz w:val="32"/>
          <w:szCs w:val="22"/>
        </w:rPr>
        <w:t>配套服务”的海工装备产业体系。</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ascii="Times New Roman" w:hAnsi="Times New Roman" w:eastAsia="仿宋_GB2312" w:cs="Times New Roman"/>
          <w:b/>
          <w:bCs/>
          <w:kern w:val="2"/>
          <w:sz w:val="32"/>
          <w:szCs w:val="32"/>
          <w:lang w:val="en-US" w:eastAsia="zh-CN" w:bidi="ar-SA"/>
        </w:rPr>
        <w:t>2.打造绿色化工新材料产业集群</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建设南港世界一流绿色化工新材料基地，重点围绕特种烯烃衍生物、先进化工材料、高端精细及专用化学品等领域，聚焦碳一至碳五、高性能工程树脂及复合材料、电子信息材料、电子化学品等子链，加大延链补链强链力度，强化与电子信息、装备制造、航空航天、汽车制造等优势产业融合发展。引育高端电子化学品项目，推动重点项目加快建设，进一步打造京津电子化学品基地。</w:t>
      </w:r>
    </w:p>
    <w:p>
      <w:pPr>
        <w:keepNext/>
        <w:keepLines/>
        <w:widowControl/>
        <w:overflowPunct w:val="0"/>
        <w:spacing w:line="560" w:lineRule="exact"/>
        <w:ind w:firstLine="642" w:firstLineChars="200"/>
        <w:outlineLvl w:val="2"/>
        <w:rPr>
          <w:rFonts w:hint="default" w:eastAsia="仿宋_GB2312" w:cs="Times New Roman"/>
          <w:b/>
          <w:bCs/>
          <w:color w:val="auto"/>
          <w:sz w:val="32"/>
          <w:szCs w:val="32"/>
        </w:rPr>
      </w:pPr>
      <w:r>
        <w:rPr>
          <w:rFonts w:hint="default" w:eastAsia="仿宋_GB2312" w:cs="Times New Roman"/>
          <w:b/>
          <w:bCs/>
          <w:color w:val="auto"/>
          <w:sz w:val="32"/>
          <w:szCs w:val="32"/>
        </w:rPr>
        <w:t>3.培育壮大新兴产业</w:t>
      </w:r>
    </w:p>
    <w:p>
      <w:pPr>
        <w:widowControl/>
        <w:overflowPunct w:val="0"/>
        <w:spacing w:line="560" w:lineRule="exact"/>
        <w:ind w:firstLine="640" w:firstLineChars="200"/>
        <w:rPr>
          <w:rFonts w:eastAsia="仿宋_GB2312" w:cs="Times New Roman"/>
          <w:sz w:val="32"/>
          <w:szCs w:val="22"/>
          <w:shd w:val="clear" w:color="auto" w:fill="FFFFFF"/>
        </w:rPr>
      </w:pPr>
      <w:r>
        <w:rPr>
          <w:rFonts w:eastAsia="仿宋_GB2312" w:cs="Times New Roman"/>
          <w:sz w:val="32"/>
          <w:szCs w:val="22"/>
          <w:shd w:val="clear" w:color="auto" w:fill="FFFFFF"/>
        </w:rPr>
        <w:t>打造生物医药大健康产业集群，推动核酸产业创新集群特色化发展，发挥核酸药物产业化基础配套完善的优势，不断补齐上下游产业资源，加速核酸产业链集聚。壮大医药研发外包服务产业集群规模，重点推进化学药中间体和高端原料药研发服务体系建设，推动建立创新药全链条研发服务体系，打造国家级药械外包服务产业聚集地。</w:t>
      </w:r>
    </w:p>
    <w:p>
      <w:pPr>
        <w:widowControl/>
        <w:overflowPunct w:val="0"/>
        <w:spacing w:line="560" w:lineRule="exact"/>
        <w:ind w:firstLine="640" w:firstLineChars="200"/>
        <w:rPr>
          <w:rFonts w:eastAsia="仿宋_GB2312" w:cs="Times New Roman"/>
          <w:sz w:val="32"/>
          <w:szCs w:val="22"/>
          <w:shd w:val="clear" w:color="auto" w:fill="FFFFFF"/>
        </w:rPr>
      </w:pPr>
      <w:r>
        <w:rPr>
          <w:rFonts w:eastAsia="仿宋_GB2312" w:cs="Times New Roman"/>
          <w:sz w:val="32"/>
          <w:szCs w:val="22"/>
          <w:shd w:val="clear" w:color="auto" w:fill="FFFFFF"/>
        </w:rPr>
        <w:t>打造新一代信息技术产业集群。聚焦龙头带动，推动汽车芯片、人工智能、自动驾驶系统等新一代信息技术发展；强化细分优势领域竞争力，聚焦汽车电子芯片、射频通信芯片、专用通信芯片、信息安全、智能算力等重点领域，加快完善产业链条，构建产业核心业态；打造先进计算产业发展高地，发挥国家超算天津中心、信息技术创新中心、人工智能创新中心、腾讯数码、金山云等科创资源优势，围绕“数据收集</w:t>
      </w:r>
      <w:r>
        <w:rPr>
          <w:rFonts w:hint="eastAsia" w:eastAsia="仿宋_GB2312" w:cs="Times New Roman"/>
          <w:sz w:val="32"/>
          <w:szCs w:val="22"/>
          <w:shd w:val="clear" w:color="auto" w:fill="FFFFFF"/>
        </w:rPr>
        <w:t>-</w:t>
      </w:r>
      <w:r>
        <w:rPr>
          <w:rFonts w:eastAsia="仿宋_GB2312" w:cs="Times New Roman"/>
          <w:sz w:val="32"/>
          <w:szCs w:val="22"/>
          <w:shd w:val="clear" w:color="auto" w:fill="FFFFFF"/>
        </w:rPr>
        <w:t>算力</w:t>
      </w:r>
      <w:r>
        <w:rPr>
          <w:rFonts w:hint="eastAsia" w:eastAsia="仿宋_GB2312" w:cs="Times New Roman"/>
          <w:sz w:val="32"/>
          <w:szCs w:val="22"/>
          <w:shd w:val="clear" w:color="auto" w:fill="FFFFFF"/>
        </w:rPr>
        <w:t>-</w:t>
      </w:r>
      <w:r>
        <w:rPr>
          <w:rFonts w:eastAsia="仿宋_GB2312" w:cs="Times New Roman"/>
          <w:sz w:val="32"/>
          <w:szCs w:val="22"/>
          <w:shd w:val="clear" w:color="auto" w:fill="FFFFFF"/>
        </w:rPr>
        <w:t>算法</w:t>
      </w:r>
      <w:r>
        <w:rPr>
          <w:rFonts w:hint="eastAsia" w:eastAsia="仿宋_GB2312" w:cs="Times New Roman"/>
          <w:sz w:val="32"/>
          <w:szCs w:val="22"/>
          <w:shd w:val="clear" w:color="auto" w:fill="FFFFFF"/>
        </w:rPr>
        <w:t>-</w:t>
      </w:r>
      <w:r>
        <w:rPr>
          <w:rFonts w:eastAsia="仿宋_GB2312" w:cs="Times New Roman"/>
          <w:sz w:val="32"/>
          <w:szCs w:val="22"/>
          <w:shd w:val="clear" w:color="auto" w:fill="FFFFFF"/>
        </w:rPr>
        <w:t>数据应用</w:t>
      </w:r>
      <w:r>
        <w:rPr>
          <w:rFonts w:hint="eastAsia" w:eastAsia="仿宋_GB2312" w:cs="Times New Roman"/>
          <w:sz w:val="32"/>
          <w:szCs w:val="22"/>
          <w:shd w:val="clear" w:color="auto" w:fill="FFFFFF"/>
        </w:rPr>
        <w:t>-</w:t>
      </w:r>
      <w:r>
        <w:rPr>
          <w:rFonts w:eastAsia="仿宋_GB2312" w:cs="Times New Roman"/>
          <w:sz w:val="32"/>
          <w:szCs w:val="22"/>
          <w:shd w:val="clear" w:color="auto" w:fill="FFFFFF"/>
        </w:rPr>
        <w:t>数据安全”，促进产业链上下游联动，实现先进计算全链条完整布局。</w:t>
      </w:r>
    </w:p>
    <w:p>
      <w:pPr>
        <w:widowControl/>
        <w:overflowPunct w:val="0"/>
        <w:spacing w:line="560" w:lineRule="exact"/>
        <w:ind w:firstLine="640" w:firstLineChars="200"/>
        <w:rPr>
          <w:rFonts w:eastAsia="仿宋_GB2312" w:cs="Times New Roman"/>
          <w:sz w:val="32"/>
          <w:szCs w:val="22"/>
        </w:rPr>
      </w:pPr>
      <w:bookmarkStart w:id="20" w:name="OLE_LINK5"/>
      <w:r>
        <w:rPr>
          <w:rFonts w:eastAsia="仿宋_GB2312" w:cs="Times New Roman"/>
          <w:sz w:val="32"/>
          <w:szCs w:val="22"/>
        </w:rPr>
        <w:t>前瞻布局未来产业。重点围绕未来装备、未来信息、未来材料、未来能源和未来空间五大领域，推动技术创新与产业升级。在未来装备领域，支持先进通用设备发展，应用高性能材料提升装备性能，推动磁悬浮技术在半导体、清洁能源等领域的应用，加快增材制造、智能工业机器人等核心技术突破，推进智能制造、家庭服务等产品的研制与应用。未来信息领域，加快芯片研发，培育智慧网络产业集群，推动生成式人工智能、量子计算等技术创新，打造行业数字化智能化创新链。未来材料领域，依托龙头企业资源，发展高性能新型材料，布局循环经济及资源再生利用产业。未来能源领域，支持非化石能源示范应用，探索可再生能源制氢、碳捕获等技术产业化路径。未来空间领域，聚焦空天、深海、深地等高端装备研制，推动航天、探月、深地资源开发等技术发展，构建多领域协同创新的产业生态。</w:t>
      </w:r>
    </w:p>
    <w:bookmarkEnd w:id="20"/>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ascii="Times New Roman" w:hAnsi="Times New Roman" w:eastAsia="仿宋_GB2312" w:cs="Times New Roman"/>
          <w:b/>
          <w:bCs/>
          <w:kern w:val="2"/>
          <w:sz w:val="32"/>
          <w:szCs w:val="32"/>
          <w:lang w:val="en-US" w:eastAsia="zh-CN" w:bidi="ar-SA"/>
        </w:rPr>
        <w:t>4.促进生产方式转型升级</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加快数字技术赋能制造业转型。深化新一代信息技术与制造业融合发展，紧抓设备更新改造政策机遇，推动汽车制造、装备制造、医药制造、绿色石化等重点行业企业更新升级先进设备。重点围绕生产作业、仓储物流、质量管控等环节，推动通用智能制造装备更新，推动制造业数字化转型。聚焦主导产业，支持企业开展智能制造、智能化改造和应用场景建设，争创</w:t>
      </w:r>
      <w:r>
        <w:rPr>
          <w:rFonts w:hint="eastAsia" w:eastAsia="仿宋_GB2312" w:cs="Times New Roman"/>
          <w:sz w:val="32"/>
          <w:szCs w:val="22"/>
        </w:rPr>
        <w:t>智能化、</w:t>
      </w:r>
      <w:r>
        <w:rPr>
          <w:rFonts w:eastAsia="仿宋_GB2312" w:cs="Times New Roman"/>
          <w:sz w:val="32"/>
          <w:szCs w:val="22"/>
        </w:rPr>
        <w:t>数字化转型项目超50个</w:t>
      </w:r>
      <w:r>
        <w:rPr>
          <w:rFonts w:hint="eastAsia" w:eastAsia="仿宋_GB2312" w:cs="Times New Roman"/>
          <w:sz w:val="32"/>
          <w:szCs w:val="22"/>
        </w:rPr>
        <w:t>，</w:t>
      </w:r>
      <w:r>
        <w:rPr>
          <w:rFonts w:eastAsia="仿宋_GB2312" w:cs="Times New Roman"/>
          <w:sz w:val="32"/>
          <w:szCs w:val="22"/>
        </w:rPr>
        <w:t>带动更多企业建设智能车间、数字工厂、5G全连接工厂，促进柔性制造、数字孪生等数字技术应用。</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加快制造业绿色低碳转型升级。完善绿色制造培育梯度，鼓励企业开发高性能、高质量、轻量化绿色产品，引导企业建设绿色工厂、绿色供应链，畅通绿色低碳产品产供销链条，推动绿色产品认证，推广绿色低碳产品。推动工业能效提升，争创“能效领跑者”</w:t>
      </w:r>
      <w:r>
        <w:rPr>
          <w:rFonts w:hint="eastAsia" w:eastAsia="仿宋_GB2312" w:cs="Times New Roman"/>
          <w:sz w:val="32"/>
          <w:szCs w:val="22"/>
          <w:lang w:eastAsia="zh-CN"/>
        </w:rPr>
        <w:t>，</w:t>
      </w:r>
      <w:r>
        <w:rPr>
          <w:rFonts w:eastAsia="仿宋_GB2312" w:cs="Times New Roman"/>
          <w:sz w:val="32"/>
          <w:szCs w:val="22"/>
        </w:rPr>
        <w:t>加快绿色石化化工行业企业改造升级，提升工业资源综合利用效率。推动ESG（环境、社会和治理）</w:t>
      </w:r>
      <w:r>
        <w:rPr>
          <w:rFonts w:hint="eastAsia" w:eastAsia="仿宋_GB2312" w:cs="Times New Roman"/>
          <w:sz w:val="32"/>
          <w:szCs w:val="22"/>
        </w:rPr>
        <w:t>体系建设</w:t>
      </w:r>
      <w:r>
        <w:rPr>
          <w:rFonts w:eastAsia="仿宋_GB2312" w:cs="Times New Roman"/>
          <w:sz w:val="32"/>
          <w:szCs w:val="22"/>
        </w:rPr>
        <w:t>，引导国有企业特别是</w:t>
      </w:r>
      <w:r>
        <w:rPr>
          <w:rFonts w:hint="eastAsia" w:eastAsia="仿宋_GB2312" w:cs="Times New Roman"/>
          <w:sz w:val="32"/>
          <w:szCs w:val="22"/>
          <w:lang w:eastAsia="zh-CN"/>
        </w:rPr>
        <w:t>国有</w:t>
      </w:r>
      <w:r>
        <w:rPr>
          <w:rFonts w:eastAsia="仿宋_GB2312" w:cs="Times New Roman"/>
          <w:sz w:val="32"/>
          <w:szCs w:val="22"/>
        </w:rPr>
        <w:t>控股上市公司做好ESG披露工作，切实帮助企业提升ESG管治意识，推动企业构建完善的风险管理体系。</w:t>
      </w:r>
    </w:p>
    <w:p>
      <w:pPr>
        <w:widowControl/>
        <w:overflowPunct w:val="0"/>
        <w:spacing w:line="560" w:lineRule="exact"/>
        <w:ind w:firstLine="640" w:firstLineChars="200"/>
        <w:rPr>
          <w:rFonts w:eastAsia="仿宋_GB2312" w:cs="Times New Roman"/>
          <w:sz w:val="32"/>
          <w:szCs w:val="22"/>
        </w:rPr>
      </w:pPr>
      <w:bookmarkStart w:id="21" w:name="_Toc8710"/>
      <w:bookmarkStart w:id="22" w:name="_Toc27374"/>
      <w:bookmarkStart w:id="23" w:name="_Toc21890"/>
      <w:r>
        <w:rPr>
          <w:rFonts w:eastAsia="仿宋_GB2312" w:cs="Times New Roman"/>
          <w:sz w:val="32"/>
          <w:szCs w:val="22"/>
        </w:rPr>
        <w:t>提升企业碳排放管理水平。</w:t>
      </w:r>
      <w:r>
        <w:rPr>
          <w:rFonts w:eastAsia="仿宋_GB2312" w:cs="Times New Roman"/>
          <w:sz w:val="32"/>
          <w:szCs w:val="22"/>
          <w:lang w:val="zh-CN"/>
        </w:rPr>
        <w:t>根据</w:t>
      </w:r>
      <w:r>
        <w:rPr>
          <w:rFonts w:eastAsia="仿宋_GB2312" w:cs="Times New Roman"/>
          <w:sz w:val="32"/>
          <w:szCs w:val="22"/>
        </w:rPr>
        <w:t>国家及天津市相关要求</w:t>
      </w:r>
      <w:r>
        <w:rPr>
          <w:rFonts w:eastAsia="仿宋_GB2312" w:cs="Times New Roman"/>
          <w:sz w:val="32"/>
          <w:szCs w:val="22"/>
          <w:lang w:val="zh-CN"/>
        </w:rPr>
        <w:t>，推动控排企业落实碳排放核查制度，引导重点用能单位开展碳排放数据摸排自查。引导</w:t>
      </w:r>
      <w:r>
        <w:rPr>
          <w:rFonts w:eastAsia="仿宋_GB2312" w:cs="Times New Roman"/>
          <w:sz w:val="32"/>
          <w:szCs w:val="22"/>
        </w:rPr>
        <w:t>重点（出口）产品企业建立碳足迹管理体系，</w:t>
      </w:r>
      <w:r>
        <w:rPr>
          <w:rFonts w:eastAsia="仿宋_GB2312" w:cs="Times New Roman"/>
          <w:sz w:val="32"/>
          <w:szCs w:val="22"/>
          <w:lang w:val="zh-CN"/>
        </w:rPr>
        <w:t>支持打通关键产品全生产周期的物料、辅料、能源等碳排放数据以及行业碳足迹数据，</w:t>
      </w:r>
      <w:r>
        <w:rPr>
          <w:rFonts w:eastAsia="仿宋_GB2312" w:cs="Times New Roman"/>
          <w:sz w:val="32"/>
          <w:szCs w:val="22"/>
        </w:rPr>
        <w:t>重点推动汽车及高端装备、化工新材料等行业</w:t>
      </w:r>
      <w:r>
        <w:rPr>
          <w:rFonts w:eastAsia="仿宋_GB2312" w:cs="Times New Roman"/>
          <w:sz w:val="32"/>
          <w:szCs w:val="22"/>
          <w:lang w:val="zh-CN"/>
        </w:rPr>
        <w:t>开展产品碳足迹测算与评价，引导企业节能降碳</w:t>
      </w:r>
      <w:r>
        <w:rPr>
          <w:rFonts w:eastAsia="仿宋_GB2312" w:cs="Times New Roman"/>
          <w:sz w:val="32"/>
          <w:szCs w:val="22"/>
        </w:rPr>
        <w:t>。支持有条件有需求的重点企业设立碳资产管理部门，强化碳市场分析、碳配额管理、碳交易运作，优化企业碳资产管理，积极参与碳排放权交易。</w:t>
      </w:r>
      <w:bookmarkEnd w:id="21"/>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5.全面发展绿色生产性服务业</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以构筑现代服务业新地标为目标，大力发展节能低碳生产性服务业，着眼国际化发展趋势和绿色智能汽车等产业需求，聚焦碳足迹、温室气体核查、碳排放管理评价、碳监测、环境标志认证等领域，引培一批专业化低碳服务和认证机构，为区内用能单位提供更专业、更规范的“一条龙”配套服务，助力园区企业节能降碳和能碳管理平台建设。结合电力改革发展趋势，逐步培育区内的电力服务市场和电力服务商，为电力需求侧管理、虚拟电厂建设、低碳能源公共服务平台的应用推广奠定基础。商务商贸加快发展新消费，围绕总部经济、楼宇经济、电子商务等新型商务模式，推动传统商业载体向科技节能、服务智能、安全规范的新型商务商贸转型升级。</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24" w:name="_Toc467531954"/>
      <w:bookmarkStart w:id="25" w:name="_Toc1730110325"/>
      <w:r>
        <w:rPr>
          <w:rFonts w:ascii="Times New Roman" w:hAnsi="Times New Roman" w:eastAsia="楷体_GB2312" w:cs="Times New Roman"/>
          <w:bCs w:val="0"/>
          <w:kern w:val="2"/>
          <w:sz w:val="32"/>
          <w:szCs w:val="32"/>
          <w:lang w:val="en-US" w:eastAsia="zh-CN" w:bidi="ar-SA"/>
        </w:rPr>
        <w:t>（三）提升城市更新绿色低碳水平</w:t>
      </w:r>
      <w:bookmarkEnd w:id="22"/>
      <w:bookmarkEnd w:id="23"/>
      <w:bookmarkEnd w:id="24"/>
      <w:bookmarkEnd w:id="25"/>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1.科学规划低碳城市设计</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在国土空间规划、区域建设和运营管理等各环节全面践行绿色低碳理念，促进人口、经济和资源、环境的空间均衡和良性互动。优化区域空间布局，严格管控高耗能公共建筑，构建主城区“三带六廊”生态结构，规划产业拓展区建设成为集制造、研发、办公于一体的生态型、低密度、智能化第三代新型产业园区。在推进旧工业区连片改造和老旧小区升级改造过程中，严格建筑拆除管理程序，根据园区功能定位和发展需求，</w:t>
      </w:r>
      <w:r>
        <w:rPr>
          <w:rFonts w:hint="eastAsia" w:eastAsia="仿宋_GB2312" w:cs="Times New Roman"/>
          <w:sz w:val="32"/>
          <w:szCs w:val="22"/>
        </w:rPr>
        <w:t>依法依规</w:t>
      </w:r>
      <w:r>
        <w:rPr>
          <w:rFonts w:eastAsia="仿宋_GB2312" w:cs="Times New Roman"/>
          <w:sz w:val="32"/>
          <w:szCs w:val="22"/>
        </w:rPr>
        <w:t>进行用地性质调整，提前谋划腾退空间发展利用方向，有效杜绝“大拆大建”。</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2.推动绿色建筑规模化发展</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持续提高新建建筑节能标准。全面执行国家现行节能设计标准要求，研究在供地规则中增加低碳能耗要求，加快推进超低能耗、近零能耗建筑规模化发展，积极推动超低能耗、近零能耗、零能耗建筑工程</w:t>
      </w:r>
      <w:r>
        <w:rPr>
          <w:rFonts w:hint="eastAsia" w:eastAsia="仿宋_GB2312" w:cs="Times New Roman"/>
          <w:sz w:val="32"/>
          <w:szCs w:val="22"/>
        </w:rPr>
        <w:t>建设</w:t>
      </w:r>
      <w:r>
        <w:rPr>
          <w:rFonts w:eastAsia="仿宋_GB2312" w:cs="Times New Roman"/>
          <w:sz w:val="32"/>
          <w:szCs w:val="22"/>
        </w:rPr>
        <w:t>，因地制宜推进中深层、浅层地热能应用，推广空气源热泵技术应用。强化建筑能效运行管理。推行建筑能效标识，开展建筑能效测评和能耗限额管理。积极探索5G、物联网、人工智能、建筑电气化和智能化等新技术在工程建设领域的应用，推动绿色建造与新技术融合发展。持续推动既有建筑、老旧供热管网节能改造，提高建筑围护结构保温隔热性能、推广节能门窗和绿色建材的使用、提升绿色施工和绿色物业管理水平。进一步降低建筑建造和运营阶段碳排放，建设一批合同能源管理项目，充分发挥示范引领作用。</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3.提高交通运输低碳化水平</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加快南港港口绿色化升级，完善绿色港口集疏运系统。依托南港工业区氢能资源，推动氢燃料电池汽车在公交、物流等场景的示范运行。加快构建便捷高效、适度超前的充换电网络体系，加快运输服务领域新能源的推广应用。加快完善慢行交通系统，配合滨海新区打造高效衔接、快捷舒适的公共交通服务体系，积极引导公众选择绿色低碳交通方式。积极配合滨海新区进行公交线路优化。提升公共交通出行效率，以减少车辆拥堵和怠速排放为目标，推进智慧赋能低碳出行。完善交通基础设施建设，重点推进区域公交枢纽、停车场等充电设施设备的规划与建设。</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4.加强新型基础设施节能降碳</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对电能利用效率超过1.5的数据中心进行节能降碳改造，引导大型和超大型数据中心设计电能使用效率值不高于1.</w:t>
      </w:r>
      <w:r>
        <w:rPr>
          <w:rFonts w:hint="eastAsia" w:eastAsia="仿宋_GB2312" w:cs="Times New Roman"/>
          <w:sz w:val="32"/>
          <w:szCs w:val="22"/>
        </w:rPr>
        <w:t>25</w:t>
      </w:r>
      <w:r>
        <w:rPr>
          <w:rFonts w:eastAsia="仿宋_GB2312" w:cs="Times New Roman"/>
          <w:sz w:val="32"/>
          <w:szCs w:val="22"/>
        </w:rPr>
        <w:t>。鼓励数据中心使用风能、太阳能等可再生能源，提升数据中心绿色电能使用水平，鼓励数据中心就地消纳可再生能源。推动既有设施绿色升级改造，积极推广使用高效制冷、先进通风、余热利用、智能化用能控制等技术，配合天津市开展中型及以上数据中心能耗计量监控系统和负荷管理系统建设，推进数据中心余热资源利用，提高设施能效水平。</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26" w:name="_Toc16859"/>
      <w:bookmarkStart w:id="27" w:name="_Toc12114"/>
      <w:bookmarkStart w:id="28" w:name="_Toc416278390"/>
      <w:bookmarkStart w:id="29" w:name="_Toc1627314551"/>
      <w:r>
        <w:rPr>
          <w:rFonts w:ascii="Times New Roman" w:hAnsi="Times New Roman" w:eastAsia="楷体_GB2312" w:cs="Times New Roman"/>
          <w:bCs w:val="0"/>
          <w:kern w:val="2"/>
          <w:sz w:val="32"/>
          <w:szCs w:val="32"/>
          <w:lang w:val="en-US" w:eastAsia="zh-CN" w:bidi="ar-SA"/>
        </w:rPr>
        <w:t>（四）构建资源循环利用</w:t>
      </w:r>
      <w:bookmarkEnd w:id="26"/>
      <w:bookmarkEnd w:id="27"/>
      <w:r>
        <w:rPr>
          <w:rFonts w:ascii="Times New Roman" w:hAnsi="Times New Roman" w:eastAsia="楷体_GB2312" w:cs="Times New Roman"/>
          <w:bCs w:val="0"/>
          <w:kern w:val="2"/>
          <w:sz w:val="32"/>
          <w:szCs w:val="32"/>
          <w:lang w:val="en-US" w:eastAsia="zh-CN" w:bidi="ar-SA"/>
        </w:rPr>
        <w:t>体系</w:t>
      </w:r>
      <w:bookmarkEnd w:id="28"/>
      <w:bookmarkEnd w:id="29"/>
    </w:p>
    <w:p>
      <w:pPr>
        <w:keepNext/>
        <w:keepLines/>
        <w:widowControl/>
        <w:overflowPunct w:val="0"/>
        <w:spacing w:line="560" w:lineRule="exact"/>
        <w:ind w:firstLine="642" w:firstLineChars="200"/>
        <w:outlineLvl w:val="2"/>
        <w:rPr>
          <w:rFonts w:eastAsia="仿宋_GB2312" w:cs="Times New Roman"/>
          <w:b/>
          <w:bCs/>
          <w:sz w:val="32"/>
          <w:szCs w:val="32"/>
        </w:rPr>
      </w:pPr>
      <w:r>
        <w:rPr>
          <w:rFonts w:hint="eastAsia" w:eastAsia="仿宋_GB2312" w:cs="Times New Roman"/>
          <w:b/>
          <w:bCs/>
          <w:sz w:val="32"/>
          <w:szCs w:val="32"/>
        </w:rPr>
        <w:t>1</w:t>
      </w:r>
      <w:r>
        <w:rPr>
          <w:rFonts w:eastAsia="仿宋_GB2312" w:cs="Times New Roman"/>
          <w:b/>
          <w:bCs/>
          <w:sz w:val="32"/>
          <w:szCs w:val="32"/>
        </w:rPr>
        <w:t>.系统构建循环经济产业链网</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巩固和深化园区循环化改造成果。实现厂房集约化、原料无害化、生产洁净化、废物资源化、能源低碳化、建材绿色化，着力提升园区资源产出和循环利用率，搭建资源共享、废物处理、服务高效的公共平台，促进废物综合利用、能量梯级利用、水资源循环使用</w:t>
      </w:r>
      <w:r>
        <w:rPr>
          <w:rFonts w:hint="eastAsia" w:eastAsia="仿宋_GB2312" w:cs="Times New Roman"/>
          <w:sz w:val="32"/>
          <w:szCs w:val="22"/>
        </w:rPr>
        <w:t>。</w:t>
      </w:r>
      <w:r>
        <w:rPr>
          <w:rFonts w:eastAsia="仿宋_GB2312" w:cs="Times New Roman"/>
          <w:sz w:val="32"/>
          <w:szCs w:val="22"/>
        </w:rPr>
        <w:t>推进工业余压余热、废气废液废渣资源化利用</w:t>
      </w:r>
      <w:r>
        <w:rPr>
          <w:rFonts w:hint="eastAsia" w:eastAsia="仿宋_GB2312" w:cs="Times New Roman"/>
          <w:sz w:val="32"/>
          <w:szCs w:val="22"/>
        </w:rPr>
        <w:t>，鼓励有条件的企业使用热泵装置回收工业废水、废气等余热资源制备高温蒸汽。推进再生资源回收利用，完善废旧资源回收和循环利用体系。构建再生水循环利用体系，持续提升园区再生水厂处理能力，提高非常规水源利用比例。</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ascii="Times New Roman" w:hAnsi="Times New Roman" w:eastAsia="仿宋_GB2312" w:cs="Times New Roman"/>
          <w:b/>
          <w:bCs/>
          <w:kern w:val="2"/>
          <w:sz w:val="32"/>
          <w:szCs w:val="32"/>
          <w:lang w:val="en-US" w:eastAsia="zh-CN" w:bidi="ar-SA"/>
        </w:rPr>
        <w:t>加强工业固体废物综合利用</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鼓励企业通过原料替代、工艺改进和优化管理等方式，减少工业废物产生。以</w:t>
      </w:r>
      <w:r>
        <w:rPr>
          <w:rFonts w:hint="eastAsia" w:eastAsia="仿宋_GB2312" w:cs="Times New Roman"/>
          <w:sz w:val="32"/>
          <w:szCs w:val="22"/>
        </w:rPr>
        <w:t>建设</w:t>
      </w:r>
      <w:r>
        <w:rPr>
          <w:rFonts w:eastAsia="仿宋_GB2312" w:cs="Times New Roman"/>
          <w:sz w:val="32"/>
          <w:szCs w:val="22"/>
        </w:rPr>
        <w:t>无废企业为契机，逐步</w:t>
      </w:r>
      <w:r>
        <w:rPr>
          <w:rFonts w:hint="eastAsia" w:eastAsia="仿宋_GB2312" w:cs="Times New Roman"/>
          <w:sz w:val="32"/>
          <w:szCs w:val="22"/>
          <w:lang w:eastAsia="zh-CN"/>
        </w:rPr>
        <w:t>具备</w:t>
      </w:r>
      <w:r>
        <w:rPr>
          <w:rFonts w:eastAsia="仿宋_GB2312" w:cs="Times New Roman"/>
          <w:sz w:val="32"/>
          <w:szCs w:val="22"/>
        </w:rPr>
        <w:t>接收废铅蓄电池、生产再生合金铅，拆解废旧电器电子产品，处理危险废物和生活垃圾等资源化利用能力</w:t>
      </w:r>
      <w:r>
        <w:rPr>
          <w:rFonts w:hint="eastAsia" w:eastAsia="仿宋_GB2312" w:cs="Times New Roman"/>
          <w:sz w:val="32"/>
          <w:szCs w:val="22"/>
        </w:rPr>
        <w:t>。实施塑料污染全链条治理，推动塑料废弃物资源综合利用企业规范发展。探索退役动力电池、光伏组件、风电机组叶片、储能系统等新兴产业废物高效回收以及可循环、高值化的再生利用模式，加强资源再生产品推广应用。</w:t>
      </w:r>
    </w:p>
    <w:p>
      <w:pPr>
        <w:keepNext/>
        <w:keepLines/>
        <w:overflowPunct w:val="0"/>
        <w:spacing w:line="58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3.推动</w:t>
      </w:r>
      <w:r>
        <w:rPr>
          <w:rFonts w:ascii="Times New Roman" w:hAnsi="Times New Roman" w:eastAsia="仿宋_GB2312" w:cs="Times New Roman"/>
          <w:b/>
          <w:bCs/>
          <w:kern w:val="2"/>
          <w:sz w:val="32"/>
          <w:szCs w:val="32"/>
          <w:lang w:val="en-US" w:eastAsia="zh-CN" w:bidi="ar-SA"/>
        </w:rPr>
        <w:t>南港工业区</w:t>
      </w:r>
      <w:r>
        <w:rPr>
          <w:rFonts w:hint="eastAsia" w:ascii="Times New Roman" w:hAnsi="Times New Roman" w:eastAsia="仿宋_GB2312" w:cs="Times New Roman"/>
          <w:b/>
          <w:bCs/>
          <w:kern w:val="2"/>
          <w:sz w:val="32"/>
          <w:szCs w:val="32"/>
          <w:lang w:val="en-US" w:eastAsia="zh-CN" w:bidi="ar-SA"/>
        </w:rPr>
        <w:t>实施</w:t>
      </w:r>
      <w:r>
        <w:rPr>
          <w:rFonts w:ascii="Times New Roman" w:hAnsi="Times New Roman" w:eastAsia="仿宋_GB2312" w:cs="Times New Roman"/>
          <w:b/>
          <w:bCs/>
          <w:kern w:val="2"/>
          <w:sz w:val="32"/>
          <w:szCs w:val="32"/>
          <w:lang w:val="en-US" w:eastAsia="zh-CN" w:bidi="ar-SA"/>
        </w:rPr>
        <w:t>循环化改造</w:t>
      </w:r>
    </w:p>
    <w:p>
      <w:pPr>
        <w:keepNext/>
        <w:keepLines/>
        <w:overflowPunct w:val="0"/>
        <w:spacing w:line="580" w:lineRule="exact"/>
        <w:ind w:firstLine="640" w:firstLineChars="200"/>
        <w:jc w:val="both"/>
        <w:outlineLvl w:val="2"/>
        <w:rPr>
          <w:rFonts w:eastAsia="仿宋_GB2312" w:cs="Times New Roman"/>
          <w:sz w:val="32"/>
          <w:szCs w:val="22"/>
        </w:rPr>
      </w:pPr>
      <w:r>
        <w:rPr>
          <w:rFonts w:eastAsia="仿宋_GB2312" w:cs="Times New Roman"/>
          <w:sz w:val="32"/>
          <w:szCs w:val="22"/>
        </w:rPr>
        <w:t>提高工业资源综合利用</w:t>
      </w:r>
      <w:r>
        <w:rPr>
          <w:rFonts w:hint="eastAsia" w:eastAsia="仿宋_GB2312" w:cs="Times New Roman"/>
          <w:sz w:val="32"/>
          <w:szCs w:val="22"/>
          <w:lang w:eastAsia="zh-CN"/>
        </w:rPr>
        <w:t>、</w:t>
      </w:r>
      <w:r>
        <w:rPr>
          <w:rFonts w:eastAsia="仿宋_GB2312" w:cs="Times New Roman"/>
          <w:sz w:val="32"/>
          <w:szCs w:val="22"/>
        </w:rPr>
        <w:t>大宗固体废弃物综合利用、余热余压回收及废气综合利用水平。推进再生资源回收利用，完善废旧资源回收和循环利用体系。实施海水淡化水统筹配置，推动海水淡化水的规模化应用。建设催化裂化、制氢及EO/EG（环氧乙烷、乙二醇）等装置高浓度二氧化碳尾气回收，探索碳捕捉后二氧化碳在碳酸乙烯酯、高盐废水等场景应用。</w:t>
      </w:r>
      <w:bookmarkStart w:id="30" w:name="_Toc4336"/>
      <w:bookmarkStart w:id="31" w:name="_Toc8612"/>
      <w:bookmarkStart w:id="32" w:name="_Toc1117776709"/>
      <w:bookmarkStart w:id="33" w:name="_Toc44902882"/>
    </w:p>
    <w:p>
      <w:pPr>
        <w:keepNext w:val="0"/>
        <w:keepLines w:val="0"/>
        <w:widowControl/>
        <w:overflowPunct/>
        <w:spacing w:line="580" w:lineRule="exact"/>
        <w:ind w:firstLine="640" w:firstLineChars="200"/>
        <w:outlineLvl w:val="9"/>
        <w:rPr>
          <w:rFonts w:ascii="Times New Roman" w:hAnsi="Times New Roman" w:eastAsia="楷体_GB2312" w:cs="Times New Roman"/>
          <w:bCs w:val="0"/>
          <w:kern w:val="2"/>
          <w:sz w:val="32"/>
          <w:szCs w:val="32"/>
          <w:lang w:val="en-US" w:eastAsia="zh-CN" w:bidi="ar-SA"/>
        </w:rPr>
      </w:pPr>
      <w:r>
        <w:rPr>
          <w:rFonts w:ascii="Times New Roman" w:hAnsi="Times New Roman" w:eastAsia="楷体_GB2312" w:cs="Times New Roman"/>
          <w:bCs w:val="0"/>
          <w:kern w:val="2"/>
          <w:sz w:val="32"/>
          <w:szCs w:val="32"/>
          <w:lang w:val="en-US" w:eastAsia="zh-CN" w:bidi="ar-SA"/>
        </w:rPr>
        <w:t>（五）</w:t>
      </w:r>
      <w:bookmarkEnd w:id="30"/>
      <w:bookmarkEnd w:id="31"/>
      <w:r>
        <w:rPr>
          <w:rFonts w:ascii="Times New Roman" w:hAnsi="Times New Roman" w:eastAsia="楷体_GB2312" w:cs="Times New Roman"/>
          <w:bCs w:val="0"/>
          <w:kern w:val="2"/>
          <w:sz w:val="32"/>
          <w:szCs w:val="32"/>
          <w:lang w:val="en-US" w:eastAsia="zh-CN" w:bidi="ar-SA"/>
        </w:rPr>
        <w:t>推进降碳减污协同创新</w:t>
      </w:r>
      <w:bookmarkEnd w:id="32"/>
      <w:bookmarkEnd w:id="33"/>
    </w:p>
    <w:p>
      <w:pPr>
        <w:widowControl/>
        <w:overflowPunct/>
        <w:spacing w:line="580" w:lineRule="exact"/>
        <w:ind w:firstLine="642" w:firstLineChars="200"/>
        <w:rPr>
          <w:rFonts w:eastAsia="仿宋_GB2312" w:cs="Times New Roman"/>
          <w:b/>
          <w:bCs/>
          <w:sz w:val="32"/>
          <w:szCs w:val="32"/>
        </w:rPr>
      </w:pPr>
      <w:r>
        <w:rPr>
          <w:rFonts w:eastAsia="仿宋_GB2312" w:cs="Times New Roman"/>
          <w:b/>
          <w:bCs/>
          <w:sz w:val="32"/>
          <w:szCs w:val="32"/>
        </w:rPr>
        <w:t>1.加强项目准入管理</w:t>
      </w:r>
    </w:p>
    <w:p>
      <w:pPr>
        <w:widowControl/>
        <w:overflowPunct/>
        <w:spacing w:line="580" w:lineRule="exact"/>
        <w:ind w:firstLine="640" w:firstLineChars="200"/>
        <w:rPr>
          <w:rFonts w:eastAsia="仿宋_GB2312" w:cs="Times New Roman"/>
          <w:sz w:val="32"/>
          <w:szCs w:val="22"/>
        </w:rPr>
      </w:pPr>
      <w:r>
        <w:rPr>
          <w:rFonts w:eastAsia="仿宋_GB2312" w:cs="Times New Roman"/>
          <w:sz w:val="32"/>
          <w:szCs w:val="22"/>
        </w:rPr>
        <w:t>对不符合国家产业规划、产业政策以及生态保护红线、环境质量底线、资源利用上线、“生态环境分区管控”、规划环评、产能置换、煤炭消费减量替代和污染物排放削减等要求的项目，依法不予审批，探索建立项目入区绿色评价指标体系。对于能耗量较大的新兴产业，充分发挥《天津经济技术开发</w:t>
      </w:r>
      <w:r>
        <w:rPr>
          <w:rFonts w:hint="eastAsia" w:eastAsia="仿宋_GB2312" w:cs="Times New Roman"/>
          <w:sz w:val="32"/>
          <w:szCs w:val="22"/>
        </w:rPr>
        <w:t>区</w:t>
      </w:r>
      <w:r>
        <w:rPr>
          <w:rFonts w:eastAsia="仿宋_GB2312" w:cs="Times New Roman"/>
          <w:sz w:val="32"/>
          <w:szCs w:val="22"/>
        </w:rPr>
        <w:t>绿色</w:t>
      </w:r>
      <w:r>
        <w:rPr>
          <w:rFonts w:hint="eastAsia" w:eastAsia="仿宋_GB2312" w:cs="Times New Roman"/>
          <w:sz w:val="32"/>
          <w:szCs w:val="22"/>
        </w:rPr>
        <w:t>低碳</w:t>
      </w:r>
      <w:r>
        <w:rPr>
          <w:rFonts w:eastAsia="仿宋_GB2312" w:cs="Times New Roman"/>
          <w:sz w:val="32"/>
          <w:szCs w:val="22"/>
        </w:rPr>
        <w:t>发展促进办法》的引导作用，促进企业应用绿色低碳技术，提高能效和降低排放水平。推进工业结构节能，依法依规淘汰落后产能。高起点设定项目准入类别，引导产业向“专精特新”转型。</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2.探索清洁生产审核创新模式</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以清洁生产审核创新试点为契机，在南港工业区推行企业清洁生产分级审核，探索园区清洁生产方法和工具，构建探索石化园区资源能源互供的优化方案和减污降碳协同增效发展路径，实现降低资源能源消耗，节约企业成本，助推南港工业区打造绿色化工园区。</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3.推进多元协同治理</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借助专业机构力量，通过课题研究、温室气体排放清单编制、能源审计、清洁生产审核、节能诊断、碳盘查等专业咨询服务，挖掘存在潜力、研判提升方向，推进企业实施低碳节能环保改造，打造一批污染物和碳排放“双近零”排放标杆企业。推动污水处理行业节能降碳，推广选用高效节能的电机、风机、水泵、照明器具等通用产品设备，推广建设智慧水务管理系统，争创能源资源高效循环利用的污水处理绿色低碳标杆厂。</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完善环境污染第三方治理制度体系。进一步完善政策机制，基本形成统一开放、竞争有序、诚信规范的环境污染第三方治理市场机制，培育一批专业化水平较高、信誉好、运营管理能力较强的第三方治理企业。创新园区环境污染第三方治理，把第三方服务打造成经开区环境公共领域全科“环境医院”或“环保管家”，包括决策与规划咨询、监督监测、运营维护、环境（政策）风险防范、培训宣教等。</w:t>
      </w:r>
    </w:p>
    <w:p>
      <w:pPr>
        <w:keepNext/>
        <w:keepLines/>
        <w:widowControl/>
        <w:overflowPunct w:val="0"/>
        <w:spacing w:line="560" w:lineRule="exact"/>
        <w:ind w:firstLine="642" w:firstLineChars="200"/>
        <w:outlineLvl w:val="2"/>
        <w:rPr>
          <w:rFonts w:eastAsia="仿宋_GB2312" w:cs="Times New Roman"/>
          <w:b/>
          <w:bCs/>
          <w:sz w:val="32"/>
          <w:szCs w:val="32"/>
        </w:rPr>
      </w:pPr>
      <w:bookmarkStart w:id="34" w:name="_Toc183"/>
      <w:bookmarkStart w:id="35" w:name="_Toc18724"/>
      <w:r>
        <w:rPr>
          <w:rFonts w:eastAsia="仿宋_GB2312" w:cs="Times New Roman"/>
          <w:b/>
          <w:bCs/>
          <w:sz w:val="32"/>
          <w:szCs w:val="32"/>
        </w:rPr>
        <w:t>4.优化区域绿色生态环境</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实施区域战略空间留白、留绿、留璞，优化存量空间，谋划发展空间，协同融合空间，建设“城似园中、林廊环绕、蓝绿交织”的蓝绿空间体系。推动“绿色生态+”空间模式，在</w:t>
      </w:r>
      <w:r>
        <w:rPr>
          <w:rFonts w:hint="eastAsia" w:eastAsia="仿宋_GB2312" w:cs="Times New Roman"/>
          <w:sz w:val="32"/>
          <w:szCs w:val="22"/>
          <w:lang w:eastAsia="zh-CN"/>
        </w:rPr>
        <w:t>经开区</w:t>
      </w:r>
      <w:r>
        <w:rPr>
          <w:rFonts w:eastAsia="仿宋_GB2312" w:cs="Times New Roman"/>
          <w:sz w:val="32"/>
          <w:szCs w:val="22"/>
        </w:rPr>
        <w:t>核心区构建“一环四廊两河，九带七区多点”，多层次、成网络、功能复合的生态格局，在</w:t>
      </w:r>
      <w:r>
        <w:rPr>
          <w:rFonts w:hint="eastAsia" w:eastAsia="仿宋_GB2312" w:cs="Times New Roman"/>
          <w:sz w:val="32"/>
          <w:szCs w:val="22"/>
          <w:lang w:eastAsia="zh-CN"/>
        </w:rPr>
        <w:t>经开区</w:t>
      </w:r>
      <w:r>
        <w:rPr>
          <w:rFonts w:eastAsia="仿宋_GB2312" w:cs="Times New Roman"/>
          <w:sz w:val="32"/>
          <w:szCs w:val="22"/>
        </w:rPr>
        <w:t>西区构建“一轴五带六廊四线多点”多层次、多功能、复合网络格局，增强各分区空间交融与耦合，激发边际效益、影响效益与辐射效益。深入推进海绵气候韧性建设，最大限度减少区域开发建设对生态环境的影响。</w:t>
      </w:r>
    </w:p>
    <w:p>
      <w:pPr>
        <w:keepNext/>
        <w:keepLines/>
        <w:overflowPunct w:val="0"/>
        <w:spacing w:line="560" w:lineRule="exact"/>
        <w:ind w:firstLine="640" w:firstLineChars="200"/>
        <w:jc w:val="both"/>
        <w:outlineLvl w:val="0"/>
        <w:rPr>
          <w:rFonts w:hint="default" w:ascii="Times New Roman" w:hAnsi="Times New Roman" w:eastAsia="黑体" w:cs="Times New Roman"/>
          <w:bCs w:val="0"/>
          <w:kern w:val="44"/>
          <w:sz w:val="32"/>
          <w:szCs w:val="44"/>
          <w:lang w:val="en-US" w:eastAsia="zh-CN" w:bidi="ar-SA"/>
        </w:rPr>
      </w:pPr>
      <w:bookmarkStart w:id="36" w:name="_Toc1926648398"/>
      <w:bookmarkStart w:id="37" w:name="_Toc1689952021"/>
      <w:r>
        <w:rPr>
          <w:rFonts w:hint="default" w:ascii="Times New Roman" w:hAnsi="Times New Roman" w:eastAsia="黑体" w:cs="Times New Roman"/>
          <w:bCs w:val="0"/>
          <w:kern w:val="44"/>
          <w:sz w:val="32"/>
          <w:szCs w:val="44"/>
          <w:lang w:val="en-US" w:eastAsia="zh-CN" w:bidi="ar-SA"/>
        </w:rPr>
        <w:t>四、科技创新</w:t>
      </w:r>
      <w:bookmarkEnd w:id="34"/>
      <w:bookmarkEnd w:id="35"/>
      <w:bookmarkEnd w:id="36"/>
      <w:bookmarkEnd w:id="37"/>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38" w:name="_Toc24938"/>
      <w:bookmarkStart w:id="39" w:name="_Toc381884168"/>
      <w:bookmarkStart w:id="40" w:name="_Toc3344"/>
      <w:bookmarkStart w:id="41" w:name="_Toc1857091970"/>
      <w:r>
        <w:rPr>
          <w:rFonts w:ascii="Times New Roman" w:hAnsi="Times New Roman" w:eastAsia="楷体_GB2312" w:cs="Times New Roman"/>
          <w:bCs w:val="0"/>
          <w:kern w:val="2"/>
          <w:sz w:val="32"/>
          <w:szCs w:val="32"/>
          <w:lang w:val="en-US" w:eastAsia="zh-CN" w:bidi="ar-SA"/>
        </w:rPr>
        <w:t>（一）打造原始创新主要策源地</w:t>
      </w:r>
      <w:bookmarkEnd w:id="38"/>
      <w:bookmarkEnd w:id="39"/>
      <w:bookmarkEnd w:id="40"/>
      <w:bookmarkEnd w:id="41"/>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推进绿色低碳战略科技力量培育，重点支持已落地的技术创新中心、制造业创新中心、产业创新中心、工程研究中心等创新基地、平台和大院大所充分发挥牵引效应，充分发挥“滨海—中关村科技园双碳产业联盟”作用，推进政、产、学、研、用深度融合，加快形成一批原始创新重大成果。以经开区人才特区攻坚计划为抓手，吸引储能、CCUS以及碳金融、碳交易等紧缺人才，加快培养绿色低碳领域青年人才。落实京津冀协同发展重大国家战略，以滨海中关村科技园等重点载体平台为抓手，强化与北京中关村在绿色低碳领域的合作。</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42" w:name="_Toc1755248323"/>
      <w:bookmarkStart w:id="43" w:name="_Toc6657"/>
      <w:bookmarkStart w:id="44" w:name="_Toc12451"/>
      <w:bookmarkStart w:id="45" w:name="_Toc276386319"/>
      <w:r>
        <w:rPr>
          <w:rFonts w:ascii="Times New Roman" w:hAnsi="Times New Roman" w:eastAsia="楷体_GB2312" w:cs="Times New Roman"/>
          <w:bCs w:val="0"/>
          <w:kern w:val="2"/>
          <w:sz w:val="32"/>
          <w:szCs w:val="32"/>
          <w:lang w:val="en-US" w:eastAsia="zh-CN" w:bidi="ar-SA"/>
        </w:rPr>
        <w:t>（二）实施技术创新攻关行动</w:t>
      </w:r>
      <w:bookmarkEnd w:id="42"/>
      <w:bookmarkEnd w:id="43"/>
      <w:bookmarkEnd w:id="44"/>
      <w:bookmarkEnd w:id="45"/>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支持企业申报和承担碳达峰碳中和国家级、市级重大科技专项和自主创新重大产业化项目。以可再生能源开发应用、工业流程再造、电气化和去碳化装备研发等为突破重点，加快绿色低碳循环等相关领域</w:t>
      </w:r>
      <w:r>
        <w:rPr>
          <w:rFonts w:hint="eastAsia" w:eastAsia="仿宋_GB2312" w:cs="Times New Roman"/>
          <w:sz w:val="32"/>
          <w:szCs w:val="22"/>
        </w:rPr>
        <w:t>科技型</w:t>
      </w:r>
      <w:r>
        <w:rPr>
          <w:rFonts w:eastAsia="仿宋_GB2312" w:cs="Times New Roman"/>
          <w:sz w:val="32"/>
          <w:szCs w:val="22"/>
        </w:rPr>
        <w:t>企业培育。积极发展布局新能源汽车、动力电池、石墨烯新材料、新型半导体材料、人工智能等产业前沿领域技术和装备制造、电子信息等行业数字化集成研发，与科研机构联合攻关一批“卡脖子”关键核心技术，引导企业抢占科技创新“制高点”。支持低成本二氧化碳捕集利用与封存技术、碳捕集先进材料、碳捕集分离利用核心装备的集成研发，积极探索经济合理、技术合理的二氧化碳产业化应用领域，促进低碳零碳负碳技术突破。</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46" w:name="_Toc6423"/>
      <w:bookmarkStart w:id="47" w:name="_Toc942293584"/>
      <w:bookmarkStart w:id="48" w:name="_Toc605636606"/>
      <w:bookmarkStart w:id="49" w:name="_Toc8921"/>
      <w:r>
        <w:rPr>
          <w:rFonts w:ascii="Times New Roman" w:hAnsi="Times New Roman" w:eastAsia="楷体_GB2312" w:cs="Times New Roman"/>
          <w:bCs w:val="0"/>
          <w:kern w:val="2"/>
          <w:sz w:val="32"/>
          <w:szCs w:val="32"/>
          <w:lang w:val="en-US" w:eastAsia="zh-CN" w:bidi="ar-SA"/>
        </w:rPr>
        <w:t>（三）打造科技创新应用高地</w:t>
      </w:r>
      <w:bookmarkEnd w:id="46"/>
      <w:bookmarkEnd w:id="47"/>
      <w:bookmarkEnd w:id="48"/>
      <w:bookmarkEnd w:id="49"/>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以科技创新成果应用为创新赋能，推动产业链高端化、智能化、绿色化。完善技术转移网络，支持各类专业机构发展，打造完善的全链条科技成果转移转化体系。建设智能工厂和数字化车间，推进5G、物联网、云计算、大数据、区块链、人工智能等新一代信息技术与绿色低碳产业的深度融合创新，丰富“数字基建”等应用场景，探索“互联网+”创新绿色低碳产业模式，促进传统产业数字化升级。支持绿色产品设计创新模式、再生资源智能拆解、智能分选、综合利用、再制造等关键技术和装备应用，促进工业绿色循环生产。</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50" w:name="_Toc17062"/>
      <w:bookmarkStart w:id="51" w:name="_Toc1807990490"/>
      <w:bookmarkStart w:id="52" w:name="_Toc88592189"/>
      <w:bookmarkStart w:id="53" w:name="_Toc26730"/>
      <w:r>
        <w:rPr>
          <w:rFonts w:ascii="Times New Roman" w:hAnsi="Times New Roman" w:eastAsia="楷体_GB2312" w:cs="Times New Roman"/>
          <w:bCs w:val="0"/>
          <w:kern w:val="2"/>
          <w:sz w:val="32"/>
          <w:szCs w:val="32"/>
          <w:lang w:val="en-US" w:eastAsia="zh-CN" w:bidi="ar-SA"/>
        </w:rPr>
        <w:t>（四）推动绿色产学研深度融合</w:t>
      </w:r>
      <w:bookmarkEnd w:id="50"/>
      <w:bookmarkEnd w:id="51"/>
      <w:bookmarkEnd w:id="52"/>
      <w:bookmarkEnd w:id="53"/>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加快完善绿色低碳科技企业孵化服务体系，优化碳达峰碳中和领域创新创业生态。实施“引企入教”计划，推进成立名校名企联合实验室，定向培养绿色人才和战略性新兴产业紧缺型人才。引导重点行业龙头企业开放技术合作，吸引更多中小企业参与到创新链关键环节，构建大中小企业、内外资企业、产业链上下游之间的协同创新、资源共享、融合发展生态，打造一批大中小企业融通创新特色载体和示范平台。</w:t>
      </w:r>
    </w:p>
    <w:p>
      <w:pPr>
        <w:keepNext/>
        <w:keepLines/>
        <w:overflowPunct w:val="0"/>
        <w:spacing w:line="560" w:lineRule="exact"/>
        <w:ind w:firstLine="640" w:firstLineChars="200"/>
        <w:jc w:val="both"/>
        <w:outlineLvl w:val="0"/>
        <w:rPr>
          <w:rFonts w:hint="default" w:ascii="Times New Roman" w:hAnsi="Times New Roman" w:eastAsia="黑体" w:cs="Times New Roman"/>
          <w:bCs w:val="0"/>
          <w:kern w:val="44"/>
          <w:sz w:val="32"/>
          <w:szCs w:val="44"/>
          <w:lang w:val="en-US" w:eastAsia="zh-CN" w:bidi="ar-SA"/>
        </w:rPr>
      </w:pPr>
      <w:bookmarkStart w:id="54" w:name="_Toc1501"/>
      <w:bookmarkStart w:id="55" w:name="_Toc1754589571"/>
      <w:bookmarkStart w:id="56" w:name="_Toc1032335305"/>
      <w:bookmarkStart w:id="57" w:name="_Toc17661"/>
      <w:bookmarkStart w:id="58" w:name="_Toc166835061"/>
      <w:r>
        <w:rPr>
          <w:rFonts w:hint="eastAsia" w:ascii="Times New Roman" w:hAnsi="Times New Roman" w:eastAsia="黑体" w:cs="Times New Roman"/>
          <w:bCs w:val="0"/>
          <w:kern w:val="44"/>
          <w:sz w:val="32"/>
          <w:szCs w:val="44"/>
          <w:lang w:val="en-US" w:eastAsia="zh-CN" w:bidi="ar-SA"/>
        </w:rPr>
        <w:t>五</w:t>
      </w:r>
      <w:r>
        <w:rPr>
          <w:rFonts w:hint="default" w:ascii="Times New Roman" w:hAnsi="Times New Roman" w:eastAsia="黑体" w:cs="Times New Roman"/>
          <w:bCs w:val="0"/>
          <w:kern w:val="44"/>
          <w:sz w:val="32"/>
          <w:szCs w:val="44"/>
          <w:lang w:val="en-US" w:eastAsia="zh-CN" w:bidi="ar-SA"/>
        </w:rPr>
        <w:t>、政策创新</w:t>
      </w:r>
      <w:bookmarkEnd w:id="54"/>
      <w:bookmarkEnd w:id="55"/>
      <w:bookmarkEnd w:id="56"/>
      <w:bookmarkEnd w:id="57"/>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59" w:name="_Toc5859"/>
      <w:bookmarkStart w:id="60" w:name="_Toc9455"/>
      <w:bookmarkStart w:id="61" w:name="_Toc1244488151"/>
      <w:bookmarkStart w:id="62" w:name="_Toc1022478484"/>
      <w:r>
        <w:rPr>
          <w:rFonts w:ascii="Times New Roman" w:hAnsi="Times New Roman" w:eastAsia="楷体_GB2312" w:cs="Times New Roman"/>
          <w:bCs w:val="0"/>
          <w:kern w:val="2"/>
          <w:sz w:val="32"/>
          <w:szCs w:val="32"/>
          <w:lang w:val="en-US" w:eastAsia="zh-CN" w:bidi="ar-SA"/>
        </w:rPr>
        <w:t>（一）</w:t>
      </w:r>
      <w:bookmarkEnd w:id="59"/>
      <w:bookmarkEnd w:id="60"/>
      <w:r>
        <w:rPr>
          <w:rFonts w:ascii="Times New Roman" w:hAnsi="Times New Roman" w:eastAsia="楷体_GB2312" w:cs="Times New Roman"/>
          <w:bCs w:val="0"/>
          <w:kern w:val="2"/>
          <w:sz w:val="32"/>
          <w:szCs w:val="32"/>
          <w:lang w:val="en-US" w:eastAsia="zh-CN" w:bidi="ar-SA"/>
        </w:rPr>
        <w:t>全力打造绿色营商环境高地</w:t>
      </w:r>
      <w:bookmarkEnd w:id="61"/>
      <w:bookmarkEnd w:id="62"/>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ascii="Times New Roman" w:hAnsi="Times New Roman" w:eastAsia="仿宋_GB2312" w:cs="Times New Roman"/>
          <w:b/>
          <w:bCs/>
          <w:kern w:val="2"/>
          <w:sz w:val="32"/>
          <w:szCs w:val="32"/>
          <w:lang w:val="en-US" w:eastAsia="zh-CN" w:bidi="ar-SA"/>
        </w:rPr>
        <w:t>持续优化绿色低碳发展政策</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瞄准国内、国际前沿开展政策协同创新，加强研究国内外“双碳”领域最新政策，在产品碳足迹、绿电绿证、碳排放交易</w:t>
      </w:r>
      <w:r>
        <w:rPr>
          <w:rFonts w:hint="eastAsia" w:eastAsia="仿宋_GB2312" w:cs="Times New Roman"/>
          <w:sz w:val="32"/>
          <w:szCs w:val="22"/>
        </w:rPr>
        <w:t>、“土地+地热”组合供应</w:t>
      </w:r>
      <w:r>
        <w:rPr>
          <w:rFonts w:eastAsia="仿宋_GB2312" w:cs="Times New Roman"/>
          <w:sz w:val="32"/>
          <w:szCs w:val="22"/>
        </w:rPr>
        <w:t>等领域持续探索开展政策创新</w:t>
      </w:r>
      <w:r>
        <w:rPr>
          <w:rFonts w:hint="eastAsia" w:eastAsia="仿宋_GB2312" w:cs="Times New Roman"/>
          <w:sz w:val="32"/>
          <w:szCs w:val="22"/>
        </w:rPr>
        <w:t>。</w:t>
      </w:r>
      <w:r>
        <w:rPr>
          <w:rFonts w:eastAsia="仿宋_GB2312" w:cs="Times New Roman"/>
          <w:sz w:val="32"/>
          <w:szCs w:val="22"/>
        </w:rPr>
        <w:t>定期修订《天津经济技术开发区绿色</w:t>
      </w:r>
      <w:r>
        <w:rPr>
          <w:rFonts w:hint="eastAsia" w:eastAsia="仿宋_GB2312" w:cs="Times New Roman"/>
          <w:sz w:val="32"/>
          <w:szCs w:val="22"/>
        </w:rPr>
        <w:t>低碳</w:t>
      </w:r>
      <w:r>
        <w:rPr>
          <w:rFonts w:eastAsia="仿宋_GB2312" w:cs="Times New Roman"/>
          <w:sz w:val="32"/>
          <w:szCs w:val="22"/>
        </w:rPr>
        <w:t>发展</w:t>
      </w:r>
      <w:r>
        <w:rPr>
          <w:rFonts w:hint="eastAsia" w:eastAsia="仿宋_GB2312" w:cs="Times New Roman"/>
          <w:sz w:val="32"/>
          <w:szCs w:val="22"/>
        </w:rPr>
        <w:t>促进</w:t>
      </w:r>
      <w:r>
        <w:rPr>
          <w:rFonts w:eastAsia="仿宋_GB2312" w:cs="Times New Roman"/>
          <w:sz w:val="32"/>
          <w:szCs w:val="22"/>
        </w:rPr>
        <w:t>办法》，根据发展实际不断拓宽领域，引导企业开展绿色转型，形成创新力度最大、扶持力度最大、领域覆盖最全的具有经开区特色的“双碳”政策体系。</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2.全面</w:t>
      </w:r>
      <w:r>
        <w:rPr>
          <w:rFonts w:ascii="Times New Roman" w:hAnsi="Times New Roman" w:eastAsia="仿宋_GB2312" w:cs="Times New Roman"/>
          <w:b/>
          <w:bCs/>
          <w:kern w:val="2"/>
          <w:sz w:val="32"/>
          <w:szCs w:val="32"/>
          <w:lang w:val="en-US" w:eastAsia="zh-CN" w:bidi="ar-SA"/>
        </w:rPr>
        <w:t>实施绿色招商</w:t>
      </w:r>
    </w:p>
    <w:p>
      <w:pPr>
        <w:widowControl/>
        <w:overflowPunct w:val="0"/>
        <w:spacing w:line="560" w:lineRule="exact"/>
        <w:ind w:firstLine="640" w:firstLineChars="200"/>
        <w:rPr>
          <w:rFonts w:eastAsia="仿宋_GB2312" w:cs="Times New Roman"/>
          <w:sz w:val="32"/>
          <w:szCs w:val="22"/>
        </w:rPr>
      </w:pPr>
      <w:r>
        <w:rPr>
          <w:rFonts w:hint="eastAsia" w:eastAsia="仿宋_GB2312" w:cs="Times New Roman"/>
          <w:sz w:val="32"/>
          <w:szCs w:val="22"/>
        </w:rPr>
        <w:t>完善绿色招商管理制度</w:t>
      </w:r>
      <w:r>
        <w:rPr>
          <w:rFonts w:eastAsia="仿宋_GB2312" w:cs="Times New Roman"/>
          <w:sz w:val="32"/>
          <w:szCs w:val="22"/>
        </w:rPr>
        <w:t>，严格落实绿色审查机制，从源头把控项目准入质量</w:t>
      </w:r>
      <w:r>
        <w:rPr>
          <w:rFonts w:hint="eastAsia" w:eastAsia="仿宋_GB2312" w:cs="Times New Roman"/>
          <w:sz w:val="32"/>
          <w:szCs w:val="22"/>
        </w:rPr>
        <w:t>，</w:t>
      </w:r>
      <w:r>
        <w:rPr>
          <w:rFonts w:eastAsia="仿宋_GB2312" w:cs="Times New Roman"/>
          <w:sz w:val="32"/>
          <w:szCs w:val="22"/>
        </w:rPr>
        <w:t>重点评估项目是否采用低碳前沿技术、生产工艺是否达到行业先进标准，并考察其对绿电的依赖程度及消纳潜力，确保项目与园区绿色发展定位深度契合。编制发布</w:t>
      </w:r>
      <w:r>
        <w:rPr>
          <w:rFonts w:hint="eastAsia" w:eastAsia="仿宋_GB2312" w:cs="Times New Roman"/>
          <w:sz w:val="32"/>
          <w:szCs w:val="22"/>
        </w:rPr>
        <w:t>“</w:t>
      </w:r>
      <w:r>
        <w:rPr>
          <w:rFonts w:eastAsia="仿宋_GB2312" w:cs="Times New Roman"/>
          <w:sz w:val="32"/>
          <w:szCs w:val="22"/>
        </w:rPr>
        <w:t>双碳</w:t>
      </w:r>
      <w:r>
        <w:rPr>
          <w:rFonts w:hint="eastAsia" w:eastAsia="仿宋_GB2312" w:cs="Times New Roman"/>
          <w:sz w:val="32"/>
          <w:szCs w:val="22"/>
        </w:rPr>
        <w:t>”</w:t>
      </w:r>
      <w:r>
        <w:rPr>
          <w:rFonts w:eastAsia="仿宋_GB2312" w:cs="Times New Roman"/>
          <w:sz w:val="32"/>
          <w:szCs w:val="22"/>
        </w:rPr>
        <w:t>产业专项招商指南，精准引导产业链上下游协同布局，推动强链补链延链，并通过政策创新</w:t>
      </w:r>
      <w:r>
        <w:rPr>
          <w:rFonts w:hint="eastAsia" w:eastAsia="仿宋_GB2312" w:cs="Times New Roman"/>
          <w:sz w:val="32"/>
          <w:szCs w:val="22"/>
        </w:rPr>
        <w:t>稳步</w:t>
      </w:r>
      <w:r>
        <w:rPr>
          <w:rFonts w:eastAsia="仿宋_GB2312" w:cs="Times New Roman"/>
          <w:sz w:val="32"/>
          <w:szCs w:val="22"/>
        </w:rPr>
        <w:t>提升对外资的绿色吸引力。</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bookmarkStart w:id="63" w:name="_Toc10686"/>
      <w:bookmarkStart w:id="64" w:name="_Toc29251"/>
      <w:r>
        <w:rPr>
          <w:rFonts w:hint="eastAsia" w:ascii="Times New Roman" w:hAnsi="Times New Roman" w:eastAsia="仿宋_GB2312" w:cs="Times New Roman"/>
          <w:b/>
          <w:bCs/>
          <w:kern w:val="2"/>
          <w:sz w:val="32"/>
          <w:szCs w:val="32"/>
          <w:lang w:val="en-US" w:eastAsia="zh-CN" w:bidi="ar-SA"/>
        </w:rPr>
        <w:t>3.系统</w:t>
      </w:r>
      <w:r>
        <w:rPr>
          <w:rFonts w:ascii="Times New Roman" w:hAnsi="Times New Roman" w:eastAsia="仿宋_GB2312" w:cs="Times New Roman"/>
          <w:b/>
          <w:bCs/>
          <w:kern w:val="2"/>
          <w:sz w:val="32"/>
          <w:szCs w:val="32"/>
          <w:lang w:val="en-US" w:eastAsia="zh-CN" w:bidi="ar-SA"/>
        </w:rPr>
        <w:t>构建ESG管理体系</w:t>
      </w:r>
    </w:p>
    <w:p>
      <w:pPr>
        <w:widowControl/>
        <w:overflowPunct w:val="0"/>
        <w:spacing w:line="560" w:lineRule="exact"/>
        <w:ind w:firstLine="640" w:firstLineChars="200"/>
        <w:rPr>
          <w:rFonts w:eastAsia="仿宋_GB2312" w:cs="Times New Roman"/>
          <w:sz w:val="32"/>
          <w:szCs w:val="22"/>
        </w:rPr>
      </w:pPr>
      <w:r>
        <w:rPr>
          <w:rFonts w:hint="eastAsia" w:eastAsia="仿宋_GB2312" w:cs="Times New Roman"/>
          <w:sz w:val="32"/>
          <w:szCs w:val="22"/>
        </w:rPr>
        <w:t>对标国际通用话语体系，系统搭建符合经开区特色的ESG评价体系，将环境、社会及治理要素融入园区运营全流程，定期编制发布涵盖碳减排成效、社会责任实践、治理效能的ESG报告。加强ESG宣传培训，以提升企业环境绩效水平为核心，聚焦不同企业、不同阶段有ESG实践能力的企业，分阶段、分层次推动企业践行ESG理念，逐步构建协同创新的企业ESG生态体系。</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65" w:name="_Toc471159513"/>
      <w:bookmarkStart w:id="66" w:name="_Toc1118572747"/>
      <w:r>
        <w:rPr>
          <w:rFonts w:ascii="Times New Roman" w:hAnsi="Times New Roman" w:eastAsia="楷体_GB2312" w:cs="Times New Roman"/>
          <w:bCs w:val="0"/>
          <w:kern w:val="2"/>
          <w:sz w:val="32"/>
          <w:szCs w:val="32"/>
          <w:lang w:val="en-US" w:eastAsia="zh-CN" w:bidi="ar-SA"/>
        </w:rPr>
        <w:t>（二）</w:t>
      </w:r>
      <w:r>
        <w:rPr>
          <w:rFonts w:hint="eastAsia" w:ascii="Times New Roman" w:hAnsi="Times New Roman" w:eastAsia="楷体_GB2312" w:cs="Times New Roman"/>
          <w:bCs w:val="0"/>
          <w:kern w:val="2"/>
          <w:sz w:val="32"/>
          <w:szCs w:val="32"/>
          <w:lang w:val="en-US" w:eastAsia="zh-CN" w:bidi="ar-SA"/>
        </w:rPr>
        <w:t>推动建立碳排放预算管理体系</w:t>
      </w:r>
      <w:bookmarkEnd w:id="65"/>
      <w:bookmarkEnd w:id="66"/>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1.推动</w:t>
      </w:r>
      <w:r>
        <w:rPr>
          <w:rFonts w:ascii="Times New Roman" w:hAnsi="Times New Roman" w:eastAsia="仿宋_GB2312" w:cs="Times New Roman"/>
          <w:b/>
          <w:bCs/>
          <w:kern w:val="2"/>
          <w:sz w:val="32"/>
          <w:szCs w:val="32"/>
          <w:lang w:val="en-US" w:eastAsia="zh-CN" w:bidi="ar-SA"/>
        </w:rPr>
        <w:t>建立碳排放标准计量体系</w:t>
      </w:r>
    </w:p>
    <w:p>
      <w:pPr>
        <w:widowControl/>
        <w:overflowPunct w:val="0"/>
        <w:spacing w:line="560" w:lineRule="exact"/>
        <w:ind w:firstLine="640" w:firstLineChars="200"/>
        <w:rPr>
          <w:rFonts w:eastAsia="仿宋_GB2312"/>
          <w:sz w:val="32"/>
          <w:szCs w:val="22"/>
        </w:rPr>
      </w:pPr>
      <w:r>
        <w:rPr>
          <w:rFonts w:eastAsia="仿宋_GB2312"/>
          <w:sz w:val="32"/>
          <w:szCs w:val="22"/>
        </w:rPr>
        <w:t>加快构建面向园区与企业的绿色管理数字底座，重点打造产品碳足迹平台、碳能综合智慧管理平台等数字化工具。通过建立标准化核算模型，推动规上企业开展碳排放核算及重点产品碳足迹认证，精准识别生产流程、能源利用等环节的减排空间，挖掘技术改造与工艺优化潜力。同时，结合全国碳市场建设及地方试点经验，整合</w:t>
      </w:r>
      <w:r>
        <w:rPr>
          <w:rFonts w:hint="eastAsia" w:eastAsia="仿宋_GB2312"/>
          <w:sz w:val="32"/>
          <w:szCs w:val="22"/>
        </w:rPr>
        <w:t>重点</w:t>
      </w:r>
      <w:r>
        <w:rPr>
          <w:rFonts w:eastAsia="仿宋_GB2312"/>
          <w:sz w:val="32"/>
          <w:szCs w:val="22"/>
        </w:rPr>
        <w:t>企业排放数据形成动态数据库，</w:t>
      </w:r>
      <w:r>
        <w:rPr>
          <w:rFonts w:hint="eastAsia" w:eastAsia="仿宋_GB2312"/>
          <w:sz w:val="32"/>
          <w:szCs w:val="22"/>
        </w:rPr>
        <w:t>自下而上</w:t>
      </w:r>
      <w:r>
        <w:rPr>
          <w:rFonts w:eastAsia="仿宋_GB2312"/>
          <w:sz w:val="32"/>
          <w:szCs w:val="22"/>
        </w:rPr>
        <w:t>逐步完善碳排放统计网络，为科学制定减排路径提供数据支撑。</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2.推动建立园区</w:t>
      </w:r>
      <w:r>
        <w:rPr>
          <w:rFonts w:ascii="Times New Roman" w:hAnsi="Times New Roman" w:eastAsia="仿宋_GB2312" w:cs="Times New Roman"/>
          <w:b/>
          <w:bCs/>
          <w:kern w:val="2"/>
          <w:sz w:val="32"/>
          <w:szCs w:val="32"/>
          <w:lang w:val="en-US" w:eastAsia="zh-CN" w:bidi="ar-SA"/>
        </w:rPr>
        <w:t>层面能源平衡表</w:t>
      </w:r>
    </w:p>
    <w:p>
      <w:pPr>
        <w:widowControl/>
        <w:overflowPunct w:val="0"/>
        <w:spacing w:line="560" w:lineRule="exact"/>
        <w:ind w:firstLine="640" w:firstLineChars="200"/>
        <w:rPr>
          <w:rFonts w:eastAsia="仿宋_GB2312"/>
          <w:sz w:val="32"/>
          <w:szCs w:val="22"/>
        </w:rPr>
      </w:pPr>
      <w:r>
        <w:rPr>
          <w:rFonts w:eastAsia="仿宋_GB2312"/>
          <w:sz w:val="32"/>
          <w:szCs w:val="22"/>
        </w:rPr>
        <w:t>全面提升园区能源管理精细化水平，建立多部门协同机制。统筹整合统计部门及电网、燃气、热力等市政能源企业数据资源，在</w:t>
      </w:r>
      <w:r>
        <w:rPr>
          <w:rFonts w:hint="eastAsia" w:eastAsia="仿宋_GB2312"/>
          <w:sz w:val="32"/>
          <w:szCs w:val="22"/>
        </w:rPr>
        <w:t>保障数据安全、合规的</w:t>
      </w:r>
      <w:r>
        <w:rPr>
          <w:rFonts w:eastAsia="仿宋_GB2312"/>
          <w:sz w:val="32"/>
          <w:szCs w:val="22"/>
        </w:rPr>
        <w:t>前提下，构建覆盖</w:t>
      </w:r>
      <w:r>
        <w:rPr>
          <w:rFonts w:hint="eastAsia" w:eastAsia="仿宋_GB2312"/>
          <w:sz w:val="32"/>
          <w:szCs w:val="22"/>
        </w:rPr>
        <w:t>工业、建筑、交通、生活等全领域能源</w:t>
      </w:r>
      <w:r>
        <w:rPr>
          <w:rFonts w:eastAsia="仿宋_GB2312"/>
          <w:sz w:val="32"/>
          <w:szCs w:val="22"/>
        </w:rPr>
        <w:t>数据</w:t>
      </w:r>
      <w:r>
        <w:rPr>
          <w:rFonts w:hint="eastAsia" w:eastAsia="仿宋_GB2312"/>
          <w:sz w:val="32"/>
          <w:szCs w:val="22"/>
        </w:rPr>
        <w:t>统计机制</w:t>
      </w:r>
      <w:r>
        <w:rPr>
          <w:rFonts w:eastAsia="仿宋_GB2312"/>
          <w:sz w:val="32"/>
          <w:szCs w:val="22"/>
        </w:rPr>
        <w:t>。通过建立标准化能源数据台账，实现园区级能源平衡表的动态更新与多维分析，精准核算电、气、热等各类能源消费总量、结构及时空分布特征，为实施碳预算管理、制定节能降碳路径提供科学支撑。</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3.推动建立碳排放预算管理</w:t>
      </w:r>
      <w:r>
        <w:rPr>
          <w:rFonts w:ascii="Times New Roman" w:hAnsi="Times New Roman" w:eastAsia="仿宋_GB2312" w:cs="Times New Roman"/>
          <w:b/>
          <w:bCs/>
          <w:kern w:val="2"/>
          <w:sz w:val="32"/>
          <w:szCs w:val="32"/>
          <w:lang w:val="en-US" w:eastAsia="zh-CN" w:bidi="ar-SA"/>
        </w:rPr>
        <w:t>制度</w:t>
      </w:r>
    </w:p>
    <w:p>
      <w:pPr>
        <w:widowControl/>
        <w:overflowPunct w:val="0"/>
        <w:spacing w:line="560" w:lineRule="exact"/>
        <w:ind w:firstLine="640" w:firstLineChars="200"/>
        <w:rPr>
          <w:rFonts w:eastAsia="仿宋_GB2312" w:cs="Times New Roman"/>
          <w:sz w:val="32"/>
          <w:szCs w:val="22"/>
        </w:rPr>
      </w:pPr>
      <w:r>
        <w:rPr>
          <w:rFonts w:hint="eastAsia" w:eastAsia="仿宋_GB2312" w:cs="Times New Roman"/>
          <w:sz w:val="32"/>
          <w:szCs w:val="22"/>
        </w:rPr>
        <w:t>围绕碳达峰试点建设目标，制定并实施年度碳排放监测与分析计划，精准把握碳减排进展与挑战。加强与全国及地方碳排放权交易市场的对接，探索碳资产管理与交易新模式。结合国家和天津市相关工作进展，建立科学合理的碳排放总量管理与预算分配机制，优先在重点区域开展试点应用，实施全程跟踪评估，并动态优化调整，确保园区绿色低碳转型稳步推进。</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67" w:name="_Toc343046189"/>
      <w:bookmarkStart w:id="68" w:name="_Toc1335647166"/>
      <w:r>
        <w:rPr>
          <w:rFonts w:hint="eastAsia" w:ascii="Times New Roman" w:hAnsi="Times New Roman" w:eastAsia="楷体_GB2312" w:cs="Times New Roman"/>
          <w:bCs w:val="0"/>
          <w:kern w:val="2"/>
          <w:sz w:val="32"/>
          <w:szCs w:val="32"/>
          <w:lang w:val="en-US" w:eastAsia="zh-CN" w:bidi="ar-SA"/>
        </w:rPr>
        <w:t>（三）全面提升减污降碳协同能力</w:t>
      </w:r>
      <w:bookmarkEnd w:id="67"/>
      <w:bookmarkEnd w:id="68"/>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1.探索强化减污降碳</w:t>
      </w:r>
      <w:r>
        <w:rPr>
          <w:rFonts w:hint="eastAsia" w:eastAsia="仿宋_GB2312" w:cs="Times New Roman"/>
          <w:b/>
          <w:bCs/>
          <w:kern w:val="2"/>
          <w:sz w:val="32"/>
          <w:szCs w:val="32"/>
          <w:lang w:val="en-US" w:eastAsia="zh-CN" w:bidi="ar-SA"/>
        </w:rPr>
        <w:t>准入</w:t>
      </w:r>
      <w:r>
        <w:rPr>
          <w:rFonts w:hint="eastAsia" w:ascii="Times New Roman" w:hAnsi="Times New Roman" w:eastAsia="仿宋_GB2312" w:cs="Times New Roman"/>
          <w:b/>
          <w:bCs/>
          <w:kern w:val="2"/>
          <w:sz w:val="32"/>
          <w:szCs w:val="32"/>
          <w:lang w:val="en-US" w:eastAsia="zh-CN" w:bidi="ar-SA"/>
        </w:rPr>
        <w:t>协同管控</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强化生态环境分区管控，进一步完善差异化生态环境准入清单，深化分区管控在园区管理的应用，选取1-2个片区（管控单元）开展重点攻关，充分结合减污降碳要求，拓展应用场景，提升管控水平。启动</w:t>
      </w:r>
      <w:r>
        <w:rPr>
          <w:rFonts w:hint="eastAsia" w:eastAsia="仿宋_GB2312" w:cs="Times New Roman"/>
          <w:sz w:val="32"/>
          <w:szCs w:val="22"/>
        </w:rPr>
        <w:t>重点区域</w:t>
      </w:r>
      <w:r>
        <w:rPr>
          <w:rFonts w:eastAsia="仿宋_GB2312" w:cs="Times New Roman"/>
          <w:sz w:val="32"/>
          <w:szCs w:val="22"/>
        </w:rPr>
        <w:t>规划编制及环评工作，以推进区域环境质量改善以及做好园区环境风险防控为目标，判别园区资源、环境重大问题，明确园区污染物排放总量上限要求和环境准入条件。开展园区能源利用与碳排放分析，明确园区以及重点企业能源利用和碳排放总量和强度控制要求和减污降碳协同管控措施。</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2.建立减污降碳协同统计核算体系</w:t>
      </w:r>
    </w:p>
    <w:p>
      <w:pPr>
        <w:widowControl/>
        <w:overflowPunct w:val="0"/>
        <w:spacing w:line="560" w:lineRule="exact"/>
        <w:ind w:firstLine="640" w:firstLineChars="200"/>
        <w:rPr>
          <w:rFonts w:eastAsia="仿宋_GB2312"/>
          <w:sz w:val="32"/>
          <w:szCs w:val="22"/>
        </w:rPr>
      </w:pPr>
      <w:r>
        <w:rPr>
          <w:rFonts w:eastAsia="仿宋_GB2312"/>
          <w:sz w:val="32"/>
          <w:szCs w:val="22"/>
        </w:rPr>
        <w:t>探索在微观层面上统一污染物排放与碳排放核算边界。针对现有碳排放报告仅针对重点行业、重点企业情况，</w:t>
      </w:r>
      <w:r>
        <w:rPr>
          <w:rFonts w:hint="eastAsia" w:eastAsia="仿宋_GB2312"/>
          <w:sz w:val="32"/>
          <w:szCs w:val="22"/>
        </w:rPr>
        <w:t>探索</w:t>
      </w:r>
      <w:r>
        <w:rPr>
          <w:rFonts w:eastAsia="仿宋_GB2312"/>
          <w:sz w:val="32"/>
          <w:szCs w:val="22"/>
        </w:rPr>
        <w:t>扩大碳排放核算范围，做到碳排放与污染物排放一同统计、一同核算、一同平衡</w:t>
      </w:r>
      <w:r>
        <w:rPr>
          <w:rFonts w:hint="eastAsia" w:eastAsia="仿宋_GB2312"/>
          <w:sz w:val="32"/>
          <w:szCs w:val="22"/>
        </w:rPr>
        <w:t>。探索研究污染物减排与碳减排的折算系数，形成一套将碳排放与污染物排放削减综合平衡考虑的核算方法，为减污降碳管理路径、技术路径的选择提供依据。</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ascii="Times New Roman" w:hAnsi="Times New Roman" w:eastAsia="仿宋_GB2312" w:cs="Times New Roman"/>
          <w:b/>
          <w:bCs/>
          <w:kern w:val="2"/>
          <w:sz w:val="32"/>
          <w:szCs w:val="32"/>
          <w:lang w:val="en-US" w:eastAsia="zh-CN" w:bidi="ar-SA"/>
        </w:rPr>
        <w:t>形成减污降碳协同评价指标体系</w:t>
      </w:r>
    </w:p>
    <w:p>
      <w:pPr>
        <w:widowControl/>
        <w:overflowPunct w:val="0"/>
        <w:spacing w:line="560" w:lineRule="exact"/>
        <w:ind w:firstLine="640" w:firstLineChars="200"/>
        <w:rPr>
          <w:rFonts w:eastAsia="仿宋_GB2312"/>
          <w:sz w:val="32"/>
          <w:szCs w:val="22"/>
        </w:rPr>
      </w:pPr>
      <w:r>
        <w:rPr>
          <w:rFonts w:eastAsia="仿宋_GB2312"/>
          <w:sz w:val="32"/>
          <w:szCs w:val="22"/>
        </w:rPr>
        <w:t>根据区域环境资源禀赋、行业特点，科学确定减污降碳协同指标</w:t>
      </w:r>
      <w:r>
        <w:rPr>
          <w:rFonts w:hint="eastAsia" w:eastAsia="仿宋_GB2312"/>
          <w:sz w:val="32"/>
          <w:szCs w:val="22"/>
        </w:rPr>
        <w:t>，推动</w:t>
      </w:r>
      <w:r>
        <w:rPr>
          <w:rFonts w:eastAsia="仿宋_GB2312"/>
          <w:sz w:val="32"/>
          <w:szCs w:val="22"/>
        </w:rPr>
        <w:t>形成污染物排放、碳排放协同的影响评价、排污许可、环境统计、监测评估体系，对减污降碳效果进行统一评价。建立完善一体化的减污降碳智慧化数据管理平台，开展智慧化工园区建设，推动企业和园区管理的数字化、智慧化转型</w:t>
      </w:r>
      <w:r>
        <w:rPr>
          <w:rFonts w:hint="eastAsia" w:eastAsia="仿宋_GB2312"/>
          <w:sz w:val="32"/>
          <w:szCs w:val="22"/>
        </w:rPr>
        <w:t>。</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69" w:name="_Toc898270434"/>
      <w:bookmarkStart w:id="70" w:name="_Toc21331"/>
      <w:bookmarkStart w:id="71" w:name="_Toc8229"/>
      <w:bookmarkStart w:id="72" w:name="_Toc442849537"/>
      <w:r>
        <w:rPr>
          <w:rFonts w:ascii="Times New Roman" w:hAnsi="Times New Roman" w:eastAsia="楷体_GB2312" w:cs="Times New Roman"/>
          <w:bCs w:val="0"/>
          <w:kern w:val="2"/>
          <w:sz w:val="32"/>
          <w:szCs w:val="32"/>
          <w:lang w:val="en-US" w:eastAsia="zh-CN" w:bidi="ar-SA"/>
        </w:rPr>
        <w:t>（四）强化金融支持政策引导</w:t>
      </w:r>
      <w:bookmarkEnd w:id="69"/>
      <w:bookmarkEnd w:id="70"/>
      <w:bookmarkEnd w:id="71"/>
      <w:bookmarkEnd w:id="72"/>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ascii="Times New Roman" w:hAnsi="Times New Roman" w:eastAsia="仿宋_GB2312" w:cs="Times New Roman"/>
          <w:b/>
          <w:bCs/>
          <w:kern w:val="2"/>
          <w:sz w:val="32"/>
          <w:szCs w:val="32"/>
          <w:lang w:val="en-US" w:eastAsia="zh-CN" w:bidi="ar-SA"/>
        </w:rPr>
        <w:t>建立更好地服务实体的绿色金融市场体系</w:t>
      </w:r>
    </w:p>
    <w:p>
      <w:pPr>
        <w:widowControl/>
        <w:overflowPunct w:val="0"/>
        <w:spacing w:line="560" w:lineRule="exact"/>
        <w:ind w:firstLine="640" w:firstLineChars="200"/>
        <w:rPr>
          <w:rFonts w:eastAsia="仿宋_GB2312"/>
          <w:sz w:val="32"/>
          <w:szCs w:val="22"/>
        </w:rPr>
      </w:pPr>
      <w:r>
        <w:rPr>
          <w:rFonts w:eastAsia="仿宋_GB2312"/>
          <w:sz w:val="32"/>
          <w:szCs w:val="22"/>
        </w:rPr>
        <w:t>进一步优化绿色金融支持政策，鼓励绿色信贷、绿色投资、绿色债券、绿色保险、绿色基金、绿色资产证券化等业务发展。落实天津市企业绿色评级、投资项目评级指南或办法，探索建立本级绿色项目库，研究制定区域性绿色项目评估认证办法和绿色企业评估认证办法，组织金融机构与绿色企业和绿色项目精准对接，加强低碳领域产融合作。创新推广环境权益抵质押融资，完善市场化的环境权益定价机制。支持碳资产抵质押登记系统建设。鼓励绿色供应链金融发展，引导金融机构加大对汽车、石化、电子、医药、装备等供应链产业链的资金支持力度，支持企业开展产品全周期的绿色低碳管理模式。</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ascii="Times New Roman" w:hAnsi="Times New Roman" w:eastAsia="仿宋_GB2312" w:cs="Times New Roman"/>
          <w:b/>
          <w:bCs/>
          <w:kern w:val="2"/>
          <w:sz w:val="32"/>
          <w:szCs w:val="32"/>
          <w:lang w:val="en-US" w:eastAsia="zh-CN" w:bidi="ar-SA"/>
        </w:rPr>
        <w:t>建立功能完善的绿色金融机构体系</w:t>
      </w:r>
    </w:p>
    <w:p>
      <w:pPr>
        <w:widowControl/>
        <w:overflowPunct w:val="0"/>
        <w:spacing w:line="560" w:lineRule="exact"/>
        <w:ind w:firstLine="640" w:firstLineChars="200"/>
        <w:rPr>
          <w:rFonts w:eastAsia="仿宋_GB2312"/>
          <w:sz w:val="32"/>
          <w:szCs w:val="22"/>
        </w:rPr>
      </w:pPr>
      <w:r>
        <w:rPr>
          <w:rFonts w:eastAsia="仿宋_GB2312"/>
          <w:sz w:val="32"/>
          <w:szCs w:val="22"/>
        </w:rPr>
        <w:t>支持天津双碳大厦功能和服务创新，建设“双碳”综合服务平台，着力撬动各类绿色企业、项目、人才、资金聚集，打造“绿色产业+绿色金融”的功能服务平台。鼓励有条件的金融机构在区内设立绿色金融事业部、绿色金融支行、绿色金融团队等组织机构。吸引各类基金资管机构在滨海基金小镇发起设立绿色投资基金。支持信用评级、第三方认证、环境风险评估等专业机构落户，为绿色金融提供中介服务。</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3.</w:t>
      </w:r>
      <w:r>
        <w:rPr>
          <w:rFonts w:ascii="Times New Roman" w:hAnsi="Times New Roman" w:eastAsia="仿宋_GB2312" w:cs="Times New Roman"/>
          <w:b/>
          <w:bCs/>
          <w:kern w:val="2"/>
          <w:sz w:val="32"/>
          <w:szCs w:val="32"/>
          <w:lang w:val="en-US" w:eastAsia="zh-CN" w:bidi="ar-SA"/>
        </w:rPr>
        <w:t>建立丰富多元的绿色金融产品体系</w:t>
      </w:r>
    </w:p>
    <w:p>
      <w:pPr>
        <w:widowControl/>
        <w:overflowPunct w:val="0"/>
        <w:spacing w:line="560" w:lineRule="exact"/>
        <w:ind w:firstLine="640" w:firstLineChars="200"/>
        <w:rPr>
          <w:rFonts w:eastAsia="仿宋_GB2312"/>
          <w:sz w:val="32"/>
          <w:szCs w:val="22"/>
        </w:rPr>
      </w:pPr>
      <w:r>
        <w:rPr>
          <w:rFonts w:eastAsia="仿宋_GB2312"/>
          <w:sz w:val="32"/>
          <w:szCs w:val="22"/>
        </w:rPr>
        <w:t>鼓励金融机构建立标准化的绿色金融业务流程和有效的风险管理机制，加大对绿色企业和项目的支持力度，降低绿色信贷成本。支持与绿色金融相关的经常项目、资本项目外汇业务以及跨境人民币业务。支持符合条件的气候友好型企业通过资本市场进行融资。探索运用政策性金融、开发性金融专项融资产品，支持城市更新、生活污水治理、地下管网改造、生态走廊建设、美丽滨城建设、国土综合整治等项目建设。加大金融科技运用，充分利用大数据、云计算等手段，简化业务办理流程，创新推广绿色信用贷款产品。支持商业保理公司基于企业稳定收入来源，创新开展绿色收益权保理融资服务。进一步完善绿色金融融资服务机制。支持担保机构扩大担保覆盖范围，灵活设定担保费率，支持绿色项目投融资。</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w:t>
      </w:r>
      <w:r>
        <w:rPr>
          <w:rFonts w:ascii="Times New Roman" w:hAnsi="Times New Roman" w:eastAsia="仿宋_GB2312" w:cs="Times New Roman"/>
          <w:b/>
          <w:bCs/>
          <w:kern w:val="2"/>
          <w:sz w:val="32"/>
          <w:szCs w:val="32"/>
          <w:lang w:val="en-US" w:eastAsia="zh-CN" w:bidi="ar-SA"/>
        </w:rPr>
        <w:t>建立碳密集行业转型金融支持体系</w:t>
      </w:r>
    </w:p>
    <w:p>
      <w:pPr>
        <w:widowControl/>
        <w:overflowPunct w:val="0"/>
        <w:spacing w:line="560" w:lineRule="exact"/>
        <w:ind w:firstLine="640" w:firstLineChars="200"/>
        <w:rPr>
          <w:rFonts w:eastAsia="仿宋_GB2312"/>
          <w:sz w:val="32"/>
          <w:szCs w:val="22"/>
        </w:rPr>
      </w:pPr>
      <w:r>
        <w:rPr>
          <w:rFonts w:eastAsia="仿宋_GB2312"/>
          <w:sz w:val="32"/>
          <w:szCs w:val="22"/>
        </w:rPr>
        <w:t>借鉴《G20转型金融框架》的理念，结合《天津市化工行业重点领域转型金融实施指南》的具体指导，统筹考虑经开区化工等碳排放较高行业整体低碳发展水平以及企业实际需求，引导区内企业借助转型金融开展低碳转型活动。进一步促进政府、企业、金融机构等各个参与主体的高效衔接，以碳密集型产业转型升级为协同目标，探索打造数字化综合金融服务平台，推动企业转型经济活动、碳减排绩效、转型金融产品、政府扶持政策等信息共享。了解并引导企业在转型金融方面的需求，协助对接相关金融机构，助力转型金融业务与产品的创新。</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5</w:t>
      </w:r>
      <w:r>
        <w:rPr>
          <w:rFonts w:ascii="Times New Roman" w:hAnsi="Times New Roman" w:eastAsia="仿宋_GB2312" w:cs="Times New Roman"/>
          <w:b/>
          <w:bCs/>
          <w:kern w:val="2"/>
          <w:sz w:val="32"/>
          <w:szCs w:val="32"/>
          <w:lang w:val="en-US" w:eastAsia="zh-CN" w:bidi="ar-SA"/>
        </w:rPr>
        <w:t>.探索搭建碳金融综合服务平台</w:t>
      </w:r>
    </w:p>
    <w:p>
      <w:pPr>
        <w:widowControl/>
        <w:overflowPunct w:val="0"/>
        <w:spacing w:line="560" w:lineRule="exact"/>
        <w:ind w:firstLine="640" w:firstLineChars="200"/>
        <w:rPr>
          <w:rFonts w:eastAsia="仿宋_GB2312"/>
          <w:sz w:val="32"/>
          <w:szCs w:val="22"/>
        </w:rPr>
      </w:pPr>
      <w:r>
        <w:rPr>
          <w:rFonts w:eastAsia="仿宋_GB2312"/>
          <w:sz w:val="32"/>
          <w:szCs w:val="22"/>
        </w:rPr>
        <w:t>依托天津碳排放权交易所，探索打造集碳资产登记、托管、交易、清算于一体的综合性碳金融服务平台，与天津碳市场机制深度融合，提升园区在碳配额交易、碳资产管理等方面的市场化参与能力。鼓励引导银行、证券、基金、担保等金融机构入驻平台，为园区企业提供“一站式”的碳资产估值、抵质押融资、风险管理及咨询等服务，显著降低企业参与门槛与交易成本。引入专业第三方服务机构，为企业提供碳盘查、碳交易、碳资产配置等全方位服务，全面提升园区整体及下属企业的碳市场参与能力与风险管理水平。</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73" w:name="_Toc1532015979"/>
      <w:bookmarkStart w:id="74" w:name="_Toc94685269"/>
      <w:r>
        <w:rPr>
          <w:rFonts w:ascii="Times New Roman" w:hAnsi="Times New Roman" w:eastAsia="楷体_GB2312" w:cs="Times New Roman"/>
          <w:bCs w:val="0"/>
          <w:kern w:val="2"/>
          <w:sz w:val="32"/>
          <w:szCs w:val="32"/>
          <w:lang w:val="en-US" w:eastAsia="zh-CN" w:bidi="ar-SA"/>
        </w:rPr>
        <w:t>（五）推动建立国际化科技创新交流机制</w:t>
      </w:r>
      <w:bookmarkEnd w:id="73"/>
      <w:bookmarkEnd w:id="74"/>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ascii="Times New Roman" w:hAnsi="Times New Roman" w:eastAsia="仿宋_GB2312" w:cs="Times New Roman"/>
          <w:b/>
          <w:bCs/>
          <w:kern w:val="2"/>
          <w:sz w:val="32"/>
          <w:szCs w:val="32"/>
          <w:lang w:val="en-US" w:eastAsia="zh-CN" w:bidi="ar-SA"/>
        </w:rPr>
        <w:t>开展国际绿色经贸合作</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依托泰达综保区、服务贸易创新发展试点，积极扩大先进生态环境治理与低碳技术、设备进口，以及研发设计、环境服务等生产性服务进口。充分发挥“全球特殊经济区联盟（GASEZ）”在特殊经济区间贸易和投资促进方面的跨境和跨行业合作方面的促进作用，推动全球特殊经济区的技术创新与可持续发展。</w:t>
      </w:r>
    </w:p>
    <w:p>
      <w:pPr>
        <w:keepNext/>
        <w:keepLines/>
        <w:overflowPunct w:val="0"/>
        <w:spacing w:line="560" w:lineRule="exact"/>
        <w:ind w:firstLine="642" w:firstLineChars="200"/>
        <w:jc w:val="both"/>
        <w:outlineLvl w:val="2"/>
        <w:rPr>
          <w:rFonts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w:t>
      </w:r>
      <w:r>
        <w:rPr>
          <w:rFonts w:ascii="Times New Roman" w:hAnsi="Times New Roman" w:eastAsia="仿宋_GB2312" w:cs="Times New Roman"/>
          <w:b/>
          <w:bCs/>
          <w:kern w:val="2"/>
          <w:sz w:val="32"/>
          <w:szCs w:val="32"/>
          <w:lang w:val="en-US" w:eastAsia="zh-CN" w:bidi="ar-SA"/>
        </w:rPr>
        <w:t>参与绿色“一带一路”建设</w:t>
      </w:r>
    </w:p>
    <w:p>
      <w:pPr>
        <w:keepNext w:val="0"/>
        <w:keepLines w:val="0"/>
        <w:overflowPunct/>
        <w:spacing w:line="560" w:lineRule="exact"/>
        <w:ind w:firstLine="640" w:firstLineChars="200"/>
        <w:jc w:val="both"/>
        <w:outlineLvl w:val="0"/>
        <w:rPr>
          <w:rFonts w:eastAsia="仿宋_GB2312" w:cs="Times New Roman"/>
          <w:sz w:val="32"/>
          <w:szCs w:val="22"/>
        </w:rPr>
      </w:pPr>
      <w:r>
        <w:rPr>
          <w:rFonts w:eastAsia="仿宋_GB2312" w:cs="Times New Roman"/>
          <w:sz w:val="32"/>
          <w:szCs w:val="22"/>
        </w:rPr>
        <w:t>落实国家部署，鼓励中埃·苏伊士经贸合作区等境内外产业园区践行绿色低碳理念，开展节能环保领域国际合作。以“一带一路”中心等平台为依托，拓展项目范围，广泛征集应对气候变化领域优质项目和先进技术。围绕应对气候变化绿色低碳技术发展和产业转型升级，为研发、融资、项目落地和产业合作提供有效市场，实现应用场景和技术之间相辅共赢。</w:t>
      </w:r>
      <w:bookmarkEnd w:id="58"/>
      <w:bookmarkEnd w:id="63"/>
      <w:bookmarkEnd w:id="64"/>
      <w:bookmarkStart w:id="75" w:name="_Toc30222"/>
      <w:bookmarkStart w:id="76" w:name="_Toc1510672455"/>
      <w:bookmarkStart w:id="77" w:name="_Toc2613"/>
      <w:bookmarkStart w:id="78" w:name="_Toc51823058"/>
    </w:p>
    <w:p>
      <w:pPr>
        <w:keepNext w:val="0"/>
        <w:keepLines w:val="0"/>
        <w:numPr>
          <w:ilvl w:val="-1"/>
          <w:numId w:val="0"/>
        </w:numPr>
        <w:overflowPunct/>
        <w:spacing w:line="560" w:lineRule="exact"/>
        <w:ind w:firstLine="0" w:firstLineChars="0"/>
        <w:jc w:val="both"/>
        <w:outlineLvl w:val="1"/>
        <w:rPr>
          <w:rFonts w:hint="default" w:ascii="Times New Roman" w:hAnsi="Times New Roman" w:eastAsia="黑体" w:cs="Times New Roman"/>
          <w:bCs w:val="0"/>
          <w:kern w:val="44"/>
          <w:sz w:val="32"/>
          <w:szCs w:val="44"/>
          <w:lang w:val="en-US" w:eastAsia="zh-CN" w:bidi="ar-SA"/>
        </w:rPr>
      </w:pPr>
      <w:r>
        <w:rPr>
          <w:rFonts w:hint="eastAsia" w:eastAsia="黑体" w:cs="Times New Roman"/>
          <w:bCs w:val="0"/>
          <w:kern w:val="44"/>
          <w:sz w:val="32"/>
          <w:szCs w:val="44"/>
          <w:lang w:val="en-US" w:eastAsia="zh-CN" w:bidi="ar-SA"/>
        </w:rPr>
        <w:t xml:space="preserve">    六、</w:t>
      </w:r>
      <w:r>
        <w:rPr>
          <w:rFonts w:hint="default" w:ascii="Times New Roman" w:hAnsi="Times New Roman" w:eastAsia="黑体" w:cs="Times New Roman"/>
          <w:bCs w:val="0"/>
          <w:kern w:val="44"/>
          <w:sz w:val="32"/>
          <w:szCs w:val="44"/>
          <w:lang w:val="en-US" w:eastAsia="zh-CN" w:bidi="ar-SA"/>
        </w:rPr>
        <w:t>全民行动</w:t>
      </w:r>
      <w:bookmarkEnd w:id="75"/>
      <w:bookmarkEnd w:id="76"/>
      <w:bookmarkEnd w:id="77"/>
      <w:bookmarkEnd w:id="78"/>
      <w:bookmarkStart w:id="79" w:name="_Toc2143303153"/>
      <w:bookmarkStart w:id="80" w:name="_Toc1823693219"/>
      <w:bookmarkStart w:id="81" w:name="_Toc10729"/>
      <w:bookmarkStart w:id="82" w:name="_Toc18028"/>
    </w:p>
    <w:p>
      <w:pPr>
        <w:keepNext w:val="0"/>
        <w:keepLines w:val="0"/>
        <w:numPr>
          <w:ilvl w:val="-1"/>
          <w:numId w:val="0"/>
        </w:numPr>
        <w:overflowPunct/>
        <w:spacing w:line="560" w:lineRule="exact"/>
        <w:ind w:firstLine="0" w:firstLineChars="0"/>
        <w:jc w:val="both"/>
        <w:outlineLvl w:val="1"/>
        <w:rPr>
          <w:rFonts w:ascii="Times New Roman" w:hAnsi="Times New Roman" w:eastAsia="楷体_GB2312" w:cs="Times New Roman"/>
          <w:bCs w:val="0"/>
          <w:kern w:val="2"/>
          <w:sz w:val="32"/>
          <w:szCs w:val="32"/>
          <w:lang w:val="en-US" w:eastAsia="zh-CN" w:bidi="ar-SA"/>
        </w:rPr>
      </w:pPr>
      <w:r>
        <w:rPr>
          <w:rFonts w:hint="eastAsia" w:eastAsia="楷体_GB2312" w:cs="Times New Roman"/>
          <w:bCs w:val="0"/>
          <w:kern w:val="2"/>
          <w:sz w:val="32"/>
          <w:szCs w:val="32"/>
          <w:lang w:val="en-US" w:eastAsia="zh-CN" w:bidi="ar-SA"/>
        </w:rPr>
        <w:t xml:space="preserve">    </w:t>
      </w:r>
      <w:r>
        <w:rPr>
          <w:rFonts w:ascii="Times New Roman" w:hAnsi="Times New Roman" w:eastAsia="楷体_GB2312" w:cs="Times New Roman"/>
          <w:bCs w:val="0"/>
          <w:kern w:val="2"/>
          <w:sz w:val="32"/>
          <w:szCs w:val="32"/>
          <w:lang w:val="en-US" w:eastAsia="zh-CN" w:bidi="ar-SA"/>
        </w:rPr>
        <w:t>（一）推广绿色低碳生活方式</w:t>
      </w:r>
      <w:bookmarkEnd w:id="79"/>
      <w:bookmarkEnd w:id="80"/>
      <w:bookmarkEnd w:id="81"/>
      <w:bookmarkEnd w:id="82"/>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1.引导居民绿色生活</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推广绿色居住，鼓励公众购买绿色家具和环保建材产品，减少无效照明，减少电器设备待机能耗，提倡家庭节约用水用电。引导绿色服装，开展旧衣“零抛弃”活动，完善居民社区再生资源回收体系。引导绿色饮食，引导居民减少食物浪费，鼓励家庭科学制定膳食计划。鼓励步行、自行车和公共交通等低碳出行。减少使用一次性日用品，减少一次性餐具使用量，使用环保袋或可多次使用的塑料袋等。发展共享经济，鼓励个人闲置资源有效利用。</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2.完善商户绿色供给</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餐饮行业</w:t>
      </w:r>
      <w:r>
        <w:rPr>
          <w:rFonts w:hint="eastAsia" w:eastAsia="仿宋_GB2312" w:cs="Times New Roman"/>
          <w:sz w:val="32"/>
          <w:szCs w:val="22"/>
        </w:rPr>
        <w:t>不得</w:t>
      </w:r>
      <w:r>
        <w:rPr>
          <w:rFonts w:hint="eastAsia" w:eastAsia="仿宋_GB2312" w:cs="Times New Roman"/>
          <w:sz w:val="32"/>
          <w:szCs w:val="22"/>
          <w:lang w:eastAsia="zh-CN"/>
        </w:rPr>
        <w:t>主动</w:t>
      </w:r>
      <w:r>
        <w:rPr>
          <w:rFonts w:eastAsia="仿宋_GB2312" w:cs="Times New Roman"/>
          <w:sz w:val="32"/>
          <w:szCs w:val="22"/>
        </w:rPr>
        <w:t>提供一次性餐具，餐饮服务经营者主动提示消费者适量点餐，主动提供“小份菜”“小份饭”等服务。星级宾馆、连锁酒店</w:t>
      </w:r>
      <w:r>
        <w:rPr>
          <w:rFonts w:hint="eastAsia" w:eastAsia="仿宋_GB2312" w:cs="Times New Roman"/>
          <w:sz w:val="32"/>
          <w:szCs w:val="22"/>
        </w:rPr>
        <w:t>不得</w:t>
      </w:r>
      <w:r>
        <w:rPr>
          <w:rFonts w:hint="eastAsia" w:eastAsia="仿宋_GB2312" w:cs="Times New Roman"/>
          <w:sz w:val="32"/>
          <w:szCs w:val="22"/>
          <w:lang w:eastAsia="zh-CN"/>
        </w:rPr>
        <w:t>主动</w:t>
      </w:r>
      <w:r>
        <w:rPr>
          <w:rFonts w:hint="eastAsia" w:eastAsia="仿宋_GB2312" w:cs="Times New Roman"/>
          <w:sz w:val="32"/>
          <w:szCs w:val="22"/>
        </w:rPr>
        <w:t>提供</w:t>
      </w:r>
      <w:r>
        <w:rPr>
          <w:rFonts w:eastAsia="仿宋_GB2312" w:cs="Times New Roman"/>
          <w:sz w:val="32"/>
          <w:szCs w:val="22"/>
        </w:rPr>
        <w:t>一次性</w:t>
      </w:r>
      <w:r>
        <w:rPr>
          <w:rFonts w:hint="eastAsia" w:eastAsia="仿宋_GB2312" w:cs="Times New Roman"/>
          <w:sz w:val="32"/>
          <w:szCs w:val="22"/>
          <w:lang w:eastAsia="zh-CN"/>
        </w:rPr>
        <w:t>日</w:t>
      </w:r>
      <w:r>
        <w:rPr>
          <w:rFonts w:eastAsia="仿宋_GB2312" w:cs="Times New Roman"/>
          <w:sz w:val="32"/>
          <w:szCs w:val="22"/>
        </w:rPr>
        <w:t>用品。商场、超市、集贸市场等商品零售场所要严格执行“限塑令”，减少包装物的消耗，鼓励使用生物基材料的环保包装制品。推动商超等流通企业设立绿色低碳产品销售专区，扩大绿色低碳产品供给和消费。</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3.开展机构绿色办公</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提高办公设备和资产使用效率，鼓励纸张双面打印，进一步加强办公用品的管理。推进信息系统建设和数据共享共用。严格执行政府对节能环保产品的优先采购和强制采购制度。具备条件的公共机构要利用内部停车场资源规划建设电动汽车专用停车位。</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83" w:name="_Toc1885104561"/>
      <w:bookmarkStart w:id="84" w:name="_Toc23792"/>
      <w:bookmarkStart w:id="85" w:name="_Toc7328"/>
      <w:bookmarkStart w:id="86" w:name="_Toc1854474294"/>
      <w:r>
        <w:rPr>
          <w:rFonts w:ascii="Times New Roman" w:hAnsi="Times New Roman" w:eastAsia="楷体_GB2312" w:cs="Times New Roman"/>
          <w:bCs w:val="0"/>
          <w:kern w:val="2"/>
          <w:sz w:val="32"/>
          <w:szCs w:val="32"/>
          <w:lang w:val="en-US" w:eastAsia="zh-CN" w:bidi="ar-SA"/>
        </w:rPr>
        <w:t>（二）加强低碳宣传教育</w:t>
      </w:r>
      <w:bookmarkEnd w:id="83"/>
      <w:bookmarkEnd w:id="84"/>
      <w:bookmarkEnd w:id="85"/>
      <w:bookmarkEnd w:id="86"/>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1.开展低碳先进</w:t>
      </w:r>
      <w:r>
        <w:rPr>
          <w:rFonts w:hint="eastAsia" w:eastAsia="仿宋_GB2312" w:cs="Times New Roman"/>
          <w:b/>
          <w:bCs/>
          <w:sz w:val="32"/>
          <w:szCs w:val="32"/>
        </w:rPr>
        <w:t>宣传</w:t>
      </w:r>
    </w:p>
    <w:p>
      <w:pPr>
        <w:keepNext/>
        <w:keepLines/>
        <w:widowControl/>
        <w:overflowPunct w:val="0"/>
        <w:spacing w:line="560" w:lineRule="exact"/>
        <w:ind w:firstLine="640" w:firstLineChars="200"/>
        <w:outlineLvl w:val="2"/>
        <w:rPr>
          <w:rFonts w:eastAsia="仿宋_GB2312" w:cs="Times New Roman"/>
          <w:sz w:val="32"/>
          <w:szCs w:val="22"/>
        </w:rPr>
      </w:pPr>
      <w:r>
        <w:rPr>
          <w:rFonts w:eastAsia="仿宋_GB2312" w:cs="Times New Roman"/>
          <w:sz w:val="32"/>
          <w:szCs w:val="22"/>
        </w:rPr>
        <w:t>推动社区低碳化发展，探索以社区为单元统筹建设公共服务设施、便民商业服务设施、市政配套基础设施和公共活动空间，将绿色发展理念贯穿街区规划建设管理全过程，鼓励物业服务企业向业主提供居家养老、家政、托幼、健身、购物等生活服务，在步行范围内满足业主基本生活需求。开展生活方式绿色化全民行动，加强对绿色家庭、绿色商场、绿色景区、绿色饭店、绿色食堂、绿色金融机构、节约型机关、节约型校园、节约型医院等理念宣传，推动全社会绿色低碳发展。</w:t>
      </w:r>
    </w:p>
    <w:p>
      <w:pPr>
        <w:keepNext/>
        <w:keepLines/>
        <w:widowControl/>
        <w:overflowPunct w:val="0"/>
        <w:spacing w:line="560" w:lineRule="exact"/>
        <w:ind w:firstLine="642" w:firstLineChars="200"/>
        <w:outlineLvl w:val="2"/>
        <w:rPr>
          <w:rFonts w:eastAsia="仿宋_GB2312" w:cs="Times New Roman"/>
          <w:b/>
          <w:bCs/>
          <w:sz w:val="32"/>
          <w:szCs w:val="32"/>
        </w:rPr>
      </w:pPr>
      <w:r>
        <w:rPr>
          <w:rFonts w:eastAsia="仿宋_GB2312" w:cs="Times New Roman"/>
          <w:b/>
          <w:bCs/>
          <w:sz w:val="32"/>
          <w:szCs w:val="32"/>
        </w:rPr>
        <w:t>2.开展低碳宣传教育</w:t>
      </w:r>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以世界地球日、世界环境日、全国节能宣传周、全国低碳日等主题宣传活动为契机，利用各领域宣传窗口，普及垃圾分类、绿色出行、绿色办公等行为，促进全社会绿色低碳意识提升。及时总结推广园区绿色低碳高质量发展的好经验好做法，</w:t>
      </w:r>
      <w:r>
        <w:rPr>
          <w:rFonts w:hint="eastAsia" w:eastAsia="仿宋_GB2312" w:cs="Times New Roman"/>
          <w:sz w:val="32"/>
          <w:szCs w:val="22"/>
        </w:rPr>
        <w:t>加强交流展示</w:t>
      </w:r>
      <w:r>
        <w:rPr>
          <w:rFonts w:eastAsia="仿宋_GB2312" w:cs="Times New Roman"/>
          <w:sz w:val="32"/>
          <w:szCs w:val="22"/>
        </w:rPr>
        <w:t>，形成示范引领效应，提高群众对碳达峰碳中和的认知度和参与度。加强对园区内中小学生的生态文明宣教，将绿色低碳发展的相关理念有机融入学校相关课程。将“双碳”工作纳入干部教育培训课程，将节能减碳理念纳入职业教育和职工培训课程，建设一批生态文明教育实践</w:t>
      </w:r>
      <w:r>
        <w:rPr>
          <w:rFonts w:hint="eastAsia" w:eastAsia="仿宋_GB2312" w:cs="Times New Roman"/>
          <w:sz w:val="32"/>
          <w:szCs w:val="22"/>
        </w:rPr>
        <w:t>窗口</w:t>
      </w:r>
      <w:r>
        <w:rPr>
          <w:rFonts w:eastAsia="仿宋_GB2312" w:cs="Times New Roman"/>
          <w:sz w:val="32"/>
          <w:szCs w:val="22"/>
        </w:rPr>
        <w:t>。</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87" w:name="_Toc1451765929"/>
      <w:bookmarkStart w:id="88" w:name="_Toc528500271"/>
      <w:bookmarkStart w:id="89" w:name="_Toc974"/>
      <w:bookmarkStart w:id="90" w:name="_Toc8865"/>
      <w:r>
        <w:rPr>
          <w:rFonts w:ascii="Times New Roman" w:hAnsi="Times New Roman" w:eastAsia="楷体_GB2312" w:cs="Times New Roman"/>
          <w:bCs w:val="0"/>
          <w:kern w:val="2"/>
          <w:sz w:val="32"/>
          <w:szCs w:val="32"/>
          <w:lang w:val="en-US" w:eastAsia="zh-CN" w:bidi="ar-SA"/>
        </w:rPr>
        <w:t>（三）增强推动绿色低碳发展的本领</w:t>
      </w:r>
      <w:bookmarkEnd w:id="87"/>
      <w:bookmarkEnd w:id="88"/>
      <w:bookmarkEnd w:id="89"/>
      <w:bookmarkEnd w:id="90"/>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建立和完善能源人才培养和评价体系，加大激励力度、创新用人机制，进一步激发能源领域人才创新创造活力。通过校企合作、院企合作等多种形式，鼓励能源企业、科研院所间开展多元化人才交流，建立产学研用协同创新机制。多渠道引进和培养一批能源专业领域的紧缺人才、高端技术人才，分阶段、分层次对各级领导干部开展碳达峰碳中和专题培训班，组织开展对从事碳达峰碳中和工作的企业管理人员的专题培训，为经开区低碳创新发展提供坚实的智力保障和人才支撑。</w:t>
      </w:r>
    </w:p>
    <w:p>
      <w:pPr>
        <w:keepNext/>
        <w:keepLines/>
        <w:overflowPunct w:val="0"/>
        <w:spacing w:line="560" w:lineRule="exact"/>
        <w:ind w:firstLine="640" w:firstLineChars="200"/>
        <w:jc w:val="both"/>
        <w:outlineLvl w:val="0"/>
        <w:rPr>
          <w:rFonts w:hint="default" w:ascii="Times New Roman" w:hAnsi="Times New Roman" w:eastAsia="黑体" w:cs="Times New Roman"/>
          <w:bCs w:val="0"/>
          <w:kern w:val="44"/>
          <w:sz w:val="32"/>
          <w:szCs w:val="44"/>
          <w:lang w:val="en-US" w:eastAsia="zh-CN" w:bidi="ar-SA"/>
        </w:rPr>
      </w:pPr>
      <w:bookmarkStart w:id="91" w:name="_Toc1213088423"/>
      <w:bookmarkStart w:id="92" w:name="_Toc1564586198"/>
      <w:bookmarkStart w:id="93" w:name="_Toc13743"/>
      <w:bookmarkStart w:id="94" w:name="_Toc4563"/>
      <w:bookmarkStart w:id="95" w:name="OLE_LINK2"/>
      <w:r>
        <w:rPr>
          <w:rFonts w:hint="eastAsia" w:ascii="Times New Roman" w:hAnsi="Times New Roman" w:eastAsia="黑体" w:cs="Times New Roman"/>
          <w:bCs w:val="0"/>
          <w:kern w:val="44"/>
          <w:sz w:val="32"/>
          <w:szCs w:val="44"/>
          <w:lang w:val="en-US" w:eastAsia="zh-CN" w:bidi="ar-SA"/>
        </w:rPr>
        <w:t>七</w:t>
      </w:r>
      <w:r>
        <w:rPr>
          <w:rFonts w:hint="default" w:ascii="Times New Roman" w:hAnsi="Times New Roman" w:eastAsia="黑体" w:cs="Times New Roman"/>
          <w:bCs w:val="0"/>
          <w:kern w:val="44"/>
          <w:sz w:val="32"/>
          <w:szCs w:val="44"/>
          <w:lang w:val="en-US" w:eastAsia="zh-CN" w:bidi="ar-SA"/>
        </w:rPr>
        <w:t>、保障措施</w:t>
      </w:r>
      <w:bookmarkEnd w:id="91"/>
      <w:bookmarkEnd w:id="92"/>
      <w:bookmarkEnd w:id="93"/>
      <w:bookmarkEnd w:id="94"/>
    </w:p>
    <w:bookmarkEnd w:id="95"/>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96" w:name="_Toc23115"/>
      <w:bookmarkStart w:id="97" w:name="_Toc1570831330"/>
      <w:bookmarkStart w:id="98" w:name="_Toc3798"/>
      <w:bookmarkStart w:id="99" w:name="_Toc298236881"/>
      <w:r>
        <w:rPr>
          <w:rFonts w:ascii="Times New Roman" w:hAnsi="Times New Roman" w:eastAsia="楷体_GB2312" w:cs="Times New Roman"/>
          <w:bCs w:val="0"/>
          <w:kern w:val="2"/>
          <w:sz w:val="32"/>
          <w:szCs w:val="32"/>
          <w:lang w:val="en-US" w:eastAsia="zh-CN" w:bidi="ar-SA"/>
        </w:rPr>
        <w:t>（一）组织领导</w:t>
      </w:r>
      <w:bookmarkEnd w:id="96"/>
      <w:bookmarkEnd w:id="97"/>
      <w:bookmarkEnd w:id="98"/>
      <w:bookmarkEnd w:id="99"/>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加强党对碳达峰、碳中和工作的集中统一领导，对碳达峰相关工作进行整体部署和系统推进。提升完善应对气候变化及节能减排工作领导机制，全面加强碳达峰碳中和顶层设计和系统谋划，进一步明确各部门的职责分工，形成高位推进、协同联动的工作格局。定期开展工作调度、检查、督办各</w:t>
      </w:r>
      <w:r>
        <w:rPr>
          <w:rFonts w:hint="eastAsia" w:eastAsia="仿宋_GB2312" w:cs="Times New Roman"/>
          <w:sz w:val="32"/>
          <w:szCs w:val="22"/>
          <w:lang w:eastAsia="zh-CN"/>
        </w:rPr>
        <w:t>责任</w:t>
      </w:r>
      <w:r>
        <w:rPr>
          <w:rFonts w:eastAsia="仿宋_GB2312" w:cs="Times New Roman"/>
          <w:sz w:val="32"/>
          <w:szCs w:val="22"/>
        </w:rPr>
        <w:t>单位工作进展，确保各阶段任务有序推进。</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100" w:name="_Toc2068630240"/>
      <w:bookmarkStart w:id="101" w:name="_Toc12731"/>
      <w:bookmarkStart w:id="102" w:name="_Toc660149754"/>
      <w:bookmarkStart w:id="103" w:name="_Toc20574"/>
      <w:r>
        <w:rPr>
          <w:rFonts w:ascii="Times New Roman" w:hAnsi="Times New Roman" w:eastAsia="楷体_GB2312" w:cs="Times New Roman"/>
          <w:bCs w:val="0"/>
          <w:kern w:val="2"/>
          <w:sz w:val="32"/>
          <w:szCs w:val="32"/>
          <w:lang w:val="en-US" w:eastAsia="zh-CN" w:bidi="ar-SA"/>
        </w:rPr>
        <w:t>（二）政策支持</w:t>
      </w:r>
      <w:bookmarkEnd w:id="100"/>
      <w:bookmarkEnd w:id="101"/>
      <w:bookmarkEnd w:id="102"/>
      <w:bookmarkEnd w:id="103"/>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贯彻落实国家</w:t>
      </w:r>
      <w:r>
        <w:rPr>
          <w:rFonts w:hint="eastAsia" w:eastAsia="仿宋_GB2312" w:cs="Times New Roman"/>
          <w:sz w:val="32"/>
          <w:szCs w:val="22"/>
        </w:rPr>
        <w:t>及天津</w:t>
      </w:r>
      <w:r>
        <w:rPr>
          <w:rFonts w:eastAsia="仿宋_GB2312" w:cs="Times New Roman"/>
          <w:sz w:val="32"/>
          <w:szCs w:val="22"/>
        </w:rPr>
        <w:t>市能源领域法规政策，推动及时制定经开区配套政策。建立</w:t>
      </w:r>
      <w:r>
        <w:rPr>
          <w:rFonts w:hint="eastAsia" w:eastAsia="仿宋_GB2312" w:cs="Times New Roman"/>
          <w:sz w:val="32"/>
          <w:szCs w:val="22"/>
        </w:rPr>
        <w:t>经开区</w:t>
      </w:r>
      <w:r>
        <w:rPr>
          <w:rFonts w:eastAsia="仿宋_GB2312" w:cs="Times New Roman"/>
          <w:sz w:val="32"/>
          <w:szCs w:val="22"/>
        </w:rPr>
        <w:t>主导产业转型发展基金、绿色经济专项资金等节能减排专项资金，对可再生能源、分布式能源发展、能源节约和清洁能源利用等予以扶持。进一步加大促进能源尤其是清洁能源发展的资金、土地、金融、价格、人才引进以及应用推广、项目开发等政策支持力度，重点支持新型能源技术和重大能源技术装备的研发攻关、新能源开发利用等项目。</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104" w:name="_Toc16270"/>
      <w:bookmarkStart w:id="105" w:name="_Toc663289372"/>
      <w:bookmarkStart w:id="106" w:name="_Toc22776"/>
      <w:bookmarkStart w:id="107" w:name="_Toc810341856"/>
      <w:r>
        <w:rPr>
          <w:rFonts w:ascii="Times New Roman" w:hAnsi="Times New Roman" w:eastAsia="楷体_GB2312" w:cs="Times New Roman"/>
          <w:bCs w:val="0"/>
          <w:kern w:val="2"/>
          <w:sz w:val="32"/>
          <w:szCs w:val="32"/>
          <w:lang w:val="en-US" w:eastAsia="zh-CN" w:bidi="ar-SA"/>
        </w:rPr>
        <w:t>（三）资金保障</w:t>
      </w:r>
      <w:bookmarkEnd w:id="104"/>
      <w:bookmarkEnd w:id="105"/>
      <w:bookmarkEnd w:id="106"/>
      <w:bookmarkEnd w:id="107"/>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充分发挥财政资金引导作用，完善配套政策，积极争取中央、市级专项资金支持，健全政府和社会资本合作机制，落实资金保障。继续完善政府引导、市场运作、社会参与的多元投入机制，鼓励不同经济成分和各类投资主体以多种形式参与。拓展多元化投融资渠道，推动和引导金融机构积极创新，为碳达峰碳中和工作提供灵活多样的产品和服务。建立政府与社会资本利益共享、风险分担、长期合作关系。</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108" w:name="_Toc1772352678"/>
      <w:bookmarkStart w:id="109" w:name="_Toc9631"/>
      <w:bookmarkStart w:id="110" w:name="_Toc2032922588"/>
      <w:bookmarkStart w:id="111" w:name="_Toc31492"/>
      <w:r>
        <w:rPr>
          <w:rFonts w:ascii="Times New Roman" w:hAnsi="Times New Roman" w:eastAsia="楷体_GB2312" w:cs="Times New Roman"/>
          <w:bCs w:val="0"/>
          <w:kern w:val="2"/>
          <w:sz w:val="32"/>
          <w:szCs w:val="32"/>
          <w:lang w:val="en-US" w:eastAsia="zh-CN" w:bidi="ar-SA"/>
        </w:rPr>
        <w:t>（四）监督考评</w:t>
      </w:r>
      <w:bookmarkEnd w:id="108"/>
      <w:bookmarkEnd w:id="109"/>
      <w:bookmarkEnd w:id="110"/>
      <w:bookmarkEnd w:id="111"/>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落实以碳强度控制为主、碳排放总量控制为辅的制度，对能源消费和碳排放指标实行协同管理、协同分解、协同考核。制定年度碳达峰工作要点和重点项目清单，并据此对实施情况开展年度调度，对实施进度缓慢或指标未达到既定目标的进行督办。各</w:t>
      </w:r>
      <w:r>
        <w:rPr>
          <w:rFonts w:hint="eastAsia" w:eastAsia="仿宋_GB2312" w:cs="Times New Roman"/>
          <w:sz w:val="32"/>
          <w:szCs w:val="22"/>
        </w:rPr>
        <w:t>责任</w:t>
      </w:r>
      <w:r>
        <w:rPr>
          <w:rFonts w:eastAsia="仿宋_GB2312" w:cs="Times New Roman"/>
          <w:sz w:val="32"/>
          <w:szCs w:val="22"/>
        </w:rPr>
        <w:t>单位按任务分工开展本部门实施情况年度调度，重点调度评估负责的指标、年度目标完成情况及重点任务、工程项目等实施情况。加强监督评估结果应用，评估结果向管委会报告。</w:t>
      </w:r>
    </w:p>
    <w:p>
      <w:pPr>
        <w:keepNext/>
        <w:keepLines/>
        <w:overflowPunct w:val="0"/>
        <w:spacing w:line="560" w:lineRule="exact"/>
        <w:ind w:firstLine="640" w:firstLineChars="200"/>
        <w:jc w:val="both"/>
        <w:outlineLvl w:val="1"/>
        <w:rPr>
          <w:rFonts w:ascii="Times New Roman" w:hAnsi="Times New Roman" w:eastAsia="楷体_GB2312" w:cs="Times New Roman"/>
          <w:bCs w:val="0"/>
          <w:kern w:val="2"/>
          <w:sz w:val="32"/>
          <w:szCs w:val="32"/>
          <w:lang w:val="en-US" w:eastAsia="zh-CN" w:bidi="ar-SA"/>
        </w:rPr>
      </w:pPr>
      <w:bookmarkStart w:id="112" w:name="_Toc128652206"/>
      <w:bookmarkStart w:id="113" w:name="_Toc8449"/>
      <w:bookmarkStart w:id="114" w:name="_Toc14084"/>
      <w:bookmarkStart w:id="115" w:name="_Toc1543085712"/>
      <w:r>
        <w:rPr>
          <w:rFonts w:ascii="Times New Roman" w:hAnsi="Times New Roman" w:eastAsia="楷体_GB2312" w:cs="Times New Roman"/>
          <w:bCs w:val="0"/>
          <w:kern w:val="2"/>
          <w:sz w:val="32"/>
          <w:szCs w:val="32"/>
          <w:lang w:val="en-US" w:eastAsia="zh-CN" w:bidi="ar-SA"/>
        </w:rPr>
        <w:t>（五）宣传推广</w:t>
      </w:r>
      <w:bookmarkEnd w:id="112"/>
      <w:bookmarkEnd w:id="113"/>
      <w:bookmarkEnd w:id="114"/>
      <w:bookmarkEnd w:id="115"/>
    </w:p>
    <w:p>
      <w:pPr>
        <w:widowControl/>
        <w:overflowPunct w:val="0"/>
        <w:spacing w:line="560" w:lineRule="exact"/>
        <w:ind w:firstLine="640" w:firstLineChars="200"/>
        <w:rPr>
          <w:rFonts w:eastAsia="仿宋_GB2312" w:cs="Times New Roman"/>
          <w:sz w:val="32"/>
          <w:szCs w:val="22"/>
        </w:rPr>
      </w:pPr>
      <w:r>
        <w:rPr>
          <w:rFonts w:eastAsia="仿宋_GB2312" w:cs="Times New Roman"/>
          <w:sz w:val="32"/>
          <w:szCs w:val="22"/>
        </w:rPr>
        <w:t>在各类学校、企业、社区等场所组织开展各具特色的宣传教育活动，充分利用政务微博、政务微信、社交网络等新媒体，广泛宣传碳达峰碳中和基础知识和政策。组织好全国节能宣传周、节能低碳日、世界环境日等主题宣传活动。探索建设碳达峰碳中和主题科普</w:t>
      </w:r>
      <w:r>
        <w:rPr>
          <w:rFonts w:hint="eastAsia" w:eastAsia="仿宋_GB2312" w:cs="Times New Roman"/>
          <w:sz w:val="32"/>
          <w:szCs w:val="22"/>
        </w:rPr>
        <w:t>园地</w:t>
      </w:r>
      <w:r>
        <w:rPr>
          <w:rFonts w:eastAsia="仿宋_GB2312" w:cs="Times New Roman"/>
          <w:sz w:val="32"/>
          <w:szCs w:val="22"/>
        </w:rPr>
        <w:t>，推动碳达峰试点</w:t>
      </w:r>
      <w:r>
        <w:rPr>
          <w:rFonts w:hint="eastAsia" w:eastAsia="仿宋_GB2312" w:cs="Times New Roman"/>
          <w:sz w:val="32"/>
          <w:szCs w:val="22"/>
        </w:rPr>
        <w:t>建设</w:t>
      </w:r>
      <w:r>
        <w:rPr>
          <w:rFonts w:eastAsia="仿宋_GB2312" w:cs="Times New Roman"/>
          <w:sz w:val="32"/>
          <w:szCs w:val="22"/>
        </w:rPr>
        <w:t>工作更加深入人心，促进形成绿色低碳发展的良好氛围。</w:t>
      </w:r>
      <w:bookmarkEnd w:id="3"/>
    </w:p>
    <w:p>
      <w:pPr>
        <w:widowControl/>
        <w:overflowPunct w:val="0"/>
        <w:ind w:firstLine="0" w:firstLineChars="0"/>
        <w:rPr>
          <w:rFonts w:eastAsia="仿宋_GB2312" w:cs="Times New Roman"/>
          <w:sz w:val="32"/>
          <w:szCs w:val="22"/>
        </w:rPr>
      </w:pPr>
    </w:p>
    <w:p>
      <w:pPr>
        <w:spacing w:line="1140" w:lineRule="exact"/>
        <w:ind w:left="315" w:leftChars="150" w:right="315" w:rightChars="150"/>
        <w:rPr>
          <w:b w:val="0"/>
          <w:bCs/>
          <w:sz w:val="28"/>
        </w:rPr>
      </w:pPr>
    </w:p>
    <w:sectPr>
      <w:footerReference r:id="rId3" w:type="default"/>
      <w:footerReference r:id="rId4" w:type="even"/>
      <w:pgSz w:w="11906" w:h="16838"/>
      <w:pgMar w:top="2098" w:right="1474" w:bottom="1985" w:left="1588" w:header="851" w:footer="141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roman"/>
    <w:pitch w:val="default"/>
    <w:sig w:usb0="00000000" w:usb1="00000000" w:usb2="0000003F" w:usb3="00000000" w:csb0="603F01FF" w:csb1="FFFF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360" w:firstLine="360"/>
      <w:jc w:val="left"/>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140" w:firstLineChars="50"/>
      <w:rPr>
        <w:rFonts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attachedTemplate r:id="rId1"/>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 w:name="KSO_WPS_MARK_KEY" w:val="1b831c1e-33f8-4317-92a7-dd32fbfd3913"/>
  </w:docVars>
  <w:rsids>
    <w:rsidRoot w:val="00172A27"/>
    <w:rsid w:val="00015DBB"/>
    <w:rsid w:val="000266FA"/>
    <w:rsid w:val="000768E7"/>
    <w:rsid w:val="000C2DD1"/>
    <w:rsid w:val="000F1FE6"/>
    <w:rsid w:val="00110581"/>
    <w:rsid w:val="00172A27"/>
    <w:rsid w:val="00172B35"/>
    <w:rsid w:val="00176105"/>
    <w:rsid w:val="001C4C49"/>
    <w:rsid w:val="001D6B69"/>
    <w:rsid w:val="00211B2F"/>
    <w:rsid w:val="00247926"/>
    <w:rsid w:val="002571F0"/>
    <w:rsid w:val="002B1153"/>
    <w:rsid w:val="003529D9"/>
    <w:rsid w:val="0037420B"/>
    <w:rsid w:val="00401377"/>
    <w:rsid w:val="004263FB"/>
    <w:rsid w:val="00485472"/>
    <w:rsid w:val="004B4D29"/>
    <w:rsid w:val="004E00A8"/>
    <w:rsid w:val="00527D94"/>
    <w:rsid w:val="0055485E"/>
    <w:rsid w:val="0058314A"/>
    <w:rsid w:val="005C0B49"/>
    <w:rsid w:val="00652CFB"/>
    <w:rsid w:val="00665918"/>
    <w:rsid w:val="00693C64"/>
    <w:rsid w:val="007A1F87"/>
    <w:rsid w:val="007A2DD0"/>
    <w:rsid w:val="007C51D4"/>
    <w:rsid w:val="007E36B3"/>
    <w:rsid w:val="007F723E"/>
    <w:rsid w:val="008B2181"/>
    <w:rsid w:val="008D4A19"/>
    <w:rsid w:val="0094696E"/>
    <w:rsid w:val="009E5025"/>
    <w:rsid w:val="009E6B75"/>
    <w:rsid w:val="009F35C1"/>
    <w:rsid w:val="00AB1FC3"/>
    <w:rsid w:val="00AC5F3C"/>
    <w:rsid w:val="00B61931"/>
    <w:rsid w:val="00B76AC1"/>
    <w:rsid w:val="00BB1EBF"/>
    <w:rsid w:val="00BF28EE"/>
    <w:rsid w:val="00BF5CE9"/>
    <w:rsid w:val="00C112D9"/>
    <w:rsid w:val="00C23AEE"/>
    <w:rsid w:val="00CB0938"/>
    <w:rsid w:val="00CB4374"/>
    <w:rsid w:val="00E22C81"/>
    <w:rsid w:val="00E82CA0"/>
    <w:rsid w:val="00EA19EA"/>
    <w:rsid w:val="00EE737A"/>
    <w:rsid w:val="00F067B9"/>
    <w:rsid w:val="00F90867"/>
    <w:rsid w:val="00FE0AE0"/>
    <w:rsid w:val="00FF1FDB"/>
    <w:rsid w:val="00FF3B50"/>
    <w:rsid w:val="2BDFA5CC"/>
    <w:rsid w:val="36795ACA"/>
    <w:rsid w:val="3B6AB951"/>
    <w:rsid w:val="3E09145C"/>
    <w:rsid w:val="4502724F"/>
    <w:rsid w:val="51FBEC0A"/>
    <w:rsid w:val="57FF65A3"/>
    <w:rsid w:val="5FFDCAE4"/>
    <w:rsid w:val="6FFC6E15"/>
    <w:rsid w:val="7343BC3A"/>
    <w:rsid w:val="757B0C38"/>
    <w:rsid w:val="77F77F35"/>
    <w:rsid w:val="79DF6065"/>
    <w:rsid w:val="7BDF4E6A"/>
    <w:rsid w:val="7DFDEE31"/>
    <w:rsid w:val="7DFF86D1"/>
    <w:rsid w:val="7E9DE587"/>
    <w:rsid w:val="7FB7DDFA"/>
    <w:rsid w:val="7FFF03ED"/>
    <w:rsid w:val="BFB7FB83"/>
    <w:rsid w:val="BFBE7634"/>
    <w:rsid w:val="BFC34939"/>
    <w:rsid w:val="D23BDBE1"/>
    <w:rsid w:val="DBFBFADD"/>
    <w:rsid w:val="DF7F996B"/>
    <w:rsid w:val="EEDE7E57"/>
    <w:rsid w:val="EFF39541"/>
    <w:rsid w:val="EFFF193E"/>
    <w:rsid w:val="F5EEDAF0"/>
    <w:rsid w:val="F7D67E6A"/>
    <w:rsid w:val="FBDFDA85"/>
    <w:rsid w:val="FD7FBAF6"/>
    <w:rsid w:val="FED147A3"/>
    <w:rsid w:val="FF9BD04E"/>
    <w:rsid w:val="FFAE8D7A"/>
    <w:rsid w:val="FFDD649C"/>
    <w:rsid w:val="FFF71703"/>
    <w:rsid w:val="FFFEF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9"/>
    <w:pPr>
      <w:keepNext/>
      <w:keepLines/>
      <w:widowControl w:val="0"/>
      <w:suppressLineNumbers w:val="0"/>
      <w:overflowPunct w:val="0"/>
      <w:spacing w:before="0" w:beforeAutospacing="0" w:after="0" w:afterAutospacing="0"/>
      <w:ind w:left="0" w:right="0" w:firstLine="420" w:firstLineChars="200"/>
      <w:jc w:val="both"/>
      <w:outlineLvl w:val="0"/>
    </w:pPr>
    <w:rPr>
      <w:rFonts w:hint="eastAsia" w:ascii="等线" w:hAnsi="等线" w:eastAsia="黑体" w:cs="Times New Roman"/>
      <w:b/>
      <w:kern w:val="44"/>
      <w:sz w:val="32"/>
      <w:szCs w:val="32"/>
      <w:lang w:val="en-US" w:eastAsia="zh-CN" w:bidi="ar"/>
    </w:rPr>
  </w:style>
  <w:style w:type="paragraph" w:styleId="4">
    <w:name w:val="heading 2"/>
    <w:basedOn w:val="1"/>
    <w:next w:val="1"/>
    <w:unhideWhenUsed/>
    <w:qFormat/>
    <w:uiPriority w:val="9"/>
    <w:pPr>
      <w:keepNext/>
      <w:keepLines/>
      <w:widowControl w:val="0"/>
      <w:suppressLineNumbers w:val="0"/>
      <w:overflowPunct w:val="0"/>
      <w:spacing w:before="0" w:beforeAutospacing="0" w:after="0" w:afterAutospacing="0"/>
      <w:ind w:left="0" w:right="0" w:firstLine="200" w:firstLineChars="200"/>
      <w:jc w:val="both"/>
      <w:outlineLvl w:val="1"/>
    </w:pPr>
    <w:rPr>
      <w:rFonts w:hint="default" w:ascii="Times New Roman" w:hAnsi="Times New Roman" w:eastAsia="楷体_GB2312" w:cs="Times New Roman"/>
      <w:b/>
      <w:kern w:val="2"/>
      <w:sz w:val="32"/>
      <w:szCs w:val="32"/>
      <w:lang w:val="en-US" w:eastAsia="zh-CN" w:bidi="ar"/>
    </w:rPr>
  </w:style>
  <w:style w:type="paragraph" w:styleId="5">
    <w:name w:val="heading 3"/>
    <w:basedOn w:val="1"/>
    <w:next w:val="1"/>
    <w:unhideWhenUsed/>
    <w:qFormat/>
    <w:uiPriority w:val="9"/>
    <w:pPr>
      <w:keepNext/>
      <w:keepLines/>
      <w:widowControl w:val="0"/>
      <w:suppressLineNumbers w:val="0"/>
      <w:overflowPunct w:val="0"/>
      <w:spacing w:before="0" w:beforeAutospacing="0" w:after="0" w:afterAutospacing="0"/>
      <w:ind w:left="0" w:right="0" w:firstLine="200" w:firstLineChars="200"/>
      <w:jc w:val="both"/>
      <w:outlineLvl w:val="2"/>
    </w:pPr>
    <w:rPr>
      <w:rFonts w:hint="default" w:ascii="Times New Roman" w:hAnsi="Times New Roman" w:eastAsia="仿宋_GB2312" w:cs="Times New Roman"/>
      <w:b/>
      <w:kern w:val="2"/>
      <w:sz w:val="32"/>
      <w:szCs w:val="32"/>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szCs w:val="20"/>
    </w:rPr>
  </w:style>
  <w:style w:type="paragraph" w:styleId="6">
    <w:name w:val="Normal Indent"/>
    <w:basedOn w:val="1"/>
    <w:next w:val="1"/>
    <w:qFormat/>
    <w:uiPriority w:val="0"/>
    <w:pPr>
      <w:ind w:firstLine="420" w:firstLineChars="200"/>
    </w:pPr>
  </w:style>
  <w:style w:type="paragraph" w:styleId="7">
    <w:name w:val="Salutation"/>
    <w:basedOn w:val="1"/>
    <w:next w:val="1"/>
    <w:qFormat/>
    <w:uiPriority w:val="0"/>
    <w:rPr>
      <w:rFonts w:ascii="仿宋_GB2312" w:hAnsi="宋体" w:eastAsia="仿宋_GB2312"/>
      <w:color w:val="000000"/>
      <w:sz w:val="28"/>
      <w:szCs w:val="28"/>
      <w:lang w:val="en-GB"/>
    </w:rPr>
  </w:style>
  <w:style w:type="paragraph" w:styleId="8">
    <w:name w:val="Closing"/>
    <w:basedOn w:val="1"/>
    <w:qFormat/>
    <w:uiPriority w:val="0"/>
    <w:pPr>
      <w:ind w:left="100" w:leftChars="2100"/>
    </w:pPr>
    <w:rPr>
      <w:rFonts w:ascii="仿宋_GB2312" w:hAnsi="宋体" w:eastAsia="仿宋_GB2312"/>
      <w:color w:val="000000"/>
      <w:sz w:val="28"/>
      <w:szCs w:val="28"/>
      <w:lang w:val="en-GB"/>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character" w:styleId="16">
    <w:name w:val="page number"/>
    <w:basedOn w:val="15"/>
    <w:qFormat/>
    <w:uiPriority w:val="0"/>
  </w:style>
  <w:style w:type="paragraph" w:customStyle="1" w:styleId="17">
    <w:name w:val="_Style 5"/>
    <w:basedOn w:val="1"/>
    <w:qFormat/>
    <w:uiPriority w:val="0"/>
  </w:style>
  <w:style w:type="paragraph" w:customStyle="1" w:styleId="18">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opt\kingsoft\wps-office\office6\C:\home\kylin\C:\Users\vipsm\Desktop\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1397</Words>
  <Characters>1451</Characters>
  <Lines>1</Lines>
  <Paragraphs>1</Paragraphs>
  <TotalTime>209</TotalTime>
  <ScaleCrop>false</ScaleCrop>
  <LinksUpToDate>false</LinksUpToDate>
  <CharactersWithSpaces>1557</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2021-01-18T06:19:00Z</dcterms:created>
  <dc:creator>张殿武</dc:creator>
  <cp:lastModifiedBy>kylin</cp:lastModifiedBy>
  <cp:lastPrinted>2012-09-07T01:44:00Z</cp:lastPrinted>
  <dcterms:modified xsi:type="dcterms:W3CDTF">2025-12-24T13:38:28Z</dcterms:modified>
  <dc:title>000001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2151E163491F2E5D725EA467A7800464</vt:lpwstr>
  </property>
</Properties>
</file>