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天津市滨海新区人民政府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印发《关于支持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滨城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”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核心区于家堡—响螺湾地区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高质量发展的若干意见》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的通知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各开发区管委会,各委局、各街镇、各单位：</w:t>
      </w:r>
    </w:p>
    <w:p>
      <w:pPr>
        <w:pStyle w:val="5"/>
        <w:spacing w:line="600" w:lineRule="exact"/>
        <w:ind w:left="0" w:leftChars="0" w:firstLine="621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现将《</w:t>
      </w:r>
      <w:r>
        <w:rPr>
          <w:rFonts w:hint="eastAsia" w:eastAsia="仿宋_GB2312"/>
          <w:sz w:val="32"/>
          <w:szCs w:val="32"/>
        </w:rPr>
        <w:t>关于支持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</w:rPr>
        <w:t>滨城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</w:rPr>
        <w:t>核心区于家堡—响螺湾地区高质量发展的若干意见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》印发给你们，望遵照执行。</w:t>
      </w: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pStyle w:val="2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天津市滨海新区人民政府</w:t>
      </w:r>
    </w:p>
    <w:p>
      <w:pPr>
        <w:pStyle w:val="2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（此件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主动公开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</w:pPr>
    </w:p>
    <w:p>
      <w:pPr>
        <w:spacing w:line="6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关于支持</w: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haracter">
                  <wp:posOffset>342265</wp:posOffset>
                </wp:positionH>
                <wp:positionV relativeFrom="line">
                  <wp:posOffset>48260</wp:posOffset>
                </wp:positionV>
                <wp:extent cx="5715" cy="19685"/>
                <wp:effectExtent l="0" t="0" r="0" b="0"/>
                <wp:wrapNone/>
                <wp:docPr id="1040" name="Image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040" name="Image1"/>
                            <w14:cNvContentPartPr/>
                          </w14:nvContentPartPr>
                          <w14:xfrm>
                            <a:off x="0" y="0"/>
                            <a:ext cx="5504" cy="1956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mage1" o:spid="_x0000_s1026" o:spt="75" style="position:absolute;left:0pt;margin-left:26.95pt;margin-top:3.8pt;height:1.55pt;width:0.45pt;mso-position-horizontal-relative:char;mso-position-vertical-relative:line;z-index:1024;mso-width-relative:page;mso-height-relative:page;" coordsize="21600,21600" o:gfxdata="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">
                <v:imagedata r:id="rId7" o:title=""/>
                <o:lock v:ext="edit"/>
              </v:shape>
            </w:pict>
          </mc:Fallback>
        </mc:AlternateContent>
      </w:r>
      <w:r>
        <w:rPr>
          <w:rFonts w:hint="eastAsia" w:eastAsia="方正小标宋简体"/>
          <w:sz w:val="44"/>
          <w:szCs w:val="44"/>
          <w:lang w:eastAsia="zh-CN"/>
        </w:rPr>
        <w:t>“</w:t>
      </w:r>
      <w:r>
        <w:rPr>
          <w:rFonts w:eastAsia="方正小标宋简体"/>
          <w:sz w:val="44"/>
          <w:szCs w:val="44"/>
        </w:rPr>
        <w:t>滨城</w:t>
      </w:r>
      <w:r>
        <w:rPr>
          <w:rFonts w:hint="eastAsia" w:eastAsia="方正小标宋简体"/>
          <w:sz w:val="44"/>
          <w:szCs w:val="44"/>
          <w:lang w:eastAsia="zh-CN"/>
        </w:rPr>
        <w:t>”</w:t>
      </w:r>
      <w:r>
        <w:rPr>
          <w:rFonts w:eastAsia="方正小标宋简体"/>
          <w:sz w:val="44"/>
          <w:szCs w:val="44"/>
        </w:rPr>
        <w:t>核心区于家堡—响螺湾片区</w:t>
      </w:r>
    </w:p>
    <w:p>
      <w:pPr>
        <w:spacing w:line="6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高质量发展的若干意见</w:t>
      </w:r>
    </w:p>
    <w:p>
      <w:pPr>
        <w:spacing w:line="600" w:lineRule="exact"/>
        <w:rPr>
          <w:kern w:val="0"/>
          <w:sz w:val="32"/>
          <w:szCs w:val="22"/>
        </w:rPr>
      </w:pPr>
    </w:p>
    <w:p>
      <w:pPr>
        <w:ind w:firstLine="71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为加快推动新时代美丽“滨城”建设，高质量发展于家堡—响螺湾片区（以下简称“于响”片区），以最高标准、最优政策、最强干劲进一步激发“二次创业”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奋斗激情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，滨海新区举全区之力，聚焦“于响”片区6.1平方公里，打造新时代美丽“滨城”核心区升级版，制定如下意见。</w:t>
      </w:r>
    </w:p>
    <w:p>
      <w:pPr>
        <w:pStyle w:val="14"/>
        <w:ind w:firstLine="712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一、发展定位和目标</w:t>
      </w:r>
    </w:p>
    <w:p>
      <w:pPr>
        <w:ind w:firstLine="71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重点发展科创基地、现代金融、新经济、新商贸、新航运等新型业态，打造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城市客厅、现代金融中心、新经济总部基地。</w:t>
      </w:r>
    </w:p>
    <w:p>
      <w:pPr>
        <w:ind w:firstLine="71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到2025年，年均GDP增速不低于20%，就业人口达到10万人以上。</w:t>
      </w:r>
    </w:p>
    <w:p>
      <w:pPr>
        <w:pStyle w:val="14"/>
        <w:ind w:firstLine="712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二、产业发展支持</w:t>
      </w:r>
    </w:p>
    <w:p>
      <w:pPr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3．支持科创基地建设。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承担国家和天津市各项称号及重大项目的科创企业予以支持；对新注册或迁入的具有自主研发能力并开展研发、生产经营活动的科技型企业予以补贴；对符合条件的国家级、市级企业孵化器和重点企事业单位打造的孵化载体予以支持。</w:t>
      </w:r>
    </w:p>
    <w:p>
      <w:pPr>
        <w:ind w:firstLine="715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4．支持新经济总部基地建设。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对新经济总部龙头企业给予专项支持。加快建设国家数字经济创新开放高地、国家数字服务出口示范基地，对新引入的数字服务企业予以支持。</w:t>
      </w:r>
    </w:p>
    <w:p>
      <w:pPr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5．支持现代金融中心建设。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引导持牌金融机构法人总部、区域总部、基金管理公司、商业保理公司等符合发展方向的机构集聚，并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支持；引导未在本地经营的地方金融机构“回流”；支持泰达金融中心法庭建设，争取成为第一审涉金融案件指定管辖法庭。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6．支持会展经济发展。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给予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不少于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亿元的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资金支持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鼓励主办或承办各类国家级市区级会议、大型行业头部会议和科技学术论坛、商业商务论坛等国内外顶级峰会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逐步扩大“滨城”会客厅品牌效应。</w:t>
      </w:r>
    </w:p>
    <w:p>
      <w:pPr>
        <w:ind w:firstLine="715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7．支持产教融合发展。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深化与高等院校的合作关系，共建分校分院和实践基地，鼓励人工智能、海洋经济、数字经济等新兴学科及未来产业研究院所落地。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8．持续完善营商环境。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开展集群注册创新，积极争取与税务部门畅通数据共享互通途径，进一步提高企业入驻审批效率。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鼓励金融支撑服务机构、各类结算中心、财务中心、交易中心、定价中心汇聚。引导会计、专利、登记、评级等生产性服务业企业和咨询机构、行业协会、中介组织等机构在“于响”片区聚集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9．给予办公用房支持。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新引进企业在“于响”片区内购置或租赁自用办公用房的，经认定，予以一定支持。</w:t>
      </w:r>
    </w:p>
    <w:p>
      <w:pPr>
        <w:pStyle w:val="14"/>
        <w:ind w:firstLine="712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三、规划建设创新支持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10．开展规划优化调整。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按照产城融合、职住娱平衡、服务“食用住行教文卫体娱”九大高品质生活的原则，开展规划定位研究，优先启动于家堡区域控规修改和城市设计工作，新增部分居住功能，纳入国土空间规划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区发展、生活服务业等专项规划。推行TOD一体化开发，将垂直绿化纳入地块和区域绿地率计算，积极推行综合管廊和慢行系统网络化建设，对停车、绿地配建等规划指标可进行区域整体平衡（纯居住用地除外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统筹各级交通道路规划，推进道路、停车和交通智慧化数字化管理。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11．鼓励土地高效复合利用。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允许单宗土地采取水平与垂直等多种方式相结合的混合用地模式，整体纳入新型产业用地（M0）适用范围。</w:t>
      </w:r>
    </w:p>
    <w:p>
      <w:pPr>
        <w:ind w:firstLine="715"/>
        <w:rPr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12．降低能源使用成本。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制定酒店型公寓享受民水、民电、民热有关政策细则，对满足条件的酒店型公寓执行水、电、热居民用户价格。</w:t>
      </w:r>
    </w:p>
    <w:p>
      <w:pPr>
        <w:pStyle w:val="14"/>
        <w:ind w:firstLine="712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四、城市更新、资产盘活支持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13．支持盘活存量土地。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在满足区域配套和市政承载力等方面要求的前提下，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对已出让土地的建筑属性、土地用途和控规进行调整，并参照城市更新有关政策执行。</w:t>
      </w:r>
    </w:p>
    <w:p>
      <w:pPr>
        <w:ind w:firstLine="715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．支持打造各类“主题楼宇”。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动央企、国企、行政事业单位、总部机构等集中到“于响”片区办公；聚焦京津冀协同发展重大国家战略，争取国家及天津市支持，先行试点鼓励疏解至新区的央企、国企新建或购买办公楼宇，打造企业主题楼宇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鼓励新区各开发区、街镇围绕“于响”片区主导产业开展“飞地招商”合作，打造区域主题楼宇。</w:t>
      </w:r>
    </w:p>
    <w:p>
      <w:pPr>
        <w:ind w:firstLine="715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．鼓励商务楼宇自主招商。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落实楼宇开发系列政策，对各商务楼宇引入的天津市以外的落户企业，一定年限内由经开区给予商务楼宇开发主体支持。</w:t>
      </w:r>
    </w:p>
    <w:p>
      <w:pPr>
        <w:pStyle w:val="14"/>
        <w:ind w:firstLine="712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五、人口人才导入支持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．支持企业引进研发人才。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鼓励科技型企业引进中高端研发人才落户，对于上年度成功引进10名（含）以上专职研发人员入职的科技型企业给予一定支持。</w:t>
      </w:r>
    </w:p>
    <w:p>
      <w:pPr>
        <w:ind w:firstLine="715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．支持人才便捷落户。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经济社会发展作出突出贡献的企业员工和先进个人，经经开区管委会认定后，可按照“服务发展、特事特办”原则直接落户。购买“于响”片区非住宅公寓的居民，符合条件的，户籍可直接迁至名下公寓，配偶、未成年子女投靠落户，积极探索“于响”片区“租售同权”政策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．提升国际人才导入便利化水平。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对符合条件的，经滨海新区入境的外籍人员，积极争取过境或往返免办签证，可在滨海新区行政区域内停留144小时。</w:t>
      </w:r>
    </w:p>
    <w:p>
      <w:pPr>
        <w:ind w:firstLine="715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．支持“京津人才”双城通勤。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“于响”快线，定制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天津市区至“于响”片区专线，对北京转移来津项目创业人才（股东）双城通勤费予以资金补贴。为应届求职毕业生提供15天的“于响求职公寓”免租支持。</w:t>
      </w:r>
    </w:p>
    <w:p>
      <w:pPr>
        <w:ind w:firstLine="715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．支持人才持续发展。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围绕产业需求积极推进职称评价制度改革；鼓励校企订单式培养人才，支持高校通过“定制班”等方式，实施在岗人员继续教育双元制培训计划，提升在岗人员学历水平和职业能力；探索多主体参与办学的职业大学建设和产教融合发展。</w:t>
      </w:r>
    </w:p>
    <w:p>
      <w:pPr>
        <w:pStyle w:val="14"/>
        <w:ind w:firstLine="712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六、基础设施配套支持</w:t>
      </w:r>
    </w:p>
    <w:p>
      <w:pPr>
        <w:pStyle w:val="14"/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．支持用好金融工具推动重点基础设施项目建设。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争取各级专项资金支持，统筹存量资产盘活，用好REITs、政府和社会资本合作（PPP）、地方政府专项债券、EOD等多种投融资手段，多渠道吸引资本参与重点基础设施项目建设和经营。</w:t>
      </w:r>
    </w:p>
    <w:p>
      <w:pPr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．加快重点交通基础设施项目建设。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大交通体系，推动京滨城际、津潍高铁新区段建设（2027年建成）；构建立体交通体系，建成轨道交通B1、Z2、Z4线，谋划轨道交通Z1线建设；实施新基建，加快道路、桥梁及配套市政基础设施的智能化改造，提高车路网协同发展能力。</w:t>
      </w:r>
    </w:p>
    <w:p>
      <w:pPr>
        <w:pStyle w:val="14"/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．支持建设公共交通体系。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建设以轨道交通为骨架的公共交通服务体系，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提升城市公交系统覆盖面，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创新公交服务模式，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开通市区通勤专线，提升综合交通多元服务水平。</w:t>
      </w:r>
    </w:p>
    <w:p>
      <w:pPr>
        <w:pStyle w:val="14"/>
        <w:ind w:firstLine="712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七、社会事业配套支持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．支持集团化教育发展。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支持耀华中学、华东附校、岳阳道小学、于家堡幼儿园等教育资源集团化建设运营。义务教育面向“于响”片区为主的经开区范围招生，高中教育面向滨城全域招生。提升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高中阶段学位比重，片区内高中独立面向本区域设置招生计划。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．鼓励民办教育发展。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在学前教育阶段，支持建设学前教育优质多元示范区，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统筹考虑区域内普惠性幼儿园布局规划，依需引进知名的学前教育机构到“于响”片区开办民办幼儿园，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教费采取市场定价，对“于响”片区内居民给予适度学前教育补贴。支持楼宇内设置多轨制幼儿园及托幼机构。在义务教育阶段，“于响”片区居民子女有意愿接受民办中小学校教育的，可申请泰达街区域的民办中小学。</w:t>
      </w:r>
    </w:p>
    <w:p>
      <w:pPr>
        <w:pStyle w:val="2"/>
        <w:widowControl w:val="0"/>
        <w:adjustRightInd w:val="0"/>
        <w:snapToGrid w:val="0"/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．推动教育国际化发展。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“于响”片区内持外籍永久居留证的适龄儿童、具有“一带一路”沿线国家居住证明的适龄儿童，可申请开发区国际学校，鼓励面向全国招收国际学生。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．支持社区教育发展。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设立“高端教育人才服务中心”，形成高端教育人才招聘常态化工作机制，鼓励对“于响”片区内居民提供高水平社区教育、高水平文化体育教育、高水平职业教育和高水平老年教育。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．提升医疗卫生服务水平。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支持引进国际化医疗康养机构，推动泰达医院、泰达国际心血管病医院与“于响”片区社区卫生服务中心形成紧密型区域医疗联合体，设置区域健康管理中心，打造全生命周期的健康服务泰达样板。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．打造滨城国际消费城市核心区。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打造“滨城”城市名片，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量身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定制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系列特色活动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。以茱莉亚音乐学院为依托，建设“中外音乐交流会”永久会址，让音乐音符联通世界、彰显滨城。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办好泰达夏日艺术季、泰达马拉松、泰达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灯会、潮音庙会等特色活动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打造海河“于响”特色夜经济带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，举办啤酒节、城市电竞比赛等活动，点旺城市烟火气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引入专业化运营企业，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围绕塘沽南站-茱莉亚学院、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新区文化中心-紫云公园、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潮音寺-大沽船坞、水线渡口-亚细亚火油库等文化遗产，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海河两岸文旅商娱要素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集成运营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pStyle w:val="14"/>
        <w:ind w:firstLine="712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八、创新创业支持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．支持投资自由。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跨境投融资综合服务中心建设，搭建对接国际经贸规则的跨境投融资平台。鼓励支持“于响”片区在融资租赁、私募股权基金交易、要素交易市场建设及供应链金融发展等方面深化创新。设立“泰达预备板”和上市企业梯次引育体系，支持区域性股权市场与沪深北交易所转板联动，激活区域直接融资市场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．支持贸易自由。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支持“于响”片区诚信企业申报离岸贸易“白名单”，以自律机制为依托，享受快捷、优质离岸贸易服务，支持离岸贸易业务常态化开展。</w:t>
      </w:r>
    </w:p>
    <w:p>
      <w:pPr>
        <w:ind w:firstLine="715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．支持人员自由。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支持“于响”片区提升人员流动自由，探索实施重点产业人才国际职业资格和执业资格比照认定。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．支持金融自由。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提升资金便利化程度，扩大FT账户使用效能，推动QFLP基金照前考察和注册登记手续便利化，争取扩大QFLP基金资本金结汇使用范围。争取“天津商业保理创新发展基地”政策外溢复制至“于响”区域，支持开展跨境外币商业保理和离岸保理业务。推动跨境人民币保理业务批量试单，优化业务流程。</w:t>
      </w:r>
    </w:p>
    <w:p>
      <w:pPr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．支持数据安全有序流动。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托国家数字服务出口基地，完善支持数据安全有序流动的配套制度，升级数字贸易平台，推动数据服务贸易与数据交易的创新发展，支持通过数字服务带动贸易业态升级和模式创新，促进互联网医疗、网络直播、网络货运、大数据交易等新型业态发展。</w:t>
      </w:r>
    </w:p>
    <w:p>
      <w:pPr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．营造创新创业活动氛围。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社会征集“于响”片区标志性活动，给予一定支持。支持将“于响”片区作为“创青春”和其它知名创业大赛永久决赛场和组委会永久办公地点。积极参与或承办国际级、国家级、市级创新创业大赛以及高校举办的各类竞赛，给予一定支持。对大赛获奖和入围决赛且落户的项目，给予一定支持。支持产业人才联盟、滨城人力资源产业园、海外人才离岸创新创业基地、国际国内商会协会等开辟新项目，扩大人才“朋友圈”，激发创新创业的思想火花。加大宣传推介力度，组织开展学子“于响”行、海外英才看“于响”、滨城人才日等活动，增加“于响”片区人气。</w:t>
      </w:r>
    </w:p>
    <w:p>
      <w:pPr>
        <w:ind w:firstLine="715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．提供创新创业资金支持。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创新创业发展基金，为引进初创项目、培育成长企业、转化科研成果以及创新创业风险补偿提供资金支持。为创业项目提供创业贷款支持，以创业者名义可享受一定额度两年免息贷款；以企业名义可享受两年一定额度贴息贷款。为创业项目提供租住支持，对入住“于响”片区楼宇特定创业人群给予每月一定额度的创业房租补贴。鼓励符合条件的支持单位通过科技创新券政策运用科技创新资源，降低一定的购买服务成本。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龙头企业和重点院校打造的创新创业培育中心、成果转化平台等，视情况给予支持。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发挥滨城人力资源服务产业园的服务引导作用，由园内企业为“于响”创业企业提供服务的，创业企业可享受人才服务券支持。</w:t>
      </w:r>
    </w:p>
    <w:p>
      <w:pPr>
        <w:ind w:firstLine="7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．探索完善创新创业政策保障。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创新积分制改革，为企业创新提供全方位支持。在政务服务大厅设立于响创新创业一站式代办专窗，在6小时内完成新创业项目的注册审批手续，12小时内帮助初创企业获得创业政策支持。扩大人才服务证的供应商范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将符合条件的“于响”片区商品房纳入“滨城人才服务证”供应体系，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打造集人才服务证、海河英才之家会员卡、“于响”片区专属人才住房政策于一体的“一卡通礼包”，为创业者提供支持。</w:t>
      </w:r>
    </w:p>
    <w:p>
      <w:pPr>
        <w:pStyle w:val="14"/>
        <w:ind w:firstLine="712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九、财政税收支持</w:t>
      </w:r>
    </w:p>
    <w:p>
      <w:pPr>
        <w:pStyle w:val="14"/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．设置“于响”片区专项扶持资金。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2023年1月1日起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年内，在滨海新区高质量发展专项资金中专列扶持资金，对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“于响”片区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范围内新引入主导产业产生的留区税收，全部用于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“于响”片区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产业培育和发展建设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pStyle w:val="14"/>
        <w:ind w:firstLine="71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十、组织保障支持</w:t>
      </w:r>
    </w:p>
    <w:p>
      <w:pPr>
        <w:pStyle w:val="15"/>
        <w:ind w:firstLine="71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．强化组织领导。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党的领导，在区委、区政府统一领导下，成立“于响”片区高质量发展工作领导小组，由区政府主要领导担任组长，经开区主要领导和新区相关副区长担任副组长，压茬推进各项政策落地。各项政策责任单位主要负责同志亲自推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每幢楼宇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明确1个部门专门负责落实。实施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包保楼宇制度，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区领导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经开区管委会领导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定向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包保楼宇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推动各类产业要素集聚楼宇，促进楼宇盘活。</w:t>
      </w: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pStyle w:val="2"/>
        <w:rPr>
          <w:rFonts w:ascii="黑体" w:hAnsi="宋体" w:eastAsia="黑体"/>
          <w:sz w:val="32"/>
          <w:szCs w:val="32"/>
        </w:rPr>
      </w:pPr>
    </w:p>
    <w:p>
      <w:pPr>
        <w:spacing w:line="2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2E4F"/>
    <w:rsid w:val="5BCFF8B0"/>
    <w:rsid w:val="7CD70EF9"/>
    <w:rsid w:val="7F3F4B46"/>
    <w:rsid w:val="7FAF7849"/>
    <w:rsid w:val="7FE98CC9"/>
    <w:rsid w:val="B77E39CD"/>
    <w:rsid w:val="B78B1174"/>
    <w:rsid w:val="DBA7107F"/>
    <w:rsid w:val="F17EC848"/>
    <w:rsid w:val="FAFF5BFD"/>
    <w:rsid w:val="FEF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spacing w:after="12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4">
    <w:name w:val="List Paragraph_5fb6e614-bd24-4156-ae6a-acf3b265f801"/>
    <w:basedOn w:val="1"/>
    <w:qFormat/>
    <w:uiPriority w:val="34"/>
    <w:pPr>
      <w:ind w:firstLine="420" w:firstLineChars="200"/>
    </w:pPr>
  </w:style>
  <w:style w:type="paragraph" w:customStyle="1" w:styleId="15">
    <w:name w:val="0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2.84167" units="1/cm"/>
        </inkml:channelProperties>
      </inkml:inkSource>
      <inkml:timestamp xml:id="ts0" timeString="2023-01-06T16:51:42"/>
    </inkml:context>
    <inkml:brush xml:id="br1">
      <inkml:brushProperty name="width" value="0.01984375" units="cm"/>
      <inkml:brushProperty name="height" value="0.01984375" units="cm"/>
      <inkml:brushProperty name="color" value="#000000"/>
      <inkml:brushProperty name="fitToCurve" value="true"/>
    </inkml:brush>
  </inkml:definitions>
  <inkml:trace contextRef="#ctx0" brushRef="#br1">5235 25218 874,'12'-40'-110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5910</Words>
  <Characters>6000</Characters>
  <Paragraphs>107</Paragraphs>
  <TotalTime>3</TotalTime>
  <ScaleCrop>false</ScaleCrop>
  <LinksUpToDate>false</LinksUpToDate>
  <CharactersWithSpaces>6026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2022-01-25T08:29:00Z</dcterms:created>
  <dc:creator>张殿武</dc:creator>
  <cp:lastModifiedBy>kylin</cp:lastModifiedBy>
  <cp:lastPrinted>2012-09-05T06:13:00Z</cp:lastPrinted>
  <dcterms:modified xsi:type="dcterms:W3CDTF">2023-02-08T15:13:05Z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