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F75" w:rsidRPr="00464F75" w:rsidRDefault="00464F75" w:rsidP="00464F75">
      <w:pPr>
        <w:jc w:val="left"/>
        <w:rPr>
          <w:rFonts w:ascii="宋体" w:hAnsi="宋体" w:cs="宋体" w:hint="eastAsia"/>
          <w:b/>
          <w:bCs/>
          <w:sz w:val="32"/>
          <w:szCs w:val="44"/>
        </w:rPr>
      </w:pPr>
      <w:r w:rsidRPr="00464F75">
        <w:rPr>
          <w:rFonts w:ascii="宋体" w:hAnsi="宋体" w:cs="宋体" w:hint="eastAsia"/>
          <w:b/>
          <w:bCs/>
          <w:sz w:val="32"/>
          <w:szCs w:val="44"/>
        </w:rPr>
        <w:t>附件1</w:t>
      </w:r>
    </w:p>
    <w:p w:rsidR="00464F75" w:rsidRDefault="00464F75" w:rsidP="00464F75">
      <w:pPr>
        <w:jc w:val="center"/>
        <w:rPr>
          <w:rFonts w:ascii="宋体" w:hAnsi="宋体" w:cs="宋体" w:hint="eastAsia"/>
          <w:b/>
          <w:bCs/>
          <w:sz w:val="44"/>
          <w:szCs w:val="44"/>
        </w:rPr>
      </w:pPr>
      <w:r>
        <w:rPr>
          <w:rFonts w:ascii="宋体" w:hAnsi="宋体" w:cs="宋体" w:hint="eastAsia"/>
          <w:b/>
          <w:bCs/>
          <w:sz w:val="44"/>
          <w:szCs w:val="44"/>
        </w:rPr>
        <w:t>天津市规划资源局滨海分局</w:t>
      </w:r>
    </w:p>
    <w:p w:rsidR="00464F75" w:rsidRPr="006A4EA9" w:rsidRDefault="00464F75" w:rsidP="006A4EA9">
      <w:pPr>
        <w:jc w:val="center"/>
        <w:rPr>
          <w:rFonts w:ascii="宋体" w:hAnsi="宋体" w:cs="宋体" w:hint="eastAsia"/>
          <w:b/>
          <w:bCs/>
          <w:sz w:val="44"/>
          <w:szCs w:val="44"/>
        </w:rPr>
      </w:pPr>
      <w:r>
        <w:rPr>
          <w:rFonts w:ascii="宋体" w:hAnsi="宋体" w:cs="宋体" w:hint="eastAsia"/>
          <w:b/>
          <w:bCs/>
          <w:sz w:val="44"/>
          <w:szCs w:val="44"/>
        </w:rPr>
        <w:t>“双随机</w:t>
      </w:r>
      <w:proofErr w:type="gramStart"/>
      <w:r>
        <w:rPr>
          <w:rFonts w:ascii="宋体" w:hAnsi="宋体" w:cs="宋体" w:hint="eastAsia"/>
          <w:b/>
          <w:bCs/>
          <w:sz w:val="44"/>
          <w:szCs w:val="44"/>
        </w:rPr>
        <w:t>一</w:t>
      </w:r>
      <w:proofErr w:type="gramEnd"/>
      <w:r>
        <w:rPr>
          <w:rFonts w:ascii="宋体" w:hAnsi="宋体" w:cs="宋体" w:hint="eastAsia"/>
          <w:b/>
          <w:bCs/>
          <w:sz w:val="44"/>
          <w:szCs w:val="44"/>
        </w:rPr>
        <w:t>公开”监管工作制度</w:t>
      </w:r>
    </w:p>
    <w:p w:rsidR="00464F75" w:rsidRDefault="00464F75" w:rsidP="00464F75">
      <w:pPr>
        <w:ind w:left="643"/>
        <w:rPr>
          <w:rFonts w:ascii="宋体" w:hAnsi="宋体" w:cs="宋体" w:hint="eastAsia"/>
          <w:b/>
          <w:sz w:val="32"/>
          <w:szCs w:val="32"/>
        </w:rPr>
      </w:pPr>
      <w:r>
        <w:rPr>
          <w:rFonts w:ascii="宋体" w:hAnsi="宋体" w:cs="宋体" w:hint="eastAsia"/>
          <w:b/>
          <w:sz w:val="32"/>
          <w:szCs w:val="32"/>
        </w:rPr>
        <w:t>一、总则</w:t>
      </w:r>
    </w:p>
    <w:p w:rsidR="00464F75" w:rsidRDefault="00464F75" w:rsidP="00464F75">
      <w:pPr>
        <w:widowControl/>
        <w:spacing w:line="600" w:lineRule="exact"/>
        <w:ind w:firstLineChars="200" w:firstLine="640"/>
        <w:rPr>
          <w:rFonts w:ascii="仿宋" w:eastAsia="仿宋" w:hAnsi="仿宋" w:cs="仿宋" w:hint="eastAsia"/>
          <w:snapToGrid w:val="0"/>
          <w:kern w:val="0"/>
          <w:sz w:val="32"/>
          <w:szCs w:val="32"/>
          <w:shd w:val="clear" w:color="auto" w:fill="FFFFFF"/>
        </w:rPr>
      </w:pPr>
      <w:r>
        <w:rPr>
          <w:rFonts w:ascii="仿宋" w:eastAsia="仿宋" w:hAnsi="仿宋" w:cs="仿宋" w:hint="eastAsia"/>
          <w:snapToGrid w:val="0"/>
          <w:kern w:val="0"/>
          <w:sz w:val="32"/>
          <w:szCs w:val="32"/>
          <w:shd w:val="clear" w:color="auto" w:fill="FFFFFF"/>
        </w:rPr>
        <w:t>为进一步加强事中事后监管，推进“双随机</w:t>
      </w:r>
      <w:proofErr w:type="gramStart"/>
      <w:r>
        <w:rPr>
          <w:rFonts w:ascii="仿宋" w:eastAsia="仿宋" w:hAnsi="仿宋" w:cs="仿宋" w:hint="eastAsia"/>
          <w:snapToGrid w:val="0"/>
          <w:kern w:val="0"/>
          <w:sz w:val="32"/>
          <w:szCs w:val="32"/>
          <w:shd w:val="clear" w:color="auto" w:fill="FFFFFF"/>
        </w:rPr>
        <w:t>一</w:t>
      </w:r>
      <w:proofErr w:type="gramEnd"/>
      <w:r>
        <w:rPr>
          <w:rFonts w:ascii="仿宋" w:eastAsia="仿宋" w:hAnsi="仿宋" w:cs="仿宋" w:hint="eastAsia"/>
          <w:snapToGrid w:val="0"/>
          <w:kern w:val="0"/>
          <w:sz w:val="32"/>
          <w:szCs w:val="32"/>
          <w:shd w:val="clear" w:color="auto" w:fill="FFFFFF"/>
        </w:rPr>
        <w:t>公开”工作制度化和规范化，根据《国务院办公厅关于推广随机抽查规范事中事后监管的通知》（国办发〔2015〕58号）、《天津市人民政府印发关于在市场监管领域全面推行部门联合“双随机、一公开”监管实施办法的通知》（津政发〔2019〕26号）和《天津市滨海新区部门联合“双随机、一公开”抽查检查制度》的有关规定，结合工作实际，制定本工作制度。</w:t>
      </w:r>
    </w:p>
    <w:p w:rsidR="00464F75" w:rsidRDefault="00464F75" w:rsidP="00464F75">
      <w:pPr>
        <w:widowControl/>
        <w:spacing w:line="600" w:lineRule="exact"/>
        <w:ind w:firstLineChars="200" w:firstLine="640"/>
        <w:rPr>
          <w:rFonts w:ascii="仿宋" w:eastAsia="仿宋" w:hAnsi="仿宋" w:cs="仿宋" w:hint="eastAsia"/>
          <w:color w:val="000000"/>
          <w:kern w:val="0"/>
          <w:sz w:val="32"/>
          <w:szCs w:val="32"/>
          <w:lang w:bidi="ar"/>
        </w:rPr>
      </w:pPr>
      <w:r>
        <w:rPr>
          <w:rFonts w:ascii="仿宋" w:eastAsia="仿宋" w:hAnsi="仿宋" w:cs="仿宋" w:hint="eastAsia"/>
          <w:snapToGrid w:val="0"/>
          <w:kern w:val="0"/>
          <w:sz w:val="32"/>
          <w:szCs w:val="32"/>
          <w:shd w:val="clear" w:color="auto" w:fill="FFFFFF"/>
        </w:rPr>
        <w:t xml:space="preserve"> “</w:t>
      </w:r>
      <w:r>
        <w:rPr>
          <w:rFonts w:ascii="仿宋" w:eastAsia="仿宋" w:hAnsi="仿宋" w:cs="仿宋" w:hint="eastAsia"/>
          <w:color w:val="000000"/>
          <w:kern w:val="0"/>
          <w:sz w:val="32"/>
          <w:szCs w:val="32"/>
          <w:lang w:bidi="ar"/>
        </w:rPr>
        <w:t>双随机、</w:t>
      </w:r>
      <w:proofErr w:type="gramStart"/>
      <w:r>
        <w:rPr>
          <w:rFonts w:ascii="仿宋" w:eastAsia="仿宋" w:hAnsi="仿宋" w:cs="仿宋" w:hint="eastAsia"/>
          <w:color w:val="000000"/>
          <w:kern w:val="0"/>
          <w:sz w:val="32"/>
          <w:szCs w:val="32"/>
          <w:lang w:bidi="ar"/>
        </w:rPr>
        <w:t>一</w:t>
      </w:r>
      <w:proofErr w:type="gramEnd"/>
      <w:r>
        <w:rPr>
          <w:rFonts w:ascii="仿宋" w:eastAsia="仿宋" w:hAnsi="仿宋" w:cs="仿宋" w:hint="eastAsia"/>
          <w:color w:val="000000"/>
          <w:kern w:val="0"/>
          <w:sz w:val="32"/>
          <w:szCs w:val="32"/>
          <w:lang w:bidi="ar"/>
        </w:rPr>
        <w:t>公开”监管是指具有监管职责的各室（以下简称监管部门）通过随机抽取检查对象、随机选派执法检查人员的方式实施行政检查，检查结果向社会公开公示。</w:t>
      </w:r>
    </w:p>
    <w:p w:rsidR="00464F75" w:rsidRDefault="00464F75" w:rsidP="00464F75">
      <w:pPr>
        <w:pStyle w:val="a5"/>
        <w:shd w:val="clear" w:color="auto" w:fill="FFFFFF"/>
        <w:wordWrap w:val="0"/>
        <w:spacing w:before="0" w:beforeAutospacing="0" w:after="0" w:afterAutospacing="0"/>
        <w:ind w:firstLine="624"/>
        <w:jc w:val="both"/>
        <w:rPr>
          <w:rFonts w:ascii="仿宋" w:eastAsia="仿宋" w:hAnsi="仿宋" w:cs="仿宋" w:hint="eastAsia"/>
          <w:snapToGrid w:val="0"/>
          <w:sz w:val="32"/>
          <w:szCs w:val="32"/>
          <w:shd w:val="clear" w:color="auto" w:fill="FFFFFF"/>
        </w:rPr>
      </w:pPr>
      <w:r>
        <w:rPr>
          <w:rFonts w:ascii="仿宋" w:eastAsia="仿宋" w:hAnsi="仿宋" w:cs="仿宋" w:hint="eastAsia"/>
          <w:snapToGrid w:val="0"/>
          <w:sz w:val="32"/>
          <w:szCs w:val="32"/>
          <w:shd w:val="clear" w:color="auto" w:fill="FFFFFF"/>
        </w:rPr>
        <w:t>监管部门应将“双随机、</w:t>
      </w:r>
      <w:proofErr w:type="gramStart"/>
      <w:r>
        <w:rPr>
          <w:rFonts w:ascii="仿宋" w:eastAsia="仿宋" w:hAnsi="仿宋" w:cs="仿宋" w:hint="eastAsia"/>
          <w:snapToGrid w:val="0"/>
          <w:sz w:val="32"/>
          <w:szCs w:val="32"/>
          <w:shd w:val="clear" w:color="auto" w:fill="FFFFFF"/>
        </w:rPr>
        <w:t>一</w:t>
      </w:r>
      <w:proofErr w:type="gramEnd"/>
      <w:r>
        <w:rPr>
          <w:rFonts w:ascii="仿宋" w:eastAsia="仿宋" w:hAnsi="仿宋" w:cs="仿宋" w:hint="eastAsia"/>
          <w:snapToGrid w:val="0"/>
          <w:sz w:val="32"/>
          <w:szCs w:val="32"/>
          <w:shd w:val="clear" w:color="auto" w:fill="FFFFFF"/>
        </w:rPr>
        <w:t>公开”作为日常监管的基本手段，实现常态化。对实施“双随机、</w:t>
      </w:r>
      <w:proofErr w:type="gramStart"/>
      <w:r>
        <w:rPr>
          <w:rFonts w:ascii="仿宋" w:eastAsia="仿宋" w:hAnsi="仿宋" w:cs="仿宋" w:hint="eastAsia"/>
          <w:snapToGrid w:val="0"/>
          <w:sz w:val="32"/>
          <w:szCs w:val="32"/>
          <w:shd w:val="clear" w:color="auto" w:fill="FFFFFF"/>
        </w:rPr>
        <w:t>一</w:t>
      </w:r>
      <w:proofErr w:type="gramEnd"/>
      <w:r>
        <w:rPr>
          <w:rFonts w:ascii="仿宋" w:eastAsia="仿宋" w:hAnsi="仿宋" w:cs="仿宋" w:hint="eastAsia"/>
          <w:snapToGrid w:val="0"/>
          <w:sz w:val="32"/>
          <w:szCs w:val="32"/>
          <w:shd w:val="clear" w:color="auto" w:fill="FFFFFF"/>
        </w:rPr>
        <w:t>公开”监管的领域，原则上不再部署专项检查和全覆盖式排查、巡查。    </w:t>
      </w:r>
    </w:p>
    <w:p w:rsidR="00464F75" w:rsidRDefault="00464F75" w:rsidP="00464F75">
      <w:pPr>
        <w:ind w:left="643"/>
        <w:rPr>
          <w:rFonts w:ascii="宋体" w:hAnsi="宋体" w:cs="宋体" w:hint="eastAsia"/>
          <w:b/>
          <w:sz w:val="32"/>
          <w:szCs w:val="32"/>
        </w:rPr>
      </w:pPr>
      <w:r>
        <w:rPr>
          <w:rFonts w:ascii="宋体" w:hAnsi="宋体" w:cs="宋体" w:hint="eastAsia"/>
          <w:b/>
          <w:sz w:val="32"/>
          <w:szCs w:val="32"/>
        </w:rPr>
        <w:t>二、组织领导和职责分工</w:t>
      </w:r>
    </w:p>
    <w:p w:rsidR="00464F75" w:rsidRDefault="00464F75" w:rsidP="00464F75">
      <w:pPr>
        <w:ind w:firstLineChars="200" w:firstLine="640"/>
        <w:rPr>
          <w:rFonts w:ascii="仿宋" w:eastAsia="仿宋" w:hAnsi="仿宋" w:cs="仿宋" w:hint="eastAsia"/>
          <w:sz w:val="32"/>
          <w:szCs w:val="32"/>
        </w:rPr>
      </w:pPr>
      <w:r>
        <w:rPr>
          <w:rFonts w:ascii="仿宋" w:eastAsia="仿宋" w:hAnsi="仿宋" w:cs="仿宋" w:hint="eastAsia"/>
          <w:sz w:val="32"/>
          <w:szCs w:val="32"/>
        </w:rPr>
        <w:t>分局成立以局长为组长，各分管副局长为副组长，</w:t>
      </w:r>
      <w:r>
        <w:rPr>
          <w:rFonts w:ascii="仿宋" w:eastAsia="仿宋" w:hAnsi="仿宋" w:cs="仿宋" w:hint="eastAsia"/>
          <w:color w:val="000000"/>
          <w:kern w:val="0"/>
          <w:sz w:val="32"/>
          <w:szCs w:val="32"/>
          <w:lang w:bidi="ar"/>
        </w:rPr>
        <w:t>具有监管职责的业务室</w:t>
      </w:r>
      <w:r>
        <w:rPr>
          <w:rFonts w:ascii="仿宋" w:eastAsia="仿宋" w:hAnsi="仿宋" w:cs="仿宋" w:hint="eastAsia"/>
          <w:sz w:val="32"/>
          <w:szCs w:val="32"/>
        </w:rPr>
        <w:t>以及相关室的负责人为成员的“双随机</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公开”工作领导小组，</w:t>
      </w:r>
      <w:r>
        <w:rPr>
          <w:rFonts w:ascii="仿宋" w:eastAsia="仿宋" w:hAnsi="仿宋" w:cs="仿宋" w:hint="eastAsia"/>
          <w:snapToGrid w:val="0"/>
          <w:kern w:val="0"/>
          <w:sz w:val="32"/>
          <w:szCs w:val="32"/>
        </w:rPr>
        <w:t>负责</w:t>
      </w:r>
      <w:r>
        <w:rPr>
          <w:rFonts w:ascii="仿宋" w:eastAsia="仿宋" w:hAnsi="仿宋" w:cs="仿宋" w:hint="eastAsia"/>
          <w:snapToGrid w:val="0"/>
          <w:kern w:val="0"/>
          <w:sz w:val="32"/>
          <w:szCs w:val="32"/>
          <w:shd w:val="clear" w:color="auto" w:fill="FFFFFF"/>
        </w:rPr>
        <w:t>“双随机</w:t>
      </w:r>
      <w:proofErr w:type="gramStart"/>
      <w:r>
        <w:rPr>
          <w:rFonts w:ascii="仿宋" w:eastAsia="仿宋" w:hAnsi="仿宋" w:cs="仿宋" w:hint="eastAsia"/>
          <w:snapToGrid w:val="0"/>
          <w:kern w:val="0"/>
          <w:sz w:val="32"/>
          <w:szCs w:val="32"/>
          <w:shd w:val="clear" w:color="auto" w:fill="FFFFFF"/>
        </w:rPr>
        <w:t>一</w:t>
      </w:r>
      <w:proofErr w:type="gramEnd"/>
      <w:r>
        <w:rPr>
          <w:rFonts w:ascii="仿宋" w:eastAsia="仿宋" w:hAnsi="仿宋" w:cs="仿宋" w:hint="eastAsia"/>
          <w:snapToGrid w:val="0"/>
          <w:kern w:val="0"/>
          <w:sz w:val="32"/>
          <w:szCs w:val="32"/>
          <w:shd w:val="clear" w:color="auto" w:fill="FFFFFF"/>
        </w:rPr>
        <w:t>公开”工作</w:t>
      </w:r>
      <w:r>
        <w:rPr>
          <w:rFonts w:ascii="仿宋" w:eastAsia="仿宋" w:hAnsi="仿宋" w:cs="仿宋" w:hint="eastAsia"/>
          <w:snapToGrid w:val="0"/>
          <w:kern w:val="0"/>
          <w:sz w:val="32"/>
          <w:szCs w:val="32"/>
        </w:rPr>
        <w:t>重大问题的决策及统筹协调</w:t>
      </w:r>
      <w:r>
        <w:rPr>
          <w:rFonts w:ascii="仿宋" w:eastAsia="仿宋" w:hAnsi="仿宋" w:cs="仿宋" w:hint="eastAsia"/>
          <w:sz w:val="32"/>
          <w:szCs w:val="32"/>
        </w:rPr>
        <w:t>。</w:t>
      </w:r>
    </w:p>
    <w:p w:rsidR="00464F75" w:rsidRDefault="00464F75" w:rsidP="00464F75">
      <w:pPr>
        <w:ind w:firstLineChars="200" w:firstLine="640"/>
        <w:rPr>
          <w:rFonts w:ascii="仿宋" w:eastAsia="仿宋" w:hAnsi="仿宋" w:cs="仿宋" w:hint="eastAsia"/>
          <w:sz w:val="32"/>
          <w:szCs w:val="32"/>
        </w:rPr>
      </w:pPr>
      <w:r>
        <w:rPr>
          <w:rFonts w:ascii="仿宋" w:eastAsia="仿宋" w:hAnsi="仿宋" w:cs="仿宋" w:hint="eastAsia"/>
          <w:sz w:val="32"/>
          <w:szCs w:val="32"/>
        </w:rPr>
        <w:lastRenderedPageBreak/>
        <w:t>领导小组办公室设在法监室，具体负责分局随机抽查事项清单、检查对象名录库、执法检查人员名录库即“一单两库”及年度检查计划的制定及完善，协助监管部门随机抽取检查对象和执法检查人员，组织开展部门联合抽查，做好结果运用和相关协调工作。</w:t>
      </w:r>
    </w:p>
    <w:p w:rsidR="00464F75" w:rsidRDefault="00464F75" w:rsidP="00464F75">
      <w:pPr>
        <w:ind w:firstLineChars="200" w:firstLine="640"/>
        <w:rPr>
          <w:rFonts w:ascii="仿宋" w:eastAsia="仿宋" w:hAnsi="仿宋" w:cs="仿宋" w:hint="eastAsia"/>
          <w:sz w:val="32"/>
          <w:szCs w:val="32"/>
        </w:rPr>
      </w:pPr>
      <w:r>
        <w:rPr>
          <w:rFonts w:ascii="仿宋" w:eastAsia="仿宋" w:hAnsi="仿宋" w:cs="仿宋" w:hint="eastAsia"/>
          <w:sz w:val="32"/>
          <w:szCs w:val="32"/>
        </w:rPr>
        <w:t>监管部门按照“三定方案”规定，结合各自工作实际，制定监管领域的“一单两库”及年度检查计划并积极开展“双随机</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公开”检查工作，参加部门联合抽查活动。</w:t>
      </w:r>
    </w:p>
    <w:p w:rsidR="00464F75" w:rsidRDefault="00464F75" w:rsidP="00464F75">
      <w:pPr>
        <w:ind w:firstLineChars="200" w:firstLine="640"/>
        <w:rPr>
          <w:rFonts w:ascii="仿宋" w:eastAsia="仿宋" w:hAnsi="仿宋" w:cs="仿宋" w:hint="eastAsia"/>
          <w:sz w:val="32"/>
          <w:szCs w:val="32"/>
        </w:rPr>
      </w:pPr>
      <w:r>
        <w:rPr>
          <w:rFonts w:ascii="仿宋" w:eastAsia="仿宋" w:hAnsi="仿宋" w:cs="仿宋" w:hint="eastAsia"/>
          <w:sz w:val="32"/>
          <w:szCs w:val="32"/>
        </w:rPr>
        <w:t>办公室、信息室负责检查结果公开公示、技术支持等相关工作。</w:t>
      </w:r>
    </w:p>
    <w:p w:rsidR="00464F75" w:rsidRDefault="00464F75" w:rsidP="00464F75">
      <w:pPr>
        <w:ind w:left="643"/>
        <w:rPr>
          <w:rFonts w:ascii="宋体" w:hAnsi="宋体" w:cs="宋体" w:hint="eastAsia"/>
          <w:b/>
          <w:sz w:val="32"/>
          <w:szCs w:val="32"/>
        </w:rPr>
      </w:pPr>
      <w:r>
        <w:rPr>
          <w:rFonts w:ascii="宋体" w:hAnsi="宋体" w:cs="宋体" w:hint="eastAsia"/>
          <w:b/>
          <w:sz w:val="32"/>
          <w:szCs w:val="32"/>
        </w:rPr>
        <w:t>三、随机抽查事项清单</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r>
        <w:rPr>
          <w:rFonts w:ascii="仿宋" w:eastAsia="仿宋" w:hAnsi="仿宋" w:cs="仿宋" w:hint="eastAsia"/>
          <w:sz w:val="32"/>
          <w:szCs w:val="32"/>
        </w:rPr>
        <w:t>在市、区“双随机</w:t>
      </w:r>
      <w:proofErr w:type="gramStart"/>
      <w:r>
        <w:rPr>
          <w:rFonts w:ascii="仿宋" w:eastAsia="仿宋" w:hAnsi="仿宋" w:cs="仿宋" w:hint="eastAsia"/>
          <w:sz w:val="32"/>
          <w:szCs w:val="32"/>
        </w:rPr>
        <w:t>一</w:t>
      </w:r>
      <w:proofErr w:type="gramEnd"/>
      <w:r>
        <w:rPr>
          <w:rFonts w:ascii="仿宋" w:eastAsia="仿宋" w:hAnsi="仿宋" w:cs="仿宋" w:hint="eastAsia"/>
          <w:sz w:val="32"/>
          <w:szCs w:val="32"/>
        </w:rPr>
        <w:t>公开”工作统一部署安排下，</w:t>
      </w:r>
      <w:r>
        <w:rPr>
          <w:rFonts w:ascii="仿宋" w:eastAsia="仿宋" w:hAnsi="仿宋" w:cs="仿宋" w:hint="eastAsia"/>
          <w:kern w:val="0"/>
          <w:sz w:val="32"/>
          <w:szCs w:val="32"/>
        </w:rPr>
        <w:t>监管部门</w:t>
      </w:r>
      <w:r>
        <w:rPr>
          <w:rFonts w:ascii="仿宋" w:eastAsia="仿宋" w:hAnsi="仿宋" w:cs="仿宋" w:hint="eastAsia"/>
          <w:snapToGrid w:val="0"/>
          <w:kern w:val="0"/>
          <w:sz w:val="32"/>
          <w:szCs w:val="32"/>
        </w:rPr>
        <w:t>按照职责范围，以权责清单中的行政检查和监管事项为依据，结合本部门工作实际，制定本部门的随机抽查事项清单，</w:t>
      </w:r>
      <w:proofErr w:type="gramStart"/>
      <w:r>
        <w:rPr>
          <w:rFonts w:ascii="仿宋" w:eastAsia="仿宋" w:hAnsi="仿宋" w:cs="仿宋" w:hint="eastAsia"/>
          <w:snapToGrid w:val="0"/>
          <w:kern w:val="0"/>
          <w:sz w:val="32"/>
          <w:szCs w:val="32"/>
        </w:rPr>
        <w:t>并报法监室</w:t>
      </w:r>
      <w:proofErr w:type="gramEnd"/>
      <w:r>
        <w:rPr>
          <w:rFonts w:ascii="仿宋" w:eastAsia="仿宋" w:hAnsi="仿宋" w:cs="仿宋" w:hint="eastAsia"/>
          <w:snapToGrid w:val="0"/>
          <w:kern w:val="0"/>
          <w:sz w:val="32"/>
          <w:szCs w:val="32"/>
        </w:rPr>
        <w:t>备案。</w:t>
      </w:r>
      <w:r>
        <w:rPr>
          <w:rFonts w:ascii="仿宋" w:eastAsia="仿宋" w:hAnsi="仿宋" w:cs="仿宋" w:hint="eastAsia"/>
          <w:snapToGrid w:val="0"/>
          <w:kern w:val="0"/>
          <w:sz w:val="32"/>
          <w:szCs w:val="32"/>
          <w:shd w:val="clear" w:color="auto" w:fill="FFFFFF"/>
        </w:rPr>
        <w:t>法监室根据各监管部门确定的随机抽查事项清单制定分局随机抽查事项清单并按照规定做好公开公示。</w:t>
      </w:r>
    </w:p>
    <w:p w:rsidR="00464F75" w:rsidRDefault="00464F75" w:rsidP="00464F75">
      <w:pPr>
        <w:widowControl/>
        <w:ind w:firstLineChars="200" w:firstLine="640"/>
        <w:jc w:val="left"/>
        <w:rPr>
          <w:rFonts w:ascii="仿宋" w:eastAsia="仿宋" w:hAnsi="仿宋" w:cs="仿宋" w:hint="eastAsia"/>
          <w:b/>
          <w:sz w:val="32"/>
          <w:szCs w:val="32"/>
        </w:rPr>
      </w:pPr>
      <w:r>
        <w:rPr>
          <w:rFonts w:ascii="仿宋" w:eastAsia="仿宋" w:hAnsi="仿宋" w:cs="仿宋" w:hint="eastAsia"/>
          <w:color w:val="000000"/>
          <w:kern w:val="0"/>
          <w:sz w:val="32"/>
          <w:szCs w:val="32"/>
          <w:lang w:bidi="ar"/>
        </w:rPr>
        <w:t>随机抽查事项清单分为重点检查事项和一般检查事项，内容包括抽查项目、检查对象、事项类别、检查方式、检查主体和检查依据</w:t>
      </w:r>
      <w:r>
        <w:rPr>
          <w:rFonts w:ascii="仿宋" w:eastAsia="仿宋" w:hAnsi="仿宋" w:cs="仿宋" w:hint="eastAsia"/>
          <w:snapToGrid w:val="0"/>
          <w:kern w:val="0"/>
          <w:sz w:val="32"/>
          <w:szCs w:val="32"/>
          <w:shd w:val="clear" w:color="auto" w:fill="FFFFFF"/>
        </w:rPr>
        <w:t>。</w:t>
      </w:r>
      <w:r>
        <w:rPr>
          <w:rFonts w:ascii="仿宋" w:eastAsia="仿宋" w:hAnsi="仿宋" w:cs="仿宋" w:hint="eastAsia"/>
          <w:color w:val="000000"/>
          <w:kern w:val="0"/>
          <w:sz w:val="32"/>
          <w:szCs w:val="32"/>
          <w:lang w:bidi="ar"/>
        </w:rPr>
        <w:t>一般检查事项针对一般监管领域，重点检查事项针对重点监管领域。一般检查事项和重点检查事项抽查比例按照市、区有关部门要求设定。</w:t>
      </w:r>
      <w:r>
        <w:rPr>
          <w:rFonts w:ascii="仿宋" w:eastAsia="仿宋" w:hAnsi="仿宋" w:cs="仿宋" w:hint="eastAsia"/>
          <w:snapToGrid w:val="0"/>
          <w:kern w:val="0"/>
          <w:sz w:val="32"/>
          <w:szCs w:val="32"/>
          <w:shd w:val="clear" w:color="auto" w:fill="FFFFFF"/>
        </w:rPr>
        <w:t>随机抽查事项清单要</w:t>
      </w:r>
      <w:r>
        <w:rPr>
          <w:rFonts w:ascii="仿宋" w:eastAsia="仿宋" w:hAnsi="仿宋" w:cs="仿宋" w:hint="eastAsia"/>
          <w:snapToGrid w:val="0"/>
          <w:kern w:val="0"/>
          <w:sz w:val="32"/>
          <w:szCs w:val="32"/>
          <w:shd w:val="clear" w:color="auto" w:fill="FFFFFF"/>
        </w:rPr>
        <w:lastRenderedPageBreak/>
        <w:t>根据法律法规规章的修订以及每年度权责清单调整进行动态调整。</w:t>
      </w:r>
    </w:p>
    <w:p w:rsidR="00464F75" w:rsidRDefault="00464F75" w:rsidP="00464F75">
      <w:pPr>
        <w:ind w:left="643"/>
        <w:rPr>
          <w:rFonts w:ascii="宋体" w:hAnsi="宋体" w:cs="宋体" w:hint="eastAsia"/>
          <w:b/>
          <w:sz w:val="32"/>
          <w:szCs w:val="32"/>
        </w:rPr>
      </w:pPr>
      <w:r>
        <w:rPr>
          <w:rFonts w:ascii="宋体" w:hAnsi="宋体" w:cs="宋体" w:hint="eastAsia"/>
          <w:b/>
          <w:sz w:val="32"/>
          <w:szCs w:val="32"/>
        </w:rPr>
        <w:t>四、“两库”建设及维护</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shd w:val="clear" w:color="auto" w:fill="FFFFFF"/>
        </w:rPr>
      </w:pPr>
      <w:r>
        <w:rPr>
          <w:rFonts w:ascii="仿宋" w:eastAsia="仿宋" w:hAnsi="仿宋" w:cs="仿宋" w:hint="eastAsia"/>
          <w:snapToGrid w:val="0"/>
          <w:kern w:val="0"/>
          <w:sz w:val="32"/>
          <w:szCs w:val="32"/>
        </w:rPr>
        <w:t>“两库”分别为</w:t>
      </w:r>
      <w:r>
        <w:rPr>
          <w:rFonts w:ascii="仿宋" w:eastAsia="仿宋" w:hAnsi="仿宋" w:cs="仿宋" w:hint="eastAsia"/>
          <w:snapToGrid w:val="0"/>
          <w:kern w:val="0"/>
          <w:sz w:val="32"/>
          <w:szCs w:val="32"/>
          <w:shd w:val="clear" w:color="auto" w:fill="FFFFFF"/>
        </w:rPr>
        <w:t>检查对象名录库</w:t>
      </w:r>
      <w:r>
        <w:rPr>
          <w:rFonts w:ascii="仿宋" w:eastAsia="仿宋" w:hAnsi="仿宋" w:cs="仿宋" w:hint="eastAsia"/>
          <w:snapToGrid w:val="0"/>
          <w:kern w:val="0"/>
          <w:sz w:val="32"/>
          <w:szCs w:val="32"/>
        </w:rPr>
        <w:t>和执法检查人员名录库。“两库”内容由监管部门</w:t>
      </w:r>
      <w:r>
        <w:rPr>
          <w:rFonts w:ascii="仿宋" w:eastAsia="仿宋" w:hAnsi="仿宋" w:cs="仿宋" w:hint="eastAsia"/>
          <w:snapToGrid w:val="0"/>
          <w:kern w:val="0"/>
          <w:sz w:val="32"/>
          <w:szCs w:val="32"/>
          <w:shd w:val="clear" w:color="auto" w:fill="FFFFFF"/>
        </w:rPr>
        <w:t>确定，</w:t>
      </w:r>
      <w:proofErr w:type="gramStart"/>
      <w:r>
        <w:rPr>
          <w:rFonts w:ascii="仿宋" w:eastAsia="仿宋" w:hAnsi="仿宋" w:cs="仿宋" w:hint="eastAsia"/>
          <w:snapToGrid w:val="0"/>
          <w:kern w:val="0"/>
          <w:sz w:val="32"/>
          <w:szCs w:val="32"/>
          <w:shd w:val="clear" w:color="auto" w:fill="FFFFFF"/>
        </w:rPr>
        <w:t>并报</w:t>
      </w:r>
      <w:r>
        <w:rPr>
          <w:rFonts w:ascii="仿宋" w:eastAsia="仿宋" w:hAnsi="仿宋" w:cs="仿宋" w:hint="eastAsia"/>
          <w:snapToGrid w:val="0"/>
          <w:kern w:val="0"/>
          <w:sz w:val="32"/>
          <w:szCs w:val="32"/>
        </w:rPr>
        <w:t>法监室</w:t>
      </w:r>
      <w:proofErr w:type="gramEnd"/>
      <w:r>
        <w:rPr>
          <w:rFonts w:ascii="仿宋" w:eastAsia="仿宋" w:hAnsi="仿宋" w:cs="仿宋" w:hint="eastAsia"/>
          <w:snapToGrid w:val="0"/>
          <w:kern w:val="0"/>
          <w:sz w:val="32"/>
          <w:szCs w:val="32"/>
        </w:rPr>
        <w:t>备案</w:t>
      </w:r>
      <w:r>
        <w:rPr>
          <w:rFonts w:ascii="仿宋" w:eastAsia="仿宋" w:hAnsi="仿宋" w:cs="仿宋" w:hint="eastAsia"/>
          <w:snapToGrid w:val="0"/>
          <w:kern w:val="0"/>
          <w:sz w:val="32"/>
          <w:szCs w:val="32"/>
          <w:shd w:val="clear" w:color="auto" w:fill="FFFFFF"/>
        </w:rPr>
        <w:t>。法监室根据各监管部门确定的“两库”制定分局“两库”并按照规定做好公开公示。</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shd w:val="clear" w:color="auto" w:fill="FFFFFF"/>
        </w:rPr>
      </w:pPr>
      <w:r>
        <w:rPr>
          <w:rFonts w:ascii="仿宋" w:eastAsia="仿宋" w:hAnsi="仿宋" w:cs="仿宋" w:hint="eastAsia"/>
          <w:snapToGrid w:val="0"/>
          <w:kern w:val="0"/>
          <w:sz w:val="32"/>
          <w:szCs w:val="32"/>
          <w:shd w:val="clear" w:color="auto" w:fill="FFFFFF"/>
        </w:rPr>
        <w:t>检查对象应当是法律法规规章以及权责清单规定需要监管的对象，</w:t>
      </w:r>
      <w:r>
        <w:rPr>
          <w:rFonts w:ascii="仿宋" w:eastAsia="仿宋" w:hAnsi="仿宋" w:cs="仿宋" w:hint="eastAsia"/>
          <w:sz w:val="32"/>
          <w:szCs w:val="32"/>
        </w:rPr>
        <w:t>可以是企业、个体工商户以及工程项目等。</w:t>
      </w:r>
      <w:r>
        <w:rPr>
          <w:rFonts w:ascii="仿宋" w:eastAsia="仿宋" w:hAnsi="仿宋" w:cs="仿宋" w:hint="eastAsia"/>
          <w:snapToGrid w:val="0"/>
          <w:kern w:val="0"/>
          <w:sz w:val="32"/>
          <w:szCs w:val="32"/>
          <w:shd w:val="clear" w:color="auto" w:fill="FFFFFF"/>
        </w:rPr>
        <w:t>检查对象名录应当包含市场主体名称、统一社会信用代码、注册登记机关、法定代表人、地址等内容。检查对象</w:t>
      </w:r>
      <w:proofErr w:type="gramStart"/>
      <w:r>
        <w:rPr>
          <w:rFonts w:ascii="仿宋" w:eastAsia="仿宋" w:hAnsi="仿宋" w:cs="仿宋" w:hint="eastAsia"/>
          <w:snapToGrid w:val="0"/>
          <w:kern w:val="0"/>
          <w:sz w:val="32"/>
          <w:szCs w:val="32"/>
          <w:shd w:val="clear" w:color="auto" w:fill="FFFFFF"/>
        </w:rPr>
        <w:t>名录库应根据</w:t>
      </w:r>
      <w:proofErr w:type="gramEnd"/>
      <w:r>
        <w:rPr>
          <w:rFonts w:ascii="仿宋" w:eastAsia="仿宋" w:hAnsi="仿宋" w:cs="仿宋" w:hint="eastAsia"/>
          <w:snapToGrid w:val="0"/>
          <w:kern w:val="0"/>
          <w:sz w:val="32"/>
          <w:szCs w:val="32"/>
          <w:shd w:val="clear" w:color="auto" w:fill="FFFFFF"/>
        </w:rPr>
        <w:t>行政管理及检查对象变动情况进行动态调整。</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shd w:val="clear" w:color="auto" w:fill="FFFFFF"/>
        </w:rPr>
      </w:pPr>
      <w:r>
        <w:rPr>
          <w:rFonts w:ascii="仿宋" w:eastAsia="仿宋" w:hAnsi="仿宋" w:cs="仿宋" w:hint="eastAsia"/>
          <w:sz w:val="32"/>
          <w:szCs w:val="32"/>
        </w:rPr>
        <w:t>执法检查人员应当是具有行政执法资格的工作人员。</w:t>
      </w:r>
      <w:r>
        <w:rPr>
          <w:rFonts w:ascii="仿宋" w:eastAsia="仿宋" w:hAnsi="仿宋" w:cs="仿宋" w:hint="eastAsia"/>
          <w:snapToGrid w:val="0"/>
          <w:kern w:val="0"/>
          <w:sz w:val="32"/>
          <w:szCs w:val="32"/>
        </w:rPr>
        <w:t>执法检查人员</w:t>
      </w:r>
      <w:r>
        <w:rPr>
          <w:rFonts w:ascii="仿宋" w:eastAsia="仿宋" w:hAnsi="仿宋" w:cs="仿宋" w:hint="eastAsia"/>
          <w:snapToGrid w:val="0"/>
          <w:kern w:val="0"/>
          <w:sz w:val="32"/>
          <w:szCs w:val="32"/>
          <w:shd w:val="clear" w:color="auto" w:fill="FFFFFF"/>
        </w:rPr>
        <w:t>名录应当明确人员身份信息，包括姓名、性别、执法岗位、执法类别、执法证号等。</w:t>
      </w:r>
      <w:r>
        <w:rPr>
          <w:rFonts w:ascii="仿宋" w:eastAsia="仿宋" w:hAnsi="仿宋" w:cs="仿宋" w:hint="eastAsia"/>
          <w:kern w:val="0"/>
          <w:sz w:val="32"/>
          <w:szCs w:val="32"/>
        </w:rPr>
        <w:t>执法</w:t>
      </w:r>
      <w:r>
        <w:rPr>
          <w:rFonts w:ascii="仿宋" w:eastAsia="仿宋" w:hAnsi="仿宋" w:cs="仿宋" w:hint="eastAsia"/>
          <w:snapToGrid w:val="0"/>
          <w:kern w:val="0"/>
          <w:sz w:val="32"/>
          <w:szCs w:val="32"/>
          <w:shd w:val="clear" w:color="auto" w:fill="FFFFFF"/>
        </w:rPr>
        <w:t>检查人员</w:t>
      </w:r>
      <w:proofErr w:type="gramStart"/>
      <w:r>
        <w:rPr>
          <w:rFonts w:ascii="仿宋" w:eastAsia="仿宋" w:hAnsi="仿宋" w:cs="仿宋" w:hint="eastAsia"/>
          <w:snapToGrid w:val="0"/>
          <w:kern w:val="0"/>
          <w:sz w:val="32"/>
          <w:szCs w:val="32"/>
          <w:shd w:val="clear" w:color="auto" w:fill="FFFFFF"/>
        </w:rPr>
        <w:t>名录库应根据</w:t>
      </w:r>
      <w:proofErr w:type="gramEnd"/>
      <w:r>
        <w:rPr>
          <w:rFonts w:ascii="仿宋" w:eastAsia="仿宋" w:hAnsi="仿宋" w:cs="仿宋" w:hint="eastAsia"/>
          <w:snapToGrid w:val="0"/>
          <w:kern w:val="0"/>
          <w:sz w:val="32"/>
          <w:szCs w:val="32"/>
          <w:shd w:val="clear" w:color="auto" w:fill="FFFFFF"/>
        </w:rPr>
        <w:t>执法检查人员变动、岗位调整等因素动态调整。</w:t>
      </w:r>
    </w:p>
    <w:p w:rsidR="00464F75" w:rsidRDefault="00464F75" w:rsidP="00464F75">
      <w:pPr>
        <w:ind w:left="643"/>
        <w:rPr>
          <w:rFonts w:ascii="宋体" w:hAnsi="宋体" w:cs="宋体" w:hint="eastAsia"/>
          <w:b/>
          <w:sz w:val="32"/>
          <w:szCs w:val="32"/>
        </w:rPr>
      </w:pPr>
      <w:r>
        <w:rPr>
          <w:rFonts w:ascii="宋体" w:hAnsi="宋体" w:cs="宋体" w:hint="eastAsia"/>
          <w:b/>
          <w:sz w:val="32"/>
          <w:szCs w:val="32"/>
        </w:rPr>
        <w:t>五、年度抽查计划</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每年3月中旬前，监管部门制定本年度随机抽查计划，确定抽查事项、检查对象、检查时间、抽查频次等内容</w:t>
      </w:r>
      <w:proofErr w:type="gramStart"/>
      <w:r>
        <w:rPr>
          <w:rFonts w:ascii="仿宋" w:eastAsia="仿宋" w:hAnsi="仿宋" w:cs="仿宋" w:hint="eastAsia"/>
          <w:snapToGrid w:val="0"/>
          <w:kern w:val="0"/>
          <w:sz w:val="32"/>
          <w:szCs w:val="32"/>
        </w:rPr>
        <w:t>并报法监室</w:t>
      </w:r>
      <w:proofErr w:type="gramEnd"/>
      <w:r>
        <w:rPr>
          <w:rFonts w:ascii="仿宋" w:eastAsia="仿宋" w:hAnsi="仿宋" w:cs="仿宋" w:hint="eastAsia"/>
          <w:snapToGrid w:val="0"/>
          <w:kern w:val="0"/>
          <w:sz w:val="32"/>
          <w:szCs w:val="32"/>
        </w:rPr>
        <w:t>备案。年度抽查计划应包括职责范围内全部随机抽查事项，并根据法律法规规定和监管领域实际情况，合理确定抽查比例和频次。 </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lastRenderedPageBreak/>
        <w:t>监管部门要根据风险等级、信用水平和是否采用承诺制审批等要素，对检查对象采取差异化分类监管措施。在保证必要的监管力度同时，防止过度检查，对于守信企业，在抽取时可予以不抽查或降低抽查次数。</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法监室根据各监管部门制定的年度抽查计划，汇总形成分局年度抽查计划。</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监管部门发现本监管领域有普遍性问题或存在突发性风险的，可以动态调整年度抽查计划，适当提高抽查比例和频次。</w:t>
      </w:r>
    </w:p>
    <w:p w:rsidR="00464F75" w:rsidRDefault="00464F75" w:rsidP="00464F75">
      <w:pPr>
        <w:ind w:left="643"/>
        <w:rPr>
          <w:rFonts w:ascii="宋体" w:hAnsi="宋体" w:cs="宋体" w:hint="eastAsia"/>
          <w:b/>
          <w:sz w:val="32"/>
          <w:szCs w:val="32"/>
        </w:rPr>
      </w:pPr>
      <w:r>
        <w:rPr>
          <w:rFonts w:ascii="宋体" w:hAnsi="宋体" w:cs="宋体" w:hint="eastAsia"/>
          <w:b/>
          <w:sz w:val="32"/>
          <w:szCs w:val="32"/>
        </w:rPr>
        <w:t>六、部门联合抽查</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法监室根据分局抽查事项清单确定部门联合抽查事项清单，制定年度联合抽查计划。年度联合抽查计划应包括抽查事项、检查对象、检查时间、抽查频次等。</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检查对象名录库中检查对象数量低于500户（</w:t>
      </w:r>
      <w:proofErr w:type="gramStart"/>
      <w:r>
        <w:rPr>
          <w:rFonts w:ascii="仿宋" w:eastAsia="仿宋" w:hAnsi="仿宋" w:cs="仿宋" w:hint="eastAsia"/>
          <w:snapToGrid w:val="0"/>
          <w:kern w:val="0"/>
          <w:sz w:val="32"/>
          <w:szCs w:val="32"/>
        </w:rPr>
        <w:t>个</w:t>
      </w:r>
      <w:proofErr w:type="gramEnd"/>
      <w:r>
        <w:rPr>
          <w:rFonts w:ascii="仿宋" w:eastAsia="仿宋" w:hAnsi="仿宋" w:cs="仿宋" w:hint="eastAsia"/>
          <w:snapToGrid w:val="0"/>
          <w:kern w:val="0"/>
          <w:sz w:val="32"/>
          <w:szCs w:val="32"/>
        </w:rPr>
        <w:t>）的抽查事项，抽查比例总体不得低于3%；检查对象数量大于500户（</w:t>
      </w:r>
      <w:proofErr w:type="gramStart"/>
      <w:r>
        <w:rPr>
          <w:rFonts w:ascii="仿宋" w:eastAsia="仿宋" w:hAnsi="仿宋" w:cs="仿宋" w:hint="eastAsia"/>
          <w:snapToGrid w:val="0"/>
          <w:kern w:val="0"/>
          <w:sz w:val="32"/>
          <w:szCs w:val="32"/>
        </w:rPr>
        <w:t>个</w:t>
      </w:r>
      <w:proofErr w:type="gramEnd"/>
      <w:r>
        <w:rPr>
          <w:rFonts w:ascii="仿宋" w:eastAsia="仿宋" w:hAnsi="仿宋" w:cs="仿宋" w:hint="eastAsia"/>
          <w:snapToGrid w:val="0"/>
          <w:kern w:val="0"/>
          <w:sz w:val="32"/>
          <w:szCs w:val="32"/>
        </w:rPr>
        <w:t>）的，可根据实际情况，适当降低抽取比例；检查对象数量过少的，可以全部抽取。</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监管部门根据风险等级、信用水平和是否采用承诺制审批等要素，对检查对象采取差异化分类监管措施。根据分级分类情况，对信用好、风险低的检查对象降低抽取比例；对信用差、风险高的检查对象提高抽取比例。</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lastRenderedPageBreak/>
        <w:t>部门联合抽查计划是监管部门本年度抽查计划的一部分，监管部门要统筹分配任务，协调好部门自行抽查数量和部门联合抽查数量。条件允许的部门，可以将本部门年度抽查计划，全部采用部门联合抽查的形式完成。对同</w:t>
      </w:r>
      <w:proofErr w:type="gramStart"/>
      <w:r>
        <w:rPr>
          <w:rFonts w:ascii="仿宋" w:eastAsia="仿宋" w:hAnsi="仿宋" w:cs="仿宋" w:hint="eastAsia"/>
          <w:snapToGrid w:val="0"/>
          <w:kern w:val="0"/>
          <w:sz w:val="32"/>
          <w:szCs w:val="32"/>
        </w:rPr>
        <w:t>一</w:t>
      </w:r>
      <w:proofErr w:type="gramEnd"/>
      <w:r>
        <w:rPr>
          <w:rFonts w:ascii="仿宋" w:eastAsia="仿宋" w:hAnsi="仿宋" w:cs="仿宋" w:hint="eastAsia"/>
          <w:snapToGrid w:val="0"/>
          <w:kern w:val="0"/>
          <w:sz w:val="32"/>
          <w:szCs w:val="32"/>
        </w:rPr>
        <w:t>年度、同样的抽查事项，在部门联合抽查活动中被检查的对象，各参加检查部门一般情况下不再对其实施重复检查。</w:t>
      </w:r>
    </w:p>
    <w:p w:rsidR="00464F75" w:rsidRDefault="00464F75" w:rsidP="00464F75">
      <w:pPr>
        <w:ind w:left="643"/>
        <w:rPr>
          <w:rFonts w:ascii="宋体" w:hAnsi="宋体" w:cs="宋体" w:hint="eastAsia"/>
          <w:b/>
          <w:sz w:val="32"/>
          <w:szCs w:val="32"/>
        </w:rPr>
      </w:pPr>
      <w:r>
        <w:rPr>
          <w:rFonts w:ascii="宋体" w:hAnsi="宋体" w:cs="宋体" w:hint="eastAsia"/>
          <w:b/>
          <w:sz w:val="32"/>
          <w:szCs w:val="32"/>
        </w:rPr>
        <w:t>七、抽查检查实施</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r>
        <w:rPr>
          <w:rFonts w:ascii="仿宋" w:eastAsia="仿宋" w:hAnsi="仿宋" w:cs="仿宋" w:hint="eastAsia"/>
          <w:kern w:val="0"/>
          <w:sz w:val="32"/>
          <w:szCs w:val="32"/>
        </w:rPr>
        <w:t xml:space="preserve"> </w:t>
      </w:r>
      <w:r>
        <w:rPr>
          <w:rFonts w:ascii="仿宋" w:eastAsia="仿宋" w:hAnsi="仿宋" w:cs="仿宋" w:hint="eastAsia"/>
          <w:snapToGrid w:val="0"/>
          <w:kern w:val="0"/>
          <w:sz w:val="32"/>
          <w:szCs w:val="32"/>
        </w:rPr>
        <w:t>监管部门在开展随机抽查前，自行制定具体实施方案，包括检查事项、实施时间、检查目的、检查程序、工作分工、执法人员数量、被检查对象数量、保密要求等内容。</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监管部门在法监室协助下，通过相应技术平台或使用EXCEL表格中的RAND随机函数分别从“两库”中随机抽取检查对象和执法检查人员并保存过程记录。</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监管部门应在随机检查时携带相应的检查记录表并详细记录检查时间、地点、现场状况和发现问题等，记录或拍摄涉嫌的违法行为，复印相关文件资料，调查询问有关人员。联合抽查时，应将检查人员执法证号、检查结果、个人签字填在联合检查记录表中。</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检查结束后，执法检查人员应及时向监管部门报告检查结果，并在3个工作日内提交随机抽查情况报告。检查过程中形成的材料应当作为检查报告的附件一并提交。</w:t>
      </w:r>
    </w:p>
    <w:p w:rsidR="00464F75" w:rsidRDefault="00464F75" w:rsidP="00464F75">
      <w:pPr>
        <w:ind w:left="643"/>
        <w:rPr>
          <w:rFonts w:ascii="宋体" w:hAnsi="宋体" w:cs="宋体" w:hint="eastAsia"/>
          <w:b/>
          <w:sz w:val="32"/>
          <w:szCs w:val="32"/>
        </w:rPr>
      </w:pPr>
      <w:r>
        <w:rPr>
          <w:rFonts w:ascii="宋体" w:hAnsi="宋体" w:cs="宋体" w:hint="eastAsia"/>
          <w:b/>
          <w:sz w:val="32"/>
          <w:szCs w:val="32"/>
        </w:rPr>
        <w:t>八、结果公示及运用</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lastRenderedPageBreak/>
        <w:t>除依据法律、法规的规定不适合公开的情形外，监管相关部门应当按照“谁检查、谁公开”的原则，在检查任务完成后的20个工作日内，将抽查检查结果通过市局</w:t>
      </w:r>
      <w:proofErr w:type="gramStart"/>
      <w:r>
        <w:rPr>
          <w:rFonts w:ascii="仿宋" w:eastAsia="仿宋" w:hAnsi="仿宋" w:cs="仿宋" w:hint="eastAsia"/>
          <w:snapToGrid w:val="0"/>
          <w:kern w:val="0"/>
          <w:sz w:val="32"/>
          <w:szCs w:val="32"/>
        </w:rPr>
        <w:t>政务网</w:t>
      </w:r>
      <w:proofErr w:type="gramEnd"/>
      <w:r>
        <w:rPr>
          <w:rFonts w:ascii="仿宋" w:eastAsia="仿宋" w:hAnsi="仿宋" w:cs="仿宋" w:hint="eastAsia"/>
          <w:snapToGrid w:val="0"/>
          <w:kern w:val="0"/>
          <w:sz w:val="32"/>
          <w:szCs w:val="32"/>
        </w:rPr>
        <w:t>等日常公示途径及时、全面、准确地向社会公示，接受社会监督。部门联合抽查结果，由法监室汇总各监管部门抽查结果后统一进行公开。</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对检查发现问题的检查对象，要注重后续的法律程序衔接。该整改的，监管部门及时督促整改；应当处罚的，监管部门将案件初步核查情况、相关证据材料及处理意见转交法监室，由法监室依法实施处罚。法监室根据案件情况，发现不属于分局管辖的违法违规线索，依法移交、转办相关部门；涉嫌犯罪的，依法及时移送司法机关。可实施联合奖惩的，各监管部门要依法实施联合奖惩，增强市场主体守法自觉性。</w:t>
      </w:r>
    </w:p>
    <w:p w:rsidR="00464F75" w:rsidRDefault="00464F75" w:rsidP="00464F75">
      <w:pPr>
        <w:numPr>
          <w:ilvl w:val="0"/>
          <w:numId w:val="1"/>
        </w:numPr>
        <w:ind w:left="643"/>
        <w:rPr>
          <w:rFonts w:ascii="宋体" w:hAnsi="宋体" w:cs="宋体" w:hint="eastAsia"/>
          <w:b/>
          <w:sz w:val="32"/>
          <w:szCs w:val="32"/>
        </w:rPr>
      </w:pPr>
      <w:r>
        <w:rPr>
          <w:rFonts w:ascii="宋体" w:hAnsi="宋体" w:cs="宋体" w:hint="eastAsia"/>
          <w:b/>
          <w:sz w:val="32"/>
          <w:szCs w:val="32"/>
        </w:rPr>
        <w:t>统计上报</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法监室按照区政府及市局要求，汇总整理分局“双随机</w:t>
      </w:r>
      <w:proofErr w:type="gramStart"/>
      <w:r>
        <w:rPr>
          <w:rFonts w:ascii="仿宋" w:eastAsia="仿宋" w:hAnsi="仿宋" w:cs="仿宋" w:hint="eastAsia"/>
          <w:snapToGrid w:val="0"/>
          <w:kern w:val="0"/>
          <w:sz w:val="32"/>
          <w:szCs w:val="32"/>
        </w:rPr>
        <w:t>一</w:t>
      </w:r>
      <w:proofErr w:type="gramEnd"/>
      <w:r>
        <w:rPr>
          <w:rFonts w:ascii="仿宋" w:eastAsia="仿宋" w:hAnsi="仿宋" w:cs="仿宋" w:hint="eastAsia"/>
          <w:snapToGrid w:val="0"/>
          <w:kern w:val="0"/>
          <w:sz w:val="32"/>
          <w:szCs w:val="32"/>
        </w:rPr>
        <w:t>公开”抽查事项清单、检查对象名录库、检查人员名录库、年度抽查计划、部门联合抽查计划、检查结果等，并按时上报。</w:t>
      </w:r>
    </w:p>
    <w:p w:rsidR="00464F75" w:rsidRDefault="00464F75" w:rsidP="00464F75">
      <w:pPr>
        <w:widowControl/>
        <w:shd w:val="clear" w:color="auto" w:fill="FFFFFF"/>
        <w:ind w:firstLineChars="200" w:firstLine="640"/>
        <w:rPr>
          <w:rFonts w:ascii="仿宋" w:eastAsia="仿宋" w:hAnsi="仿宋" w:cs="仿宋" w:hint="eastAsia"/>
          <w:snapToGrid w:val="0"/>
          <w:kern w:val="0"/>
          <w:sz w:val="32"/>
          <w:szCs w:val="32"/>
        </w:rPr>
      </w:pPr>
      <w:bookmarkStart w:id="0" w:name="_GoBack"/>
      <w:bookmarkEnd w:id="0"/>
    </w:p>
    <w:p w:rsidR="00EE5CD5" w:rsidRPr="00464F75" w:rsidRDefault="00EE5CD5" w:rsidP="00464F75"/>
    <w:sectPr w:rsidR="00EE5CD5" w:rsidRPr="00464F75">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913" w:rsidRDefault="00033913" w:rsidP="00464F75">
      <w:r>
        <w:separator/>
      </w:r>
    </w:p>
  </w:endnote>
  <w:endnote w:type="continuationSeparator" w:id="0">
    <w:p w:rsidR="00033913" w:rsidRDefault="00033913" w:rsidP="00464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F75" w:rsidRDefault="00464F75">
    <w:pPr>
      <w:pStyle w:val="a4"/>
      <w:jc w:val="center"/>
    </w:pPr>
    <w:r>
      <w:fldChar w:fldCharType="begin"/>
    </w:r>
    <w:r>
      <w:instrText xml:space="preserve"> PAGE   \* MERGEFORMAT </w:instrText>
    </w:r>
    <w:r>
      <w:fldChar w:fldCharType="separate"/>
    </w:r>
    <w:r w:rsidR="006A4EA9" w:rsidRPr="006A4EA9">
      <w:rPr>
        <w:noProof/>
        <w:lang w:val="zh-CN"/>
      </w:rPr>
      <w:t>6</w:t>
    </w:r>
    <w:r>
      <w:fldChar w:fldCharType="end"/>
    </w:r>
  </w:p>
  <w:p w:rsidR="00464F75" w:rsidRDefault="00464F7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913" w:rsidRDefault="00033913" w:rsidP="00464F75">
      <w:r>
        <w:separator/>
      </w:r>
    </w:p>
  </w:footnote>
  <w:footnote w:type="continuationSeparator" w:id="0">
    <w:p w:rsidR="00033913" w:rsidRDefault="00033913" w:rsidP="00464F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75B5"/>
    <w:multiLevelType w:val="singleLevel"/>
    <w:tmpl w:val="03FE75B5"/>
    <w:lvl w:ilvl="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ED4"/>
    <w:rsid w:val="00033913"/>
    <w:rsid w:val="00464F75"/>
    <w:rsid w:val="006A4EA9"/>
    <w:rsid w:val="00EE5CD5"/>
    <w:rsid w:val="00F44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4F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4F75"/>
    <w:rPr>
      <w:sz w:val="18"/>
      <w:szCs w:val="18"/>
    </w:rPr>
  </w:style>
  <w:style w:type="paragraph" w:styleId="a4">
    <w:name w:val="footer"/>
    <w:basedOn w:val="a"/>
    <w:link w:val="Char0"/>
    <w:unhideWhenUsed/>
    <w:rsid w:val="00464F75"/>
    <w:pPr>
      <w:tabs>
        <w:tab w:val="center" w:pos="4153"/>
        <w:tab w:val="right" w:pos="8306"/>
      </w:tabs>
      <w:snapToGrid w:val="0"/>
      <w:jc w:val="left"/>
    </w:pPr>
    <w:rPr>
      <w:sz w:val="18"/>
      <w:szCs w:val="18"/>
    </w:rPr>
  </w:style>
  <w:style w:type="character" w:customStyle="1" w:styleId="Char0">
    <w:name w:val="页脚 Char"/>
    <w:basedOn w:val="a0"/>
    <w:link w:val="a4"/>
    <w:uiPriority w:val="99"/>
    <w:rsid w:val="00464F75"/>
    <w:rPr>
      <w:sz w:val="18"/>
      <w:szCs w:val="18"/>
    </w:rPr>
  </w:style>
  <w:style w:type="paragraph" w:styleId="a5">
    <w:name w:val="Normal (Web)"/>
    <w:basedOn w:val="a"/>
    <w:rsid w:val="00464F75"/>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F7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4F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4F75"/>
    <w:rPr>
      <w:sz w:val="18"/>
      <w:szCs w:val="18"/>
    </w:rPr>
  </w:style>
  <w:style w:type="paragraph" w:styleId="a4">
    <w:name w:val="footer"/>
    <w:basedOn w:val="a"/>
    <w:link w:val="Char0"/>
    <w:unhideWhenUsed/>
    <w:rsid w:val="00464F75"/>
    <w:pPr>
      <w:tabs>
        <w:tab w:val="center" w:pos="4153"/>
        <w:tab w:val="right" w:pos="8306"/>
      </w:tabs>
      <w:snapToGrid w:val="0"/>
      <w:jc w:val="left"/>
    </w:pPr>
    <w:rPr>
      <w:sz w:val="18"/>
      <w:szCs w:val="18"/>
    </w:rPr>
  </w:style>
  <w:style w:type="character" w:customStyle="1" w:styleId="Char0">
    <w:name w:val="页脚 Char"/>
    <w:basedOn w:val="a0"/>
    <w:link w:val="a4"/>
    <w:uiPriority w:val="99"/>
    <w:rsid w:val="00464F75"/>
    <w:rPr>
      <w:sz w:val="18"/>
      <w:szCs w:val="18"/>
    </w:rPr>
  </w:style>
  <w:style w:type="paragraph" w:styleId="a5">
    <w:name w:val="Normal (Web)"/>
    <w:basedOn w:val="a"/>
    <w:rsid w:val="00464F75"/>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417</Words>
  <Characters>2381</Characters>
  <Application>Microsoft Office Word</Application>
  <DocSecurity>0</DocSecurity>
  <Lines>19</Lines>
  <Paragraphs>5</Paragraphs>
  <ScaleCrop>false</ScaleCrop>
  <Company>china</Company>
  <LinksUpToDate>false</LinksUpToDate>
  <CharactersWithSpaces>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2021-08-13T09:26:00Z</dcterms:created>
  <dcterms:modified xsi:type="dcterms:W3CDTF">2021-08-13T09:27:00Z</dcterms:modified>
</cp:coreProperties>
</file>