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92" w:rsidRPr="00F27A94" w:rsidRDefault="00257FC5">
      <w:pPr>
        <w:pStyle w:val="ad"/>
        <w:spacing w:line="480" w:lineRule="auto"/>
        <w:ind w:firstLineChars="0" w:firstLine="0"/>
        <w:jc w:val="center"/>
        <w:rPr>
          <w:rFonts w:asciiTheme="majorEastAsia" w:eastAsiaTheme="majorEastAsia" w:hAnsiTheme="majorEastAsia" w:cs="宋体"/>
          <w:b/>
          <w:spacing w:val="7"/>
          <w:w w:val="90"/>
          <w:kern w:val="0"/>
          <w:sz w:val="44"/>
          <w:szCs w:val="44"/>
        </w:rPr>
      </w:pPr>
      <w:r w:rsidRPr="00F27A94">
        <w:rPr>
          <w:rFonts w:asciiTheme="majorEastAsia" w:eastAsiaTheme="majorEastAsia" w:hAnsiTheme="majorEastAsia" w:cs="宋体" w:hint="eastAsia"/>
          <w:b/>
          <w:spacing w:val="7"/>
          <w:w w:val="90"/>
          <w:kern w:val="0"/>
          <w:sz w:val="44"/>
          <w:szCs w:val="44"/>
        </w:rPr>
        <w:t>关于加强滨海新区工业用地弹性年期出让的通知</w:t>
      </w:r>
      <w:r w:rsidRPr="00F27A94">
        <w:rPr>
          <w:rFonts w:ascii="楷体" w:eastAsia="楷体" w:hAnsi="楷体" w:hint="eastAsia"/>
          <w:sz w:val="32"/>
          <w:szCs w:val="32"/>
        </w:rPr>
        <w:t>（征求意见稿）</w:t>
      </w:r>
      <w:bookmarkStart w:id="0" w:name="_GoBack"/>
      <w:bookmarkEnd w:id="0"/>
    </w:p>
    <w:p w:rsidR="00BF7292" w:rsidRPr="00F27A94" w:rsidRDefault="00BF7292">
      <w:pPr>
        <w:pStyle w:val="ad"/>
        <w:spacing w:line="480" w:lineRule="auto"/>
        <w:ind w:firstLine="668"/>
        <w:rPr>
          <w:rFonts w:ascii="仿宋_GB2312" w:eastAsia="仿宋_GB2312" w:hAnsi="宋体" w:cs="宋体"/>
          <w:spacing w:val="7"/>
          <w:kern w:val="0"/>
          <w:sz w:val="32"/>
          <w:szCs w:val="32"/>
        </w:rPr>
      </w:pPr>
    </w:p>
    <w:p w:rsidR="00BF7292" w:rsidRPr="00F27A94" w:rsidRDefault="00257FC5">
      <w:pPr>
        <w:pStyle w:val="ad"/>
        <w:spacing w:line="560" w:lineRule="exact"/>
        <w:ind w:firstLine="668"/>
        <w:rPr>
          <w:rFonts w:ascii="仿宋_GB2312" w:eastAsia="仿宋_GB2312" w:hAnsi="宋体"/>
          <w:sz w:val="32"/>
          <w:szCs w:val="32"/>
        </w:rPr>
      </w:pPr>
      <w:r w:rsidRPr="00F27A94">
        <w:rPr>
          <w:rFonts w:ascii="仿宋_GB2312" w:eastAsia="仿宋_GB2312" w:hAnsi="宋体" w:cs="宋体" w:hint="eastAsia"/>
          <w:spacing w:val="7"/>
          <w:kern w:val="0"/>
          <w:sz w:val="32"/>
          <w:szCs w:val="32"/>
        </w:rPr>
        <w:t>为推动滨海新区高质量发展、优化工业用地管理，</w:t>
      </w:r>
      <w:r w:rsidRPr="00F27A94">
        <w:rPr>
          <w:rFonts w:ascii="仿宋_GB2312" w:eastAsia="仿宋_GB2312" w:hAnsi="宋体" w:hint="eastAsia"/>
          <w:sz w:val="32"/>
          <w:szCs w:val="32"/>
        </w:rPr>
        <w:t>降低实体经济企业用地成本，遵循工业项目生命周期规律，</w:t>
      </w:r>
      <w:r w:rsidRPr="00F27A94">
        <w:rPr>
          <w:rFonts w:ascii="仿宋_GB2312" w:eastAsia="仿宋_GB2312" w:hAnsi="宋体" w:cs="宋体" w:hint="eastAsia"/>
          <w:spacing w:val="7"/>
          <w:kern w:val="0"/>
          <w:sz w:val="32"/>
          <w:szCs w:val="32"/>
        </w:rPr>
        <w:t>根据《节约集约利用土地规定》（国土资源部令第61号）和《天津市优化工业用地管理促进产业结构调整升级实施办法的通知》（津政办发〔2018〕 55号）等有关土地管理规定</w:t>
      </w:r>
      <w:r w:rsidRPr="00F27A94">
        <w:rPr>
          <w:rFonts w:ascii="仿宋_GB2312" w:eastAsia="仿宋_GB2312" w:hAnsi="宋体" w:hint="eastAsia"/>
          <w:sz w:val="32"/>
          <w:szCs w:val="32"/>
        </w:rPr>
        <w:t>，结合滨海新区实际，制定本通知。</w:t>
      </w:r>
    </w:p>
    <w:p w:rsidR="00BF7292" w:rsidRPr="00F27A94" w:rsidRDefault="00257FC5">
      <w:pPr>
        <w:pStyle w:val="ad"/>
        <w:spacing w:line="560" w:lineRule="exact"/>
        <w:ind w:firstLine="643"/>
        <w:rPr>
          <w:rFonts w:ascii="仿宋_GB2312" w:eastAsia="仿宋_GB2312" w:hAnsi="宋体"/>
          <w:b/>
          <w:sz w:val="32"/>
          <w:szCs w:val="32"/>
        </w:rPr>
      </w:pPr>
      <w:r w:rsidRPr="00F27A94">
        <w:rPr>
          <w:rFonts w:ascii="仿宋_GB2312" w:eastAsia="仿宋_GB2312" w:hAnsi="宋体" w:hint="eastAsia"/>
          <w:b/>
          <w:sz w:val="32"/>
          <w:szCs w:val="32"/>
        </w:rPr>
        <w:t>一、适用范围</w:t>
      </w:r>
    </w:p>
    <w:p w:rsidR="00BF7292" w:rsidRPr="00F27A94" w:rsidRDefault="00257FC5">
      <w:pPr>
        <w:pStyle w:val="ad"/>
        <w:spacing w:line="560" w:lineRule="exact"/>
        <w:ind w:firstLine="640"/>
        <w:rPr>
          <w:rFonts w:ascii="仿宋_GB2312" w:eastAsia="仿宋_GB2312" w:hAnsi="宋体"/>
          <w:sz w:val="32"/>
          <w:szCs w:val="32"/>
        </w:rPr>
      </w:pPr>
      <w:r w:rsidRPr="00F27A94">
        <w:rPr>
          <w:rFonts w:ascii="仿宋_GB2312" w:eastAsia="仿宋_GB2312" w:hAnsi="宋体" w:hint="eastAsia"/>
          <w:sz w:val="32"/>
          <w:szCs w:val="32"/>
        </w:rPr>
        <w:t>本通知适用于新区范围内的工业用地本通知所称工业用地，是指与规划条件对应确定的土地利用现状分类中的工业用地，或符合城乡规划的现状工业用地。新区政府《关于支持新型产业用地高效复合利用暂行办法》</w:t>
      </w:r>
      <w:r w:rsidRPr="00F27A94">
        <w:rPr>
          <w:rFonts w:ascii="仿宋_GB2312" w:eastAsia="仿宋_GB2312" w:hAnsi="宋体" w:hint="eastAsia"/>
          <w:bCs/>
          <w:sz w:val="32"/>
          <w:szCs w:val="32"/>
        </w:rPr>
        <w:t>中规定</w:t>
      </w:r>
      <w:r w:rsidRPr="00F27A94">
        <w:rPr>
          <w:rFonts w:ascii="仿宋_GB2312" w:eastAsia="仿宋_GB2312" w:hAnsi="宋体" w:hint="eastAsia"/>
          <w:sz w:val="32"/>
          <w:szCs w:val="32"/>
        </w:rPr>
        <w:t>新型产业用地除外。</w:t>
      </w:r>
    </w:p>
    <w:p w:rsidR="00BF7292" w:rsidRPr="00F27A94" w:rsidRDefault="00257FC5">
      <w:pPr>
        <w:pStyle w:val="ad"/>
        <w:spacing w:line="560" w:lineRule="exact"/>
        <w:ind w:firstLine="640"/>
        <w:rPr>
          <w:rFonts w:ascii="仿宋_GB2312" w:eastAsia="仿宋_GB2312" w:hAnsi="宋体"/>
          <w:sz w:val="32"/>
          <w:szCs w:val="32"/>
        </w:rPr>
      </w:pPr>
      <w:r w:rsidRPr="00F27A94">
        <w:rPr>
          <w:rFonts w:ascii="仿宋_GB2312" w:eastAsia="仿宋_GB2312" w:hAnsi="宋体" w:hint="eastAsia"/>
          <w:sz w:val="32"/>
          <w:szCs w:val="32"/>
        </w:rPr>
        <w:t>仓储用地可参照本通知执行。</w:t>
      </w:r>
    </w:p>
    <w:p w:rsidR="00BF7292" w:rsidRPr="00F27A94" w:rsidRDefault="00257FC5">
      <w:pPr>
        <w:pStyle w:val="ad"/>
        <w:spacing w:line="560" w:lineRule="exact"/>
        <w:ind w:firstLine="643"/>
        <w:rPr>
          <w:rFonts w:ascii="仿宋_GB2312" w:eastAsia="仿宋_GB2312" w:hAnsi="宋体"/>
          <w:b/>
          <w:sz w:val="32"/>
          <w:szCs w:val="32"/>
        </w:rPr>
      </w:pPr>
      <w:r w:rsidRPr="00F27A94">
        <w:rPr>
          <w:rFonts w:ascii="仿宋_GB2312" w:eastAsia="仿宋_GB2312" w:hAnsi="宋体" w:hint="eastAsia"/>
          <w:b/>
          <w:sz w:val="32"/>
          <w:szCs w:val="32"/>
        </w:rPr>
        <w:t>二、优化工业用地供应管理</w:t>
      </w:r>
    </w:p>
    <w:p w:rsidR="00BF7292" w:rsidRPr="00F27A94" w:rsidRDefault="00257FC5">
      <w:pPr>
        <w:pStyle w:val="ad"/>
        <w:spacing w:line="560" w:lineRule="exact"/>
        <w:ind w:firstLine="640"/>
        <w:rPr>
          <w:rFonts w:ascii="仿宋_GB2312" w:eastAsia="仿宋_GB2312" w:hAnsi="宋体"/>
          <w:sz w:val="32"/>
          <w:szCs w:val="32"/>
        </w:rPr>
      </w:pPr>
      <w:r w:rsidRPr="00F27A94">
        <w:rPr>
          <w:rFonts w:ascii="仿宋_GB2312" w:eastAsia="仿宋_GB2312" w:hAnsi="宋体" w:hint="eastAsia"/>
          <w:sz w:val="32"/>
          <w:szCs w:val="32"/>
        </w:rPr>
        <w:t>（一）实行工业用地弹性年期出让制度。“弹性年期出让”是指在工业用地法定最高出让年限内，根据国家产业政策、工业项目生命周期和用地单位意向等综合确定合理出让年期。</w:t>
      </w:r>
    </w:p>
    <w:p w:rsidR="00BF7292" w:rsidRPr="00F27A94" w:rsidRDefault="00257FC5">
      <w:pPr>
        <w:pStyle w:val="ad"/>
        <w:spacing w:line="560" w:lineRule="exact"/>
        <w:ind w:firstLine="640"/>
        <w:rPr>
          <w:rFonts w:ascii="仿宋_GB2312" w:eastAsia="仿宋_GB2312" w:hAnsi="宋体"/>
          <w:sz w:val="32"/>
          <w:szCs w:val="32"/>
        </w:rPr>
      </w:pPr>
      <w:r w:rsidRPr="00F27A94">
        <w:rPr>
          <w:rFonts w:ascii="仿宋_GB2312" w:eastAsia="仿宋_GB2312" w:hAnsi="宋体" w:hint="eastAsia"/>
          <w:sz w:val="32"/>
          <w:szCs w:val="32"/>
        </w:rPr>
        <w:t>工业用地出让时，需在出让方案中明确用地性质、土地面积、容积率、建筑密度、建筑限高、绿地率、出让年期、投资强度、预估地均税收（地均产出）等使用条件。</w:t>
      </w:r>
    </w:p>
    <w:p w:rsidR="00BF7292" w:rsidRPr="00F27A94" w:rsidRDefault="00257FC5">
      <w:pPr>
        <w:pStyle w:val="ad"/>
        <w:numPr>
          <w:ilvl w:val="0"/>
          <w:numId w:val="1"/>
        </w:numPr>
        <w:spacing w:line="560" w:lineRule="exact"/>
        <w:ind w:firstLine="640"/>
        <w:rPr>
          <w:rFonts w:ascii="仿宋_GB2312" w:eastAsia="仿宋_GB2312" w:hAnsi="微软雅黑" w:cs="宋体"/>
          <w:b/>
          <w:bCs/>
          <w:spacing w:val="7"/>
          <w:sz w:val="30"/>
          <w:szCs w:val="30"/>
        </w:rPr>
      </w:pPr>
      <w:r w:rsidRPr="00F27A94">
        <w:rPr>
          <w:rFonts w:ascii="仿宋_GB2312" w:eastAsia="仿宋_GB2312" w:hAnsi="宋体" w:hint="eastAsia"/>
          <w:sz w:val="32"/>
          <w:szCs w:val="32"/>
        </w:rPr>
        <w:t>工业用地弹性年期出让原则上不超过20年。弹性年期出让起始</w:t>
      </w:r>
      <w:proofErr w:type="gramStart"/>
      <w:r w:rsidRPr="00F27A94">
        <w:rPr>
          <w:rFonts w:ascii="仿宋_GB2312" w:eastAsia="仿宋_GB2312" w:hAnsi="宋体" w:hint="eastAsia"/>
          <w:sz w:val="32"/>
          <w:szCs w:val="32"/>
        </w:rPr>
        <w:t>价根据</w:t>
      </w:r>
      <w:proofErr w:type="gramEnd"/>
      <w:r w:rsidRPr="00F27A94">
        <w:rPr>
          <w:rFonts w:ascii="仿宋_GB2312" w:eastAsia="仿宋_GB2312" w:hAnsi="宋体" w:hint="eastAsia"/>
          <w:sz w:val="32"/>
          <w:szCs w:val="32"/>
        </w:rPr>
        <w:t>工业用地法定最高出让年限市场评估价格进</w:t>
      </w:r>
      <w:r w:rsidRPr="00F27A94">
        <w:rPr>
          <w:rFonts w:ascii="仿宋_GB2312" w:eastAsia="仿宋_GB2312" w:hAnsi="宋体" w:hint="eastAsia"/>
          <w:sz w:val="32"/>
          <w:szCs w:val="32"/>
        </w:rPr>
        <w:lastRenderedPageBreak/>
        <w:t>行修正后确定，修正系数为弹性年期出让年限与法定最高出让年限的比值。即:起始价=(弹性出让年期÷50)×出让50年市场评估价。</w:t>
      </w:r>
    </w:p>
    <w:p w:rsidR="00BF7292" w:rsidRPr="00F27A94" w:rsidRDefault="00257FC5">
      <w:pPr>
        <w:pStyle w:val="ad"/>
        <w:numPr>
          <w:ilvl w:val="0"/>
          <w:numId w:val="2"/>
        </w:numPr>
        <w:spacing w:line="560" w:lineRule="exact"/>
        <w:ind w:firstLine="640"/>
        <w:rPr>
          <w:rFonts w:ascii="仿宋_GB2312" w:eastAsia="仿宋_GB2312" w:hAnsi="宋体"/>
          <w:sz w:val="32"/>
          <w:szCs w:val="32"/>
        </w:rPr>
      </w:pPr>
      <w:r w:rsidRPr="00F27A94">
        <w:rPr>
          <w:rFonts w:ascii="仿宋_GB2312" w:eastAsia="仿宋_GB2312" w:hAnsi="宋体" w:hint="eastAsia"/>
          <w:sz w:val="32"/>
          <w:szCs w:val="32"/>
        </w:rPr>
        <w:t>坚持实施土地利用全生命周期管理，实现项目开竣工、投达产、企业用地绩效评估和土地使用权退出的全过程监管。</w:t>
      </w:r>
    </w:p>
    <w:p w:rsidR="00BF7292" w:rsidRPr="00F27A94" w:rsidRDefault="00257FC5">
      <w:pPr>
        <w:pStyle w:val="ad"/>
        <w:spacing w:line="560" w:lineRule="exact"/>
        <w:ind w:firstLineChars="300" w:firstLine="960"/>
        <w:rPr>
          <w:rFonts w:ascii="仿宋_GB2312" w:eastAsia="仿宋_GB2312" w:hAnsi="宋体"/>
          <w:sz w:val="32"/>
          <w:szCs w:val="32"/>
        </w:rPr>
      </w:pPr>
      <w:r w:rsidRPr="00F27A94">
        <w:rPr>
          <w:rFonts w:ascii="宋体" w:eastAsia="仿宋_GB2312" w:hAnsi="宋体" w:hint="eastAsia"/>
          <w:sz w:val="32"/>
          <w:szCs w:val="32"/>
        </w:rPr>
        <w:t>企业退出节余工业用地的收购价格由政府和企业协商确定，可在原出让价格基础上，增加适当的财务成本和管理费用，原则上不得高于上一年度区域内工业用地平均价格。</w:t>
      </w:r>
    </w:p>
    <w:p w:rsidR="00BF7292" w:rsidRPr="00F27A94" w:rsidRDefault="00257FC5">
      <w:pPr>
        <w:pStyle w:val="ad"/>
        <w:spacing w:line="560" w:lineRule="exact"/>
        <w:ind w:firstLine="640"/>
        <w:rPr>
          <w:rFonts w:ascii="宋体" w:eastAsia="仿宋_GB2312" w:hAnsi="宋体"/>
          <w:sz w:val="32"/>
          <w:szCs w:val="32"/>
        </w:rPr>
      </w:pPr>
      <w:r w:rsidRPr="00F27A94">
        <w:rPr>
          <w:rFonts w:ascii="宋体" w:eastAsia="仿宋_GB2312" w:hAnsi="宋体" w:hint="eastAsia"/>
          <w:sz w:val="32"/>
          <w:szCs w:val="32"/>
        </w:rPr>
        <w:t>（四）完善工业用地续期使用制度。土地受让方应当在国有建设用地使用权到期前，按照合同约定的有效时限，向出让方提出续期使用申请。符合土地利用总体规划、城乡规划和产业发展规划，且经新区政府（各开发区管委会）确定的考核部门牵头组织工信局、税务局、环保局、规划和自然资源等部门对项目产出、税收等综合评估，产业类型、投资强度、产出效率</w:t>
      </w:r>
      <w:r w:rsidRPr="00F27A94">
        <w:rPr>
          <w:rFonts w:ascii="宋体" w:eastAsia="仿宋_GB2312" w:hAnsi="宋体" w:hint="eastAsia"/>
          <w:sz w:val="32"/>
          <w:szCs w:val="32"/>
        </w:rPr>
        <w:t>(</w:t>
      </w:r>
      <w:r w:rsidRPr="00F27A94">
        <w:rPr>
          <w:rFonts w:ascii="宋体" w:eastAsia="仿宋_GB2312" w:hAnsi="宋体" w:hint="eastAsia"/>
          <w:sz w:val="32"/>
          <w:szCs w:val="32"/>
        </w:rPr>
        <w:t>含地均产出</w:t>
      </w:r>
      <w:r w:rsidRPr="00F27A94">
        <w:rPr>
          <w:rFonts w:ascii="宋体" w:eastAsia="仿宋_GB2312" w:hAnsi="宋体" w:hint="eastAsia"/>
          <w:sz w:val="32"/>
          <w:szCs w:val="32"/>
        </w:rPr>
        <w:t>)</w:t>
      </w:r>
      <w:r w:rsidRPr="00F27A94">
        <w:rPr>
          <w:rFonts w:ascii="宋体" w:eastAsia="仿宋_GB2312" w:hAnsi="宋体" w:hint="eastAsia"/>
          <w:sz w:val="32"/>
          <w:szCs w:val="32"/>
        </w:rPr>
        <w:t>、节能环保等达到合同约定使用条件的，可以结合原土地使用权权利类型以协议方式续期使用，原则上再续期不超过</w:t>
      </w:r>
      <w:r w:rsidRPr="00F27A94">
        <w:rPr>
          <w:rFonts w:ascii="宋体" w:eastAsia="仿宋_GB2312" w:hAnsi="宋体" w:hint="eastAsia"/>
          <w:sz w:val="32"/>
          <w:szCs w:val="32"/>
        </w:rPr>
        <w:t>20</w:t>
      </w:r>
      <w:r w:rsidRPr="00F27A94">
        <w:rPr>
          <w:rFonts w:ascii="宋体" w:eastAsia="仿宋_GB2312" w:hAnsi="宋体" w:hint="eastAsia"/>
          <w:sz w:val="32"/>
          <w:szCs w:val="32"/>
        </w:rPr>
        <w:t>年。受让方未提出续期申请，或提出续期申请未获批准的，国有建设用地使用权使用期限届满后依法予以收回，对地上可继续使用的建筑物，由出让人收回并根据收回时的残余价值，给予土地使用者相应补偿。</w:t>
      </w:r>
    </w:p>
    <w:p w:rsidR="00BF7292" w:rsidRPr="00F27A94" w:rsidRDefault="00257FC5">
      <w:pPr>
        <w:pStyle w:val="ad"/>
        <w:spacing w:line="560" w:lineRule="exact"/>
        <w:ind w:firstLine="640"/>
        <w:rPr>
          <w:rFonts w:ascii="微软雅黑" w:eastAsia="宋体" w:hAnsi="微软雅黑" w:cs="宋体"/>
          <w:kern w:val="0"/>
          <w:szCs w:val="21"/>
        </w:rPr>
      </w:pPr>
      <w:r w:rsidRPr="00F27A94">
        <w:rPr>
          <w:rFonts w:ascii="宋体" w:eastAsia="仿宋_GB2312" w:hAnsi="宋体" w:hint="eastAsia"/>
          <w:sz w:val="32"/>
          <w:szCs w:val="32"/>
        </w:rPr>
        <w:t>（五）加强土壤和环境保护。工业用地使用过程中造成严重环境污染的，经环保部门认定，按照“谁污染、谁付费”的原则，要求建设用地使用权人承担土壤和地下水地质环境修复的相关费用。工业项目退出时应按照土壤污染防治法相关规定做好土壤</w:t>
      </w:r>
      <w:r w:rsidRPr="00F27A94">
        <w:rPr>
          <w:rFonts w:ascii="宋体" w:eastAsia="仿宋_GB2312" w:hAnsi="宋体" w:hint="eastAsia"/>
          <w:sz w:val="32"/>
          <w:szCs w:val="32"/>
        </w:rPr>
        <w:lastRenderedPageBreak/>
        <w:t>污染评价和防护措施，其中属于土壤污染重点监管单位的，应制</w:t>
      </w:r>
      <w:proofErr w:type="gramStart"/>
      <w:r w:rsidRPr="00F27A94">
        <w:rPr>
          <w:rFonts w:ascii="宋体" w:eastAsia="仿宋_GB2312" w:hAnsi="宋体" w:hint="eastAsia"/>
          <w:sz w:val="32"/>
          <w:szCs w:val="32"/>
        </w:rPr>
        <w:t>定包括</w:t>
      </w:r>
      <w:proofErr w:type="gramEnd"/>
      <w:r w:rsidRPr="00F27A94">
        <w:rPr>
          <w:rFonts w:ascii="宋体" w:eastAsia="仿宋_GB2312" w:hAnsi="宋体" w:hint="eastAsia"/>
          <w:sz w:val="32"/>
          <w:szCs w:val="32"/>
        </w:rPr>
        <w:t>应急措施在内的土壤污染防治工作方案，报属地生态环境、工业和信息化主管部门备案并实施。</w:t>
      </w:r>
    </w:p>
    <w:p w:rsidR="00BF7292" w:rsidRPr="00F27A94" w:rsidRDefault="00257FC5">
      <w:pPr>
        <w:pStyle w:val="ad"/>
        <w:spacing w:line="560" w:lineRule="exact"/>
        <w:ind w:firstLine="640"/>
        <w:rPr>
          <w:rFonts w:ascii="宋体" w:eastAsia="黑体" w:hAnsi="宋体"/>
          <w:sz w:val="32"/>
          <w:szCs w:val="32"/>
        </w:rPr>
      </w:pPr>
      <w:r w:rsidRPr="00F27A94">
        <w:rPr>
          <w:rFonts w:ascii="宋体" w:eastAsia="黑体" w:hAnsi="宋体" w:hint="eastAsia"/>
          <w:sz w:val="32"/>
          <w:szCs w:val="32"/>
        </w:rPr>
        <w:t>三、</w:t>
      </w:r>
      <w:r w:rsidRPr="00F27A94">
        <w:rPr>
          <w:rFonts w:ascii="宋体" w:eastAsia="黑体" w:hAnsi="宋体"/>
          <w:sz w:val="32"/>
          <w:szCs w:val="32"/>
        </w:rPr>
        <w:t>建立监管机制</w:t>
      </w:r>
    </w:p>
    <w:p w:rsidR="00BF7292" w:rsidRPr="00F27A94" w:rsidRDefault="00257FC5">
      <w:pPr>
        <w:pStyle w:val="ad"/>
        <w:spacing w:line="560" w:lineRule="exact"/>
        <w:ind w:firstLine="640"/>
        <w:rPr>
          <w:rFonts w:ascii="宋体" w:eastAsia="仿宋_GB2312" w:hAnsi="宋体"/>
          <w:sz w:val="32"/>
          <w:szCs w:val="32"/>
        </w:rPr>
      </w:pPr>
      <w:r w:rsidRPr="00F27A94">
        <w:rPr>
          <w:rFonts w:ascii="宋体" w:eastAsia="仿宋_GB2312" w:hAnsi="宋体" w:hint="eastAsia"/>
          <w:sz w:val="32"/>
          <w:szCs w:val="32"/>
        </w:rPr>
        <w:t>区人民政府（各开发区管委会）组织相关部门按照相关法律法规和履约监管协议书对企业履约情况实施共同监管，提高土地利用效益。</w:t>
      </w:r>
      <w:r w:rsidRPr="00F27A94">
        <w:rPr>
          <w:rFonts w:ascii="仿宋_GB2312" w:eastAsia="仿宋_GB2312" w:hint="eastAsia"/>
          <w:sz w:val="32"/>
          <w:szCs w:val="32"/>
        </w:rPr>
        <w:t>规划和自然资源部门对容积率、建筑密度、绿地率、规划建筑限高情况实施监管，住房和城乡建设部门对相关房屋建筑项目的开工、建设标准、竣工验收情况实施监管，发展改革部门对准</w:t>
      </w:r>
      <w:proofErr w:type="gramStart"/>
      <w:r w:rsidRPr="00F27A94">
        <w:rPr>
          <w:rFonts w:ascii="仿宋_GB2312" w:eastAsia="仿宋_GB2312" w:hint="eastAsia"/>
          <w:sz w:val="32"/>
          <w:szCs w:val="32"/>
        </w:rPr>
        <w:t>入产业</w:t>
      </w:r>
      <w:proofErr w:type="gramEnd"/>
      <w:r w:rsidRPr="00F27A94">
        <w:rPr>
          <w:rFonts w:ascii="仿宋_GB2312" w:eastAsia="仿宋_GB2312" w:hint="eastAsia"/>
          <w:sz w:val="32"/>
          <w:szCs w:val="32"/>
        </w:rPr>
        <w:t>类别、固定资产投资情况实施监管，生态环境部门对环保情况实施监管，其他行政主管部门按照职能对其他相关指标实施监管。</w:t>
      </w:r>
      <w:r w:rsidRPr="00F27A94">
        <w:rPr>
          <w:rFonts w:ascii="宋体" w:eastAsia="仿宋_GB2312" w:hAnsi="宋体" w:hint="eastAsia"/>
          <w:sz w:val="32"/>
          <w:szCs w:val="32"/>
        </w:rPr>
        <w:t>对辖区</w:t>
      </w:r>
      <w:proofErr w:type="gramStart"/>
      <w:r w:rsidRPr="00F27A94">
        <w:rPr>
          <w:rFonts w:ascii="宋体" w:eastAsia="仿宋_GB2312" w:hAnsi="宋体" w:hint="eastAsia"/>
          <w:sz w:val="32"/>
          <w:szCs w:val="32"/>
        </w:rPr>
        <w:t>内考核</w:t>
      </w:r>
      <w:proofErr w:type="gramEnd"/>
      <w:r w:rsidRPr="00F27A94">
        <w:rPr>
          <w:rFonts w:ascii="宋体" w:eastAsia="仿宋_GB2312" w:hAnsi="宋体" w:hint="eastAsia"/>
          <w:sz w:val="32"/>
          <w:szCs w:val="32"/>
        </w:rPr>
        <w:t>不合格的产业项目，依约依规追究责任，并按法律法规</w:t>
      </w:r>
      <w:proofErr w:type="gramStart"/>
      <w:r w:rsidRPr="00F27A94">
        <w:rPr>
          <w:rFonts w:ascii="宋体" w:eastAsia="仿宋_GB2312" w:hAnsi="宋体" w:hint="eastAsia"/>
          <w:sz w:val="32"/>
          <w:szCs w:val="32"/>
        </w:rPr>
        <w:t>作出</w:t>
      </w:r>
      <w:proofErr w:type="gramEnd"/>
      <w:r w:rsidRPr="00F27A94">
        <w:rPr>
          <w:rFonts w:ascii="宋体" w:eastAsia="仿宋_GB2312" w:hAnsi="宋体" w:hint="eastAsia"/>
          <w:sz w:val="32"/>
          <w:szCs w:val="32"/>
        </w:rPr>
        <w:t>处罚措施。区人民政府（各开发区管委会）要定期对产业项目准入、运营等情况进行监测评估，公开执行情况，接受社会监督；要进一步强化企业信用管理，将违反合同的失信企业列入黑名单，限制其取得政府供应的土地。</w:t>
      </w:r>
    </w:p>
    <w:p w:rsidR="00BF7292" w:rsidRPr="00F27A94" w:rsidRDefault="00257FC5">
      <w:pPr>
        <w:pStyle w:val="ad"/>
        <w:spacing w:line="560" w:lineRule="exact"/>
        <w:ind w:firstLine="640"/>
        <w:rPr>
          <w:rFonts w:ascii="仿宋_GB2312" w:eastAsia="仿宋_GB2312"/>
          <w:sz w:val="32"/>
          <w:szCs w:val="32"/>
        </w:rPr>
      </w:pPr>
      <w:r w:rsidRPr="00F27A94">
        <w:rPr>
          <w:rFonts w:ascii="仿宋_GB2312" w:eastAsia="仿宋_GB2312" w:hint="eastAsia"/>
          <w:sz w:val="32"/>
          <w:szCs w:val="32"/>
        </w:rPr>
        <w:t>本通知自印发之日起施行，有效期5年。</w:t>
      </w:r>
    </w:p>
    <w:p w:rsidR="00BF7292" w:rsidRPr="00F27A94" w:rsidRDefault="00BF7292">
      <w:pPr>
        <w:pStyle w:val="ad"/>
        <w:spacing w:line="480" w:lineRule="auto"/>
        <w:ind w:firstLine="560"/>
        <w:rPr>
          <w:rFonts w:ascii="仿宋_GB2312" w:eastAsia="仿宋_GB2312"/>
          <w:sz w:val="28"/>
          <w:szCs w:val="28"/>
        </w:rPr>
      </w:pPr>
    </w:p>
    <w:sectPr w:rsidR="00BF7292" w:rsidRPr="00F27A94" w:rsidSect="00BF7292">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C5" w:rsidRDefault="00257FC5" w:rsidP="00E9455E">
      <w:r>
        <w:separator/>
      </w:r>
    </w:p>
  </w:endnote>
  <w:endnote w:type="continuationSeparator" w:id="1">
    <w:p w:rsidR="00257FC5" w:rsidRDefault="00257FC5" w:rsidP="00E9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C5" w:rsidRDefault="00257FC5" w:rsidP="00E9455E">
      <w:r>
        <w:separator/>
      </w:r>
    </w:p>
  </w:footnote>
  <w:footnote w:type="continuationSeparator" w:id="1">
    <w:p w:rsidR="00257FC5" w:rsidRDefault="00257FC5" w:rsidP="00E9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AF067"/>
    <w:multiLevelType w:val="singleLevel"/>
    <w:tmpl w:val="4F4AF067"/>
    <w:lvl w:ilvl="0">
      <w:start w:val="3"/>
      <w:numFmt w:val="chineseCounting"/>
      <w:suff w:val="nothing"/>
      <w:lvlText w:val="（%1）"/>
      <w:lvlJc w:val="left"/>
      <w:rPr>
        <w:rFonts w:hint="eastAsia"/>
      </w:rPr>
    </w:lvl>
  </w:abstractNum>
  <w:abstractNum w:abstractNumId="1">
    <w:nsid w:val="57129C9B"/>
    <w:multiLevelType w:val="singleLevel"/>
    <w:tmpl w:val="8A42A8D0"/>
    <w:lvl w:ilvl="0">
      <w:start w:val="2"/>
      <w:numFmt w:val="chineseCounting"/>
      <w:lvlText w:val="（%1)"/>
      <w:lvlJc w:val="left"/>
      <w:pPr>
        <w:tabs>
          <w:tab w:val="left" w:pos="312"/>
        </w:tabs>
      </w:pPr>
      <w:rPr>
        <w:rFonts w:hint="eastAsia"/>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4EB1"/>
    <w:rsid w:val="00057E56"/>
    <w:rsid w:val="00072C4C"/>
    <w:rsid w:val="000E3F73"/>
    <w:rsid w:val="000F13EA"/>
    <w:rsid w:val="000F25A9"/>
    <w:rsid w:val="000F2B0D"/>
    <w:rsid w:val="000F61ED"/>
    <w:rsid w:val="0014215C"/>
    <w:rsid w:val="0015476C"/>
    <w:rsid w:val="0016217D"/>
    <w:rsid w:val="00162778"/>
    <w:rsid w:val="0016284B"/>
    <w:rsid w:val="0017124F"/>
    <w:rsid w:val="00182554"/>
    <w:rsid w:val="00190951"/>
    <w:rsid w:val="00195FE2"/>
    <w:rsid w:val="001D4E1A"/>
    <w:rsid w:val="001F4DD8"/>
    <w:rsid w:val="0022195A"/>
    <w:rsid w:val="00253F88"/>
    <w:rsid w:val="00257FC5"/>
    <w:rsid w:val="00264F0E"/>
    <w:rsid w:val="00282B99"/>
    <w:rsid w:val="002859B9"/>
    <w:rsid w:val="002A4C22"/>
    <w:rsid w:val="002C0B0A"/>
    <w:rsid w:val="002D1A50"/>
    <w:rsid w:val="00324EB1"/>
    <w:rsid w:val="00347F4B"/>
    <w:rsid w:val="00351DFF"/>
    <w:rsid w:val="00371D4A"/>
    <w:rsid w:val="003B4008"/>
    <w:rsid w:val="003D0C16"/>
    <w:rsid w:val="003D4140"/>
    <w:rsid w:val="003E4E73"/>
    <w:rsid w:val="003F438B"/>
    <w:rsid w:val="003F6E43"/>
    <w:rsid w:val="004265F5"/>
    <w:rsid w:val="0043148B"/>
    <w:rsid w:val="00456590"/>
    <w:rsid w:val="004B287E"/>
    <w:rsid w:val="0052186C"/>
    <w:rsid w:val="00571A47"/>
    <w:rsid w:val="00576A4C"/>
    <w:rsid w:val="00604565"/>
    <w:rsid w:val="006070FC"/>
    <w:rsid w:val="00625C90"/>
    <w:rsid w:val="0063731C"/>
    <w:rsid w:val="006E24BD"/>
    <w:rsid w:val="006E298B"/>
    <w:rsid w:val="00736C22"/>
    <w:rsid w:val="00770B3D"/>
    <w:rsid w:val="007A7F38"/>
    <w:rsid w:val="007E0388"/>
    <w:rsid w:val="007F7651"/>
    <w:rsid w:val="00854E24"/>
    <w:rsid w:val="00855764"/>
    <w:rsid w:val="00865F25"/>
    <w:rsid w:val="00875D0D"/>
    <w:rsid w:val="008945CA"/>
    <w:rsid w:val="008947AF"/>
    <w:rsid w:val="008C24C3"/>
    <w:rsid w:val="008D60F7"/>
    <w:rsid w:val="008D7472"/>
    <w:rsid w:val="008F142F"/>
    <w:rsid w:val="008F3FBA"/>
    <w:rsid w:val="00911EA2"/>
    <w:rsid w:val="0091749C"/>
    <w:rsid w:val="00920B29"/>
    <w:rsid w:val="00967457"/>
    <w:rsid w:val="009942A3"/>
    <w:rsid w:val="009A6C6E"/>
    <w:rsid w:val="009E640D"/>
    <w:rsid w:val="009F6DC2"/>
    <w:rsid w:val="00A01DB0"/>
    <w:rsid w:val="00A22BD0"/>
    <w:rsid w:val="00A40D75"/>
    <w:rsid w:val="00A56928"/>
    <w:rsid w:val="00A806B8"/>
    <w:rsid w:val="00A959C3"/>
    <w:rsid w:val="00A97365"/>
    <w:rsid w:val="00AA6658"/>
    <w:rsid w:val="00AF1167"/>
    <w:rsid w:val="00AF34FB"/>
    <w:rsid w:val="00B012DA"/>
    <w:rsid w:val="00B7144B"/>
    <w:rsid w:val="00B82F68"/>
    <w:rsid w:val="00BA5D37"/>
    <w:rsid w:val="00BB0A29"/>
    <w:rsid w:val="00BD1076"/>
    <w:rsid w:val="00BD1111"/>
    <w:rsid w:val="00BE53DB"/>
    <w:rsid w:val="00BF53CE"/>
    <w:rsid w:val="00BF5B03"/>
    <w:rsid w:val="00BF7292"/>
    <w:rsid w:val="00BF7BD0"/>
    <w:rsid w:val="00C04C81"/>
    <w:rsid w:val="00C1403B"/>
    <w:rsid w:val="00C57330"/>
    <w:rsid w:val="00C73824"/>
    <w:rsid w:val="00CA7213"/>
    <w:rsid w:val="00D01F4C"/>
    <w:rsid w:val="00D12F3F"/>
    <w:rsid w:val="00D1363A"/>
    <w:rsid w:val="00D17EB2"/>
    <w:rsid w:val="00D224E6"/>
    <w:rsid w:val="00D50F97"/>
    <w:rsid w:val="00D621BA"/>
    <w:rsid w:val="00D62E33"/>
    <w:rsid w:val="00D852C7"/>
    <w:rsid w:val="00D913DE"/>
    <w:rsid w:val="00E17039"/>
    <w:rsid w:val="00E6031D"/>
    <w:rsid w:val="00E9259C"/>
    <w:rsid w:val="00E933F7"/>
    <w:rsid w:val="00E9455E"/>
    <w:rsid w:val="00EA1EF6"/>
    <w:rsid w:val="00EA4419"/>
    <w:rsid w:val="00EB425C"/>
    <w:rsid w:val="00ED08B4"/>
    <w:rsid w:val="00ED60BF"/>
    <w:rsid w:val="00EF482F"/>
    <w:rsid w:val="00F25130"/>
    <w:rsid w:val="00F25D43"/>
    <w:rsid w:val="00F27A94"/>
    <w:rsid w:val="00F32F35"/>
    <w:rsid w:val="00F45C78"/>
    <w:rsid w:val="00F74E29"/>
    <w:rsid w:val="00F930F7"/>
    <w:rsid w:val="00FC0AD5"/>
    <w:rsid w:val="01D73110"/>
    <w:rsid w:val="086115BD"/>
    <w:rsid w:val="0C3E6E88"/>
    <w:rsid w:val="0C795BA0"/>
    <w:rsid w:val="0E6F1F72"/>
    <w:rsid w:val="12D94B27"/>
    <w:rsid w:val="13E6353D"/>
    <w:rsid w:val="15496044"/>
    <w:rsid w:val="163A172D"/>
    <w:rsid w:val="167D44AD"/>
    <w:rsid w:val="1B562492"/>
    <w:rsid w:val="1F990914"/>
    <w:rsid w:val="271F0972"/>
    <w:rsid w:val="292254D7"/>
    <w:rsid w:val="2C34197F"/>
    <w:rsid w:val="2FA722F2"/>
    <w:rsid w:val="30975E75"/>
    <w:rsid w:val="32970EBD"/>
    <w:rsid w:val="34D26D02"/>
    <w:rsid w:val="49580566"/>
    <w:rsid w:val="49AA7A00"/>
    <w:rsid w:val="4A117498"/>
    <w:rsid w:val="4A4B2295"/>
    <w:rsid w:val="4D7C5863"/>
    <w:rsid w:val="4E286621"/>
    <w:rsid w:val="50120FDC"/>
    <w:rsid w:val="55B432B0"/>
    <w:rsid w:val="595628DA"/>
    <w:rsid w:val="59EC7E5C"/>
    <w:rsid w:val="5D33457A"/>
    <w:rsid w:val="6E644886"/>
    <w:rsid w:val="708052F6"/>
    <w:rsid w:val="75891AE6"/>
    <w:rsid w:val="78743F06"/>
    <w:rsid w:val="7A8D6F2E"/>
    <w:rsid w:val="7EBC7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7292"/>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BF7292"/>
    <w:pPr>
      <w:spacing w:after="120"/>
    </w:pPr>
  </w:style>
  <w:style w:type="paragraph" w:styleId="a4">
    <w:name w:val="annotation text"/>
    <w:basedOn w:val="a"/>
    <w:link w:val="Char"/>
    <w:uiPriority w:val="99"/>
    <w:semiHidden/>
    <w:unhideWhenUsed/>
    <w:qFormat/>
    <w:rsid w:val="00BF7292"/>
    <w:pPr>
      <w:jc w:val="left"/>
    </w:pPr>
  </w:style>
  <w:style w:type="paragraph" w:styleId="a5">
    <w:name w:val="Balloon Text"/>
    <w:basedOn w:val="a"/>
    <w:link w:val="Char0"/>
    <w:uiPriority w:val="99"/>
    <w:semiHidden/>
    <w:unhideWhenUsed/>
    <w:qFormat/>
    <w:rsid w:val="00BF7292"/>
    <w:rPr>
      <w:sz w:val="18"/>
      <w:szCs w:val="18"/>
    </w:rPr>
  </w:style>
  <w:style w:type="paragraph" w:styleId="a6">
    <w:name w:val="footer"/>
    <w:basedOn w:val="a"/>
    <w:link w:val="Char1"/>
    <w:uiPriority w:val="99"/>
    <w:unhideWhenUsed/>
    <w:qFormat/>
    <w:rsid w:val="00BF7292"/>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BF729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BF7292"/>
    <w:pPr>
      <w:spacing w:beforeAutospacing="1" w:afterAutospacing="1"/>
      <w:jc w:val="left"/>
    </w:pPr>
    <w:rPr>
      <w:rFonts w:cs="Times New Roman"/>
      <w:kern w:val="0"/>
      <w:sz w:val="24"/>
      <w:szCs w:val="24"/>
    </w:rPr>
  </w:style>
  <w:style w:type="paragraph" w:styleId="a9">
    <w:name w:val="annotation subject"/>
    <w:basedOn w:val="a4"/>
    <w:next w:val="a4"/>
    <w:link w:val="Char3"/>
    <w:uiPriority w:val="99"/>
    <w:semiHidden/>
    <w:unhideWhenUsed/>
    <w:qFormat/>
    <w:rsid w:val="00BF7292"/>
    <w:rPr>
      <w:b/>
      <w:bCs/>
    </w:rPr>
  </w:style>
  <w:style w:type="table" w:styleId="aa">
    <w:name w:val="Table Grid"/>
    <w:basedOn w:val="a2"/>
    <w:uiPriority w:val="59"/>
    <w:qFormat/>
    <w:rsid w:val="00BF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sid w:val="00BF7292"/>
    <w:rPr>
      <w:b/>
    </w:rPr>
  </w:style>
  <w:style w:type="character" w:styleId="ac">
    <w:name w:val="annotation reference"/>
    <w:basedOn w:val="a1"/>
    <w:uiPriority w:val="99"/>
    <w:semiHidden/>
    <w:unhideWhenUsed/>
    <w:qFormat/>
    <w:rsid w:val="00BF7292"/>
    <w:rPr>
      <w:sz w:val="21"/>
      <w:szCs w:val="21"/>
    </w:rPr>
  </w:style>
  <w:style w:type="paragraph" w:customStyle="1" w:styleId="p0">
    <w:name w:val="p0"/>
    <w:basedOn w:val="a"/>
    <w:qFormat/>
    <w:rsid w:val="00BF7292"/>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34"/>
    <w:qFormat/>
    <w:rsid w:val="00BF7292"/>
    <w:pPr>
      <w:ind w:firstLineChars="200" w:firstLine="420"/>
    </w:pPr>
  </w:style>
  <w:style w:type="character" w:customStyle="1" w:styleId="Char2">
    <w:name w:val="页眉 Char"/>
    <w:basedOn w:val="a1"/>
    <w:link w:val="a7"/>
    <w:uiPriority w:val="99"/>
    <w:semiHidden/>
    <w:qFormat/>
    <w:rsid w:val="00BF7292"/>
    <w:rPr>
      <w:rFonts w:asciiTheme="minorHAnsi" w:eastAsiaTheme="minorEastAsia" w:hAnsiTheme="minorHAnsi" w:cstheme="minorBidi"/>
      <w:kern w:val="2"/>
      <w:sz w:val="18"/>
      <w:szCs w:val="18"/>
    </w:rPr>
  </w:style>
  <w:style w:type="character" w:customStyle="1" w:styleId="Char1">
    <w:name w:val="页脚 Char"/>
    <w:basedOn w:val="a1"/>
    <w:link w:val="a6"/>
    <w:uiPriority w:val="99"/>
    <w:qFormat/>
    <w:rsid w:val="00BF7292"/>
    <w:rPr>
      <w:rFonts w:asciiTheme="minorHAnsi" w:eastAsiaTheme="minorEastAsia" w:hAnsiTheme="minorHAnsi" w:cstheme="minorBidi"/>
      <w:kern w:val="2"/>
      <w:sz w:val="18"/>
      <w:szCs w:val="18"/>
    </w:rPr>
  </w:style>
  <w:style w:type="character" w:customStyle="1" w:styleId="Char">
    <w:name w:val="批注文字 Char"/>
    <w:basedOn w:val="a1"/>
    <w:link w:val="a4"/>
    <w:uiPriority w:val="99"/>
    <w:semiHidden/>
    <w:qFormat/>
    <w:rsid w:val="00BF7292"/>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qFormat/>
    <w:rsid w:val="00BF7292"/>
    <w:rPr>
      <w:rFonts w:asciiTheme="minorHAnsi" w:eastAsiaTheme="minorEastAsia" w:hAnsiTheme="minorHAnsi" w:cstheme="minorBidi"/>
      <w:b/>
      <w:bCs/>
      <w:kern w:val="2"/>
      <w:sz w:val="21"/>
      <w:szCs w:val="22"/>
    </w:rPr>
  </w:style>
  <w:style w:type="character" w:customStyle="1" w:styleId="Char0">
    <w:name w:val="批注框文本 Char"/>
    <w:basedOn w:val="a1"/>
    <w:link w:val="a5"/>
    <w:uiPriority w:val="99"/>
    <w:semiHidden/>
    <w:qFormat/>
    <w:rsid w:val="00BF72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CDDBF-EF54-4903-9F67-376A75E7C55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24</Characters>
  <Application>Microsoft Office Word</Application>
  <DocSecurity>0</DocSecurity>
  <Lines>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5</cp:revision>
  <cp:lastPrinted>2021-03-01T02:12:00Z</cp:lastPrinted>
  <dcterms:created xsi:type="dcterms:W3CDTF">2021-02-01T06:26:00Z</dcterms:created>
  <dcterms:modified xsi:type="dcterms:W3CDTF">2021-03-01T08:13:00Z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