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E03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02EE9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天津东疆综合保税区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促进商贸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流通</w:t>
      </w:r>
    </w:p>
    <w:p w14:paraId="6D1B9C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高质量发展的实施意见</w:t>
      </w:r>
    </w:p>
    <w:p w14:paraId="126E9E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38B51B9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第一章 总则</w:t>
      </w:r>
    </w:p>
    <w:p w14:paraId="16EFAA1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035D56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第一条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为深入贯彻落实党中央、国务院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关于完善商贸流通体系建设的</w:t>
      </w:r>
      <w:r>
        <w:rPr>
          <w:rFonts w:ascii="Times New Roman" w:hAnsi="Times New Roman" w:eastAsia="仿宋_GB2312" w:cs="Times New Roman"/>
          <w:sz w:val="36"/>
          <w:szCs w:val="36"/>
        </w:rPr>
        <w:t>决策部署，推动商贸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流通</w:t>
      </w:r>
      <w:r>
        <w:rPr>
          <w:rFonts w:ascii="Times New Roman" w:hAnsi="Times New Roman" w:eastAsia="仿宋_GB2312" w:cs="Times New Roman"/>
          <w:sz w:val="36"/>
          <w:szCs w:val="36"/>
        </w:rPr>
        <w:t>领域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产业</w:t>
      </w:r>
      <w:r>
        <w:rPr>
          <w:rFonts w:ascii="Times New Roman" w:hAnsi="Times New Roman" w:eastAsia="仿宋_GB2312" w:cs="Times New Roman"/>
          <w:sz w:val="36"/>
          <w:szCs w:val="36"/>
        </w:rPr>
        <w:t>高质量发展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，</w:t>
      </w:r>
      <w:r>
        <w:rPr>
          <w:rFonts w:ascii="Times New Roman" w:hAnsi="Times New Roman" w:eastAsia="仿宋_GB2312" w:cs="Times New Roman"/>
          <w:sz w:val="36"/>
          <w:szCs w:val="36"/>
        </w:rPr>
        <w:t>联通国内国际市场，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加快发展内外贸一体化，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提高数智化、绿色化、全球化水平，</w:t>
      </w:r>
      <w:r>
        <w:rPr>
          <w:rFonts w:ascii="Times New Roman" w:hAnsi="Times New Roman" w:eastAsia="仿宋_GB2312" w:cs="Times New Roman"/>
          <w:sz w:val="36"/>
          <w:szCs w:val="36"/>
        </w:rPr>
        <w:t>以国务院办公厅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《</w:t>
      </w:r>
      <w:r>
        <w:rPr>
          <w:rFonts w:ascii="Times New Roman" w:hAnsi="Times New Roman" w:eastAsia="仿宋_GB2312" w:cs="Times New Roman"/>
          <w:sz w:val="36"/>
          <w:szCs w:val="36"/>
        </w:rPr>
        <w:t>关于以高水平开放推动服务贸易高质量发展的意见》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《有效降低全社会物流成本行动方案》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ascii="Times New Roman" w:hAnsi="Times New Roman" w:eastAsia="仿宋_GB2312" w:cs="Times New Roman"/>
          <w:sz w:val="36"/>
          <w:szCs w:val="36"/>
        </w:rPr>
        <w:t>商务部《关于完善现代商贸流通体系推动批发零售业高质量发展的行动计划》《关于促进外贸稳定增长的若干政策措施》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《加快数智供应链发展专项行动计划》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等</w:t>
      </w:r>
      <w:r>
        <w:rPr>
          <w:rFonts w:ascii="Times New Roman" w:hAnsi="Times New Roman" w:eastAsia="仿宋_GB2312" w:cs="Times New Roman"/>
          <w:sz w:val="36"/>
          <w:szCs w:val="36"/>
        </w:rPr>
        <w:t>文件精神为指导，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结合东疆实际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，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制定本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意见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45A2CF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 xml:space="preserve">第二条 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本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意见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支持的对象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 w:bidi="ar"/>
        </w:rPr>
        <w:t>在</w:t>
      </w:r>
      <w:r>
        <w:rPr>
          <w:rFonts w:hint="default" w:ascii="仿宋_GB2312" w:hAnsi="Times New Roman" w:eastAsia="仿宋_GB2312" w:cs="仿宋_GB2312"/>
          <w:kern w:val="2"/>
          <w:sz w:val="36"/>
          <w:szCs w:val="36"/>
          <w:lang w:val="en-US" w:eastAsia="zh-CN" w:bidi="ar"/>
        </w:rPr>
        <w:t>东疆合规</w:t>
      </w:r>
      <w:r>
        <w:rPr>
          <w:rFonts w:hint="eastAsia" w:ascii="仿宋_GB2312" w:hAnsi="Times New Roman" w:eastAsia="仿宋_GB2312" w:cs="仿宋_GB2312"/>
          <w:kern w:val="2"/>
          <w:sz w:val="36"/>
          <w:szCs w:val="36"/>
          <w:lang w:val="en-US" w:eastAsia="zh-CN" w:bidi="ar"/>
        </w:rPr>
        <w:t>开展生产经营活动</w:t>
      </w:r>
      <w:r>
        <w:rPr>
          <w:rFonts w:hint="default" w:ascii="仿宋_GB2312" w:hAnsi="Times New Roman" w:eastAsia="仿宋_GB2312" w:cs="仿宋_GB2312"/>
          <w:kern w:val="2"/>
          <w:sz w:val="36"/>
          <w:szCs w:val="36"/>
          <w:lang w:val="en-US" w:eastAsia="zh-CN" w:bidi="ar"/>
        </w:rPr>
        <w:t>的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商贸流通领域经营者</w:t>
      </w:r>
      <w:r>
        <w:rPr>
          <w:rFonts w:ascii="Times New Roman" w:hAnsi="Times New Roman" w:eastAsia="仿宋_GB2312" w:cs="Times New Roman"/>
          <w:sz w:val="36"/>
          <w:szCs w:val="36"/>
        </w:rPr>
        <w:t>。</w:t>
      </w:r>
    </w:p>
    <w:p w14:paraId="3998A7E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34F760E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6"/>
          <w:szCs w:val="36"/>
          <w:lang w:eastAsia="zh"/>
        </w:rPr>
        <w:t>第二章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ascii="Times New Roman" w:hAnsi="Times New Roman" w:eastAsia="黑体" w:cs="Times New Roman"/>
          <w:sz w:val="36"/>
          <w:szCs w:val="36"/>
          <w:lang w:eastAsia="zh"/>
        </w:rPr>
        <w:t>支持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"/>
        </w:rPr>
        <w:t>措施</w:t>
      </w:r>
    </w:p>
    <w:p w14:paraId="114C2FD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黑体" w:cs="Times New Roman"/>
          <w:sz w:val="36"/>
          <w:szCs w:val="36"/>
        </w:rPr>
      </w:pPr>
    </w:p>
    <w:p w14:paraId="32D51DD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3" w:firstLineChars="200"/>
        <w:jc w:val="left"/>
        <w:textAlignment w:val="auto"/>
        <w:rPr>
          <w:rFonts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第三条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</w:rPr>
        <w:t xml:space="preserve"> 加快商贸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</w:rPr>
        <w:t>提级发展</w:t>
      </w:r>
    </w:p>
    <w:p w14:paraId="25F451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（一）培育大型供应链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统筹能力强、协同水平高的供应链领军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，通过包采包销、运输配送等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方式，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向上下游延伸服务。</w:t>
      </w:r>
    </w:p>
    <w:p w14:paraId="658914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（二）提高供应链协同水平。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支持供应链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联合上下游，加强产供销储运一体化运营服务，降低库存和运输成本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61D324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（三）强化供应链金融服务。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加强信息共享，建立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供应链信用数据库，提供信用评价和风险预警服务，规范发展基于真实交易的供应链金融。</w:t>
      </w:r>
    </w:p>
    <w:p w14:paraId="44CE961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"/>
        </w:rPr>
        <w:t>第四条 加快商贸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物流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"/>
        </w:rPr>
        <w:t>开放融合发展</w:t>
      </w:r>
    </w:p>
    <w:p w14:paraId="0D605E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（四）鼓励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贸易出海。支持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参与共建“一带一路”，与上下游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协同“走出去”。</w:t>
      </w:r>
    </w:p>
    <w:p w14:paraId="7B4334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（五）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sz w:val="36"/>
          <w:szCs w:val="36"/>
          <w:lang w:eastAsia="zh"/>
        </w:rPr>
        <w:t>“前置仓+海外仓”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"/>
        </w:rPr>
        <w:t>联动发展。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鼓励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开拓海外市场、扩大产品出口、提升品牌影响力，</w:t>
      </w:r>
      <w:r>
        <w:rPr>
          <w:rFonts w:ascii="Times New Roman" w:hAnsi="Times New Roman" w:eastAsia="仿宋_GB2312" w:cs="Times New Roman"/>
          <w:sz w:val="36"/>
          <w:szCs w:val="36"/>
          <w:lang w:val="en-US" w:eastAsia="zh"/>
        </w:rPr>
        <w:t>积极布局海外仓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，推动国内外仓储高效协同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248E78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（六）鼓励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航运经营者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"/>
        </w:rPr>
        <w:t>拓展跨境业务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。鼓励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航运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开通外贸新航线，拓展内外贸货物跨境运输业务范围和货物品类，做大港口航运规模，提升港口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服务效能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40646C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（七）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支持航运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进行船舶数字化、智能化、绿色化转型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，</w:t>
      </w:r>
      <w:r>
        <w:rPr>
          <w:rFonts w:ascii="Times New Roman" w:hAnsi="Times New Roman" w:eastAsia="仿宋_GB2312" w:cs="Times New Roman"/>
          <w:sz w:val="36"/>
          <w:szCs w:val="36"/>
          <w:lang w:val="en-US" w:eastAsia="zh"/>
        </w:rPr>
        <w:t>提升港口运营效率与服务能级。</w:t>
      </w:r>
    </w:p>
    <w:p w14:paraId="4127D5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）加快海外公共服务平台建设。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协同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公共服务平台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，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支持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开拓国际市场，提升国际竞争力和品牌影响力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37A4A9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九）支持经营者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强化国际营销。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鼓励经营者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制定全球营销推广计划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加强国际交流，持续扩大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知名度、美誉度和影响力。</w:t>
      </w:r>
    </w:p>
    <w:p w14:paraId="30422D0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3" w:firstLineChars="200"/>
        <w:jc w:val="left"/>
        <w:textAlignment w:val="auto"/>
        <w:rPr>
          <w:rFonts w:ascii="Times New Roman" w:hAnsi="Times New Roman" w:eastAsia="楷体_GB2312" w:cs="Times New Roman"/>
          <w:b/>
          <w:bCs/>
          <w:sz w:val="36"/>
          <w:szCs w:val="36"/>
          <w:lang w:eastAsia="zh"/>
        </w:rPr>
      </w:pP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第五条 支持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</w:rPr>
        <w:t>贸易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"/>
        </w:rPr>
        <w:t>新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</w:rPr>
        <w:t>业态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"/>
        </w:rPr>
        <w:t>多元化</w:t>
      </w: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发展</w:t>
      </w:r>
    </w:p>
    <w:p w14:paraId="18CAC7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）探索新型易货贸易。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支持经营者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积极开拓海外市场，加强与重点国家的商贸合作，增加易货贸易品类，扩大商贸规模。</w:t>
      </w:r>
    </w:p>
    <w:p w14:paraId="32B926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）促进跨境电商发展。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支持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建设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、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运营跨境电商产业园区，整合跨境电商平台资源，服务京津冀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走出去。提升跨境电商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海外服务能力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。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 xml:space="preserve"> </w:t>
      </w:r>
    </w:p>
    <w:p w14:paraId="55F9C3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）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"/>
        </w:rPr>
        <w:t>支持服务贸易创新发展。</w:t>
      </w:r>
      <w:r>
        <w:rPr>
          <w:rFonts w:ascii="Times New Roman" w:hAnsi="Times New Roman" w:eastAsia="仿宋_GB2312" w:cs="Times New Roman"/>
          <w:sz w:val="36"/>
          <w:szCs w:val="36"/>
        </w:rPr>
        <w:t>鼓励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</w:rPr>
        <w:t>进口国家鼓励的重点服务，</w:t>
      </w:r>
      <w:r>
        <w:rPr>
          <w:rFonts w:ascii="Times New Roman" w:hAnsi="Times New Roman" w:eastAsia="仿宋_GB2312" w:cs="Times New Roman"/>
          <w:sz w:val="36"/>
          <w:szCs w:val="36"/>
          <w:lang w:val="en-US" w:eastAsia="zh-CN"/>
        </w:rPr>
        <w:t>拓展离岸服务外包业务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6"/>
          <w:szCs w:val="36"/>
        </w:rPr>
        <w:t>优化进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出</w:t>
      </w:r>
      <w:r>
        <w:rPr>
          <w:rFonts w:ascii="Times New Roman" w:hAnsi="Times New Roman" w:eastAsia="仿宋_GB2312" w:cs="Times New Roman"/>
          <w:sz w:val="36"/>
          <w:szCs w:val="36"/>
        </w:rPr>
        <w:t>口结构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10DBCD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）助力绿色低碳发展。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鼓励发展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绿色贸易，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扩大绿色节能技术和服务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出口</w:t>
      </w:r>
      <w:r>
        <w:rPr>
          <w:rFonts w:ascii="Times New Roman" w:hAnsi="Times New Roman" w:eastAsia="仿宋_GB2312" w:cs="Times New Roman"/>
          <w:sz w:val="36"/>
          <w:szCs w:val="36"/>
        </w:rPr>
        <w:t>。</w:t>
      </w:r>
    </w:p>
    <w:p w14:paraId="5B549DE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第六条 支持数智供应链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"/>
        </w:rPr>
        <w:t>协同创新</w:t>
      </w:r>
    </w:p>
    <w:p w14:paraId="496992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（十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仿宋_GB2312" w:cs="Times New Roman"/>
          <w:sz w:val="36"/>
          <w:szCs w:val="36"/>
        </w:rPr>
        <w:t>）培育数智供应链领军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。</w:t>
      </w:r>
      <w:r>
        <w:rPr>
          <w:rFonts w:ascii="Times New Roman" w:hAnsi="Times New Roman" w:eastAsia="仿宋_GB2312" w:cs="Times New Roman"/>
          <w:sz w:val="36"/>
          <w:szCs w:val="36"/>
        </w:rPr>
        <w:t>鼓励在供应链中处于关键地位或具有核心竞争力的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</w:rPr>
        <w:t>整合数据资源，建设数智共享平台，加速数据流转和信息交互，为中小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</w:rPr>
        <w:t>提供技术赋能、市场开拓、融资授信等支持，打造紧密耦合、高效协同的供应链集群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ascii="Times New Roman" w:hAnsi="Times New Roman" w:eastAsia="仿宋_GB2312" w:cs="Times New Roman"/>
          <w:sz w:val="36"/>
          <w:szCs w:val="36"/>
        </w:rPr>
        <w:t>带动上下游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</w:rPr>
        <w:t>协同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实现数智化</w:t>
      </w:r>
      <w:r>
        <w:rPr>
          <w:rFonts w:ascii="Times New Roman" w:hAnsi="Times New Roman" w:eastAsia="仿宋_GB2312" w:cs="Times New Roman"/>
          <w:sz w:val="36"/>
          <w:szCs w:val="36"/>
        </w:rPr>
        <w:t>转型。</w:t>
      </w:r>
    </w:p>
    <w:p w14:paraId="445ECC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（十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）加快数字集成协同发展。鼓励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基于产销大数据打造数字供应链平台。发挥大型商贸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、数字化服务商数据整合优势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为中小商贸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提供“小快轻准”数字化转型解决方案，促进需求、库存和物流信息互联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互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通。</w:t>
      </w:r>
    </w:p>
    <w:p w14:paraId="583B12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（十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）建设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数智供应链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公共服务平台。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加强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政府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部门协同、上下联动，统筹推动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数智供应链公共服务平台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建设。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支持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数字化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供应链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平台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与公共服务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平台间数据打通，提升供应链效率和数字化水平。</w:t>
      </w:r>
    </w:p>
    <w:p w14:paraId="114E14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  <w:lang w:eastAsia="zh"/>
        </w:rPr>
      </w:pPr>
      <w:r>
        <w:rPr>
          <w:rFonts w:ascii="仿宋_GB2312" w:hAnsi="仿宋_GB2312" w:eastAsia="仿宋_GB2312" w:cs="仿宋_GB2312"/>
          <w:sz w:val="36"/>
          <w:szCs w:val="36"/>
          <w:lang w:eastAsia="zh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eastAsia="zh"/>
        </w:rPr>
        <w:t>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七</w:t>
      </w:r>
      <w:r>
        <w:rPr>
          <w:rFonts w:ascii="仿宋_GB2312" w:hAnsi="仿宋_GB2312" w:eastAsia="仿宋_GB2312" w:cs="仿宋_GB2312"/>
          <w:sz w:val="36"/>
          <w:szCs w:val="36"/>
          <w:lang w:eastAsia="zh"/>
        </w:rPr>
        <w:t>）加快数智供应链对外开放合作</w:t>
      </w:r>
      <w:r>
        <w:rPr>
          <w:rFonts w:hint="eastAsia" w:ascii="Arial" w:hAnsi="Arial" w:eastAsia="仿宋_GB2312" w:cs="Arial"/>
          <w:sz w:val="36"/>
          <w:szCs w:val="36"/>
          <w:lang w:eastAsia="zh"/>
        </w:rPr>
        <w:t>。</w:t>
      </w:r>
      <w:r>
        <w:rPr>
          <w:rFonts w:ascii="仿宋_GB2312" w:hAnsi="仿宋_GB2312" w:eastAsia="仿宋_GB2312" w:cs="仿宋_GB2312"/>
          <w:sz w:val="36"/>
          <w:szCs w:val="36"/>
          <w:lang w:eastAsia="zh"/>
        </w:rPr>
        <w:t>支持数智供应链与跨境电商、海外仓储物流协同发展，推动联设施、联数字、联标准。鼓励商品市场、电商平台、供应链服务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经营者</w:t>
      </w:r>
      <w:r>
        <w:rPr>
          <w:rFonts w:ascii="仿宋_GB2312" w:hAnsi="仿宋_GB2312" w:eastAsia="仿宋_GB2312" w:cs="仿宋_GB2312"/>
          <w:sz w:val="36"/>
          <w:szCs w:val="36"/>
          <w:lang w:eastAsia="zh"/>
        </w:rPr>
        <w:t>等主体拓展数智供应链业务，为中小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经营者</w:t>
      </w:r>
      <w:r>
        <w:rPr>
          <w:rFonts w:ascii="仿宋_GB2312" w:hAnsi="仿宋_GB2312" w:eastAsia="仿宋_GB2312" w:cs="仿宋_GB2312"/>
          <w:sz w:val="36"/>
          <w:szCs w:val="36"/>
          <w:lang w:eastAsia="zh"/>
        </w:rPr>
        <w:t>出海提供国际物流、跨境结算、信息咨询等服务。</w:t>
      </w:r>
    </w:p>
    <w:p w14:paraId="21EDA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" w:bidi="ar-SA"/>
        </w:rPr>
        <w:t>第七条</w:t>
      </w: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加大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经营者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融资支持力度</w:t>
      </w:r>
    </w:p>
    <w:p w14:paraId="23745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鼓励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拓展融资渠道，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创新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采用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供应链金融、应收账款保理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、票据融资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等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方式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扩大融资渠道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，灵活运用贴息贴现等金融工具。</w:t>
      </w:r>
    </w:p>
    <w:p w14:paraId="76FFF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 xml:space="preserve">第八条 </w:t>
      </w: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" w:bidi="ar-SA"/>
        </w:rPr>
        <w:t>降低跨境贸易交易风险</w:t>
      </w:r>
    </w:p>
    <w:p w14:paraId="392AA1A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鼓励金融机构优化出口信贷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，加大出口信用保险支持力度，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提升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出口信用保险对市场采购贸易、跨境电商、易货贸易等新业态新模式承保力度，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扩大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信保政策覆盖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面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。</w:t>
      </w:r>
    </w:p>
    <w:p w14:paraId="13BE3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" w:bidi="ar-SA"/>
        </w:rPr>
        <w:t>第九条</w:t>
      </w: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" w:bidi="ar-SA"/>
        </w:rPr>
        <w:t>强化金融创新服务能力</w:t>
      </w:r>
    </w:p>
    <w:p w14:paraId="1CAC2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0" w:firstLineChars="200"/>
        <w:jc w:val="left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支持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金融机构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完善服务机制、创新金融产品、优化服务场景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支持开展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供应链金融服务，支持中小微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经营者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开展订单贷款、仓单质押贷款等业务。</w:t>
      </w:r>
    </w:p>
    <w:p w14:paraId="671E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 xml:space="preserve">第十条 </w:t>
      </w: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" w:bidi="ar-SA"/>
        </w:rPr>
        <w:t>开展试点探索</w:t>
      </w:r>
    </w:p>
    <w:p w14:paraId="042E6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40" w:lineRule="exact"/>
        <w:ind w:firstLine="720" w:firstLineChars="200"/>
        <w:jc w:val="left"/>
        <w:textAlignment w:val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鼓励首发经济，探索数贸融合、航贸融合、物贸融合、数数融合创新试点，在产业创新上实现突破。</w:t>
      </w:r>
    </w:p>
    <w:p w14:paraId="3ED441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黑体" w:cs="Times New Roman"/>
          <w:sz w:val="36"/>
          <w:szCs w:val="36"/>
          <w:lang w:eastAsia="zh"/>
        </w:rPr>
      </w:pPr>
    </w:p>
    <w:p w14:paraId="120E98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eastAsia="zh"/>
        </w:rPr>
        <w:t>第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三</w:t>
      </w:r>
      <w:r>
        <w:rPr>
          <w:rFonts w:ascii="Times New Roman" w:hAnsi="Times New Roman" w:eastAsia="黑体" w:cs="Times New Roman"/>
          <w:sz w:val="36"/>
          <w:szCs w:val="36"/>
          <w:lang w:eastAsia="zh"/>
        </w:rPr>
        <w:t>章 附则</w:t>
      </w:r>
    </w:p>
    <w:p w14:paraId="4C6D5F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</w:p>
    <w:p w14:paraId="74E21A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第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十一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条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 xml:space="preserve"> 本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意见各项支持举措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所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涉及的奖励纳入管委会财政预算，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资金管理遵循</w:t>
      </w:r>
      <w:r>
        <w:rPr>
          <w:rFonts w:hint="eastAsia" w:ascii="仿宋_GB2312" w:hAnsi="仿宋_GB2312" w:eastAsia="仿宋_GB2312" w:cs="仿宋_GB2312"/>
          <w:sz w:val="36"/>
          <w:szCs w:val="36"/>
          <w:lang w:eastAsia="zh"/>
        </w:rPr>
        <w:t>公平、公正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>原则。</w:t>
      </w:r>
    </w:p>
    <w:p w14:paraId="47C212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40" w:lineRule="exact"/>
        <w:ind w:left="0" w:right="0" w:firstLine="723" w:firstLineChars="200"/>
        <w:jc w:val="both"/>
        <w:textAlignment w:val="auto"/>
        <w:rPr>
          <w:rFonts w:hint="eastAsia" w:ascii="仿宋_GB2312" w:hAnsi="楷体" w:eastAsia="仿宋_GB2312" w:cs="仿宋_GB2312"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第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十二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条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本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意见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"/>
        </w:rPr>
        <w:t>自印发之日起施行，有效期三年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。</w:t>
      </w:r>
      <w:r>
        <w:rPr>
          <w:rFonts w:hint="eastAsia" w:ascii="仿宋_GB2312" w:hAnsi="楷体" w:eastAsia="仿宋_GB2312" w:cs="仿宋_GB2312"/>
          <w:kern w:val="2"/>
          <w:sz w:val="36"/>
          <w:szCs w:val="36"/>
          <w:lang w:val="en-US" w:eastAsia="zh-CN" w:bidi="ar"/>
        </w:rPr>
        <w:t>有效期内如遇法律、法规或有关政策调整变化的，从其规定。</w:t>
      </w:r>
    </w:p>
    <w:p w14:paraId="65CEDF1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723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eastAsia="zh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第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十三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"/>
        </w:rPr>
        <w:t>条</w:t>
      </w:r>
      <w:r>
        <w:rPr>
          <w:rFonts w:ascii="Times New Roman" w:hAnsi="Times New Roman" w:eastAsia="仿宋_GB2312" w:cs="Times New Roman"/>
          <w:sz w:val="36"/>
          <w:szCs w:val="36"/>
          <w:lang w:eastAsia="zh"/>
        </w:rPr>
        <w:t xml:space="preserve"> 本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意见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最终解释权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归属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天津东疆综合保税区管理委员会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。</w:t>
      </w:r>
    </w:p>
    <w:sectPr>
      <w:footerReference r:id="rId3" w:type="default"/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FD4C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147A6">
                          <w:pPr>
                            <w:pStyle w:val="6"/>
                            <w:rPr>
                              <w:rFonts w:hint="default"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147A6">
                    <w:pPr>
                      <w:pStyle w:val="6"/>
                      <w:rPr>
                        <w:rFonts w:hint="default" w:ascii="Times New Roman Regular" w:hAnsi="Times New Roman Regular" w:cs="Times New Roman Regular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3ODJkNzI1MTk3ZDFlNDE3YmJhODcyYmQwZGVkYTcifQ=="/>
  </w:docVars>
  <w:rsids>
    <w:rsidRoot w:val="005269DF"/>
    <w:rsid w:val="000B6D34"/>
    <w:rsid w:val="00166B3C"/>
    <w:rsid w:val="001B1E08"/>
    <w:rsid w:val="00203DDF"/>
    <w:rsid w:val="00210E40"/>
    <w:rsid w:val="00302AD3"/>
    <w:rsid w:val="00443CDC"/>
    <w:rsid w:val="0049693D"/>
    <w:rsid w:val="004C7989"/>
    <w:rsid w:val="004E33ED"/>
    <w:rsid w:val="00525E22"/>
    <w:rsid w:val="005269DF"/>
    <w:rsid w:val="00607634"/>
    <w:rsid w:val="00651BBD"/>
    <w:rsid w:val="00775FB1"/>
    <w:rsid w:val="007F0B2D"/>
    <w:rsid w:val="007F627E"/>
    <w:rsid w:val="008302F8"/>
    <w:rsid w:val="00900511"/>
    <w:rsid w:val="00AA4F88"/>
    <w:rsid w:val="00B65BCC"/>
    <w:rsid w:val="00C35518"/>
    <w:rsid w:val="00C36A0D"/>
    <w:rsid w:val="00E448F7"/>
    <w:rsid w:val="00E824EE"/>
    <w:rsid w:val="00FA4FF2"/>
    <w:rsid w:val="020E3E06"/>
    <w:rsid w:val="03021E3A"/>
    <w:rsid w:val="06AF722D"/>
    <w:rsid w:val="07A03E32"/>
    <w:rsid w:val="0A802DFF"/>
    <w:rsid w:val="0AD771AC"/>
    <w:rsid w:val="0C1D03A2"/>
    <w:rsid w:val="0C7F7145"/>
    <w:rsid w:val="0D725B91"/>
    <w:rsid w:val="0F0C1CC5"/>
    <w:rsid w:val="0FDAACCF"/>
    <w:rsid w:val="10B35ED6"/>
    <w:rsid w:val="117F58B7"/>
    <w:rsid w:val="16DCAE87"/>
    <w:rsid w:val="17755E1C"/>
    <w:rsid w:val="17992219"/>
    <w:rsid w:val="17AF1790"/>
    <w:rsid w:val="18BD7C07"/>
    <w:rsid w:val="1BDF9062"/>
    <w:rsid w:val="1C5D2449"/>
    <w:rsid w:val="1EFFA38E"/>
    <w:rsid w:val="1F7A1480"/>
    <w:rsid w:val="1F7E65CB"/>
    <w:rsid w:val="1FDFAC49"/>
    <w:rsid w:val="24993465"/>
    <w:rsid w:val="25BF6D01"/>
    <w:rsid w:val="261D1E86"/>
    <w:rsid w:val="26746E69"/>
    <w:rsid w:val="27BF56DE"/>
    <w:rsid w:val="27C2106B"/>
    <w:rsid w:val="299E23E0"/>
    <w:rsid w:val="2B6B66B0"/>
    <w:rsid w:val="2BFEA779"/>
    <w:rsid w:val="2D4362A6"/>
    <w:rsid w:val="2D9FEC78"/>
    <w:rsid w:val="2FCF3543"/>
    <w:rsid w:val="2FDF863D"/>
    <w:rsid w:val="2FEF3F91"/>
    <w:rsid w:val="2FFBBF8F"/>
    <w:rsid w:val="310C0971"/>
    <w:rsid w:val="336F81BF"/>
    <w:rsid w:val="33B8430C"/>
    <w:rsid w:val="33F857A0"/>
    <w:rsid w:val="35341D82"/>
    <w:rsid w:val="35971A86"/>
    <w:rsid w:val="35BFBCBE"/>
    <w:rsid w:val="35DF7E99"/>
    <w:rsid w:val="367718A5"/>
    <w:rsid w:val="36DED430"/>
    <w:rsid w:val="37DC1FAF"/>
    <w:rsid w:val="37F9B55B"/>
    <w:rsid w:val="37FE39FA"/>
    <w:rsid w:val="38E7D89E"/>
    <w:rsid w:val="39771726"/>
    <w:rsid w:val="3AE9F07E"/>
    <w:rsid w:val="3BCD48AC"/>
    <w:rsid w:val="3BFFE94B"/>
    <w:rsid w:val="3CAD6848"/>
    <w:rsid w:val="3D265157"/>
    <w:rsid w:val="3D8F3346"/>
    <w:rsid w:val="3E544F25"/>
    <w:rsid w:val="3F41CB22"/>
    <w:rsid w:val="3FE79192"/>
    <w:rsid w:val="3FFC3B0C"/>
    <w:rsid w:val="44016D08"/>
    <w:rsid w:val="46C6602A"/>
    <w:rsid w:val="488C0A7D"/>
    <w:rsid w:val="4B9D32F0"/>
    <w:rsid w:val="4EFBE068"/>
    <w:rsid w:val="4F5F6339"/>
    <w:rsid w:val="4FD5949A"/>
    <w:rsid w:val="4FF27E90"/>
    <w:rsid w:val="504F22E0"/>
    <w:rsid w:val="513A6071"/>
    <w:rsid w:val="516D5809"/>
    <w:rsid w:val="54D5334E"/>
    <w:rsid w:val="559953A4"/>
    <w:rsid w:val="56FD78F8"/>
    <w:rsid w:val="575F0870"/>
    <w:rsid w:val="57B7E1D4"/>
    <w:rsid w:val="57CB519D"/>
    <w:rsid w:val="57FF548B"/>
    <w:rsid w:val="591B2CB4"/>
    <w:rsid w:val="5A9F1068"/>
    <w:rsid w:val="5B2B7BB2"/>
    <w:rsid w:val="5BFF89A2"/>
    <w:rsid w:val="5CF79D47"/>
    <w:rsid w:val="5DFA3D6B"/>
    <w:rsid w:val="5E0B0FCF"/>
    <w:rsid w:val="5EEF3EEC"/>
    <w:rsid w:val="5F7F4BF3"/>
    <w:rsid w:val="5FBE1C2C"/>
    <w:rsid w:val="5FBF9295"/>
    <w:rsid w:val="5FF7BFE1"/>
    <w:rsid w:val="63910EE7"/>
    <w:rsid w:val="667FED83"/>
    <w:rsid w:val="66F500DB"/>
    <w:rsid w:val="679AD8FE"/>
    <w:rsid w:val="67DFDDB7"/>
    <w:rsid w:val="69EA0620"/>
    <w:rsid w:val="69EDA276"/>
    <w:rsid w:val="6BD07832"/>
    <w:rsid w:val="6D79B0A2"/>
    <w:rsid w:val="6D7FBC8A"/>
    <w:rsid w:val="6DAF8ABD"/>
    <w:rsid w:val="6DBE3E8F"/>
    <w:rsid w:val="6DEC063D"/>
    <w:rsid w:val="6DFA7188"/>
    <w:rsid w:val="6DFF1041"/>
    <w:rsid w:val="6F6E5B84"/>
    <w:rsid w:val="6FD7FEA9"/>
    <w:rsid w:val="6FDF934B"/>
    <w:rsid w:val="6FFB4708"/>
    <w:rsid w:val="6FFE19BE"/>
    <w:rsid w:val="6FFF5B39"/>
    <w:rsid w:val="71F30F2F"/>
    <w:rsid w:val="71FE5887"/>
    <w:rsid w:val="751F546F"/>
    <w:rsid w:val="75BA059C"/>
    <w:rsid w:val="77A93434"/>
    <w:rsid w:val="77DC2507"/>
    <w:rsid w:val="77EC9857"/>
    <w:rsid w:val="77FF58F7"/>
    <w:rsid w:val="77FFCC13"/>
    <w:rsid w:val="79C77676"/>
    <w:rsid w:val="7A4DE0F7"/>
    <w:rsid w:val="7A7CB094"/>
    <w:rsid w:val="7AF7A68D"/>
    <w:rsid w:val="7AF7D23C"/>
    <w:rsid w:val="7B7FC3C7"/>
    <w:rsid w:val="7BF7DDD9"/>
    <w:rsid w:val="7BFDEE1E"/>
    <w:rsid w:val="7C320C39"/>
    <w:rsid w:val="7C3C30D2"/>
    <w:rsid w:val="7D76E44C"/>
    <w:rsid w:val="7D7F45A8"/>
    <w:rsid w:val="7DBDA80A"/>
    <w:rsid w:val="7DF7F994"/>
    <w:rsid w:val="7DFE04DE"/>
    <w:rsid w:val="7EBD835E"/>
    <w:rsid w:val="7EE17DBA"/>
    <w:rsid w:val="7EF3BEBE"/>
    <w:rsid w:val="7EF79BB6"/>
    <w:rsid w:val="7EFB0ADF"/>
    <w:rsid w:val="7EFD586C"/>
    <w:rsid w:val="7EFD83F5"/>
    <w:rsid w:val="7F6F50A0"/>
    <w:rsid w:val="7F7BBE06"/>
    <w:rsid w:val="7F7FB327"/>
    <w:rsid w:val="7FBB95F9"/>
    <w:rsid w:val="7FBF1530"/>
    <w:rsid w:val="7FE0D8ED"/>
    <w:rsid w:val="7FE9002C"/>
    <w:rsid w:val="7FEF9330"/>
    <w:rsid w:val="7FEFD4E6"/>
    <w:rsid w:val="8E87AB71"/>
    <w:rsid w:val="8F131822"/>
    <w:rsid w:val="94FB2446"/>
    <w:rsid w:val="9A7D3EE9"/>
    <w:rsid w:val="9D37130C"/>
    <w:rsid w:val="9E71865C"/>
    <w:rsid w:val="9FC9F308"/>
    <w:rsid w:val="A56F5072"/>
    <w:rsid w:val="AB7C2E94"/>
    <w:rsid w:val="ADBF3DB5"/>
    <w:rsid w:val="AEF5C914"/>
    <w:rsid w:val="AEF9F5AC"/>
    <w:rsid w:val="B3FE24E1"/>
    <w:rsid w:val="B67F5725"/>
    <w:rsid w:val="BAFFA23A"/>
    <w:rsid w:val="BBE3894B"/>
    <w:rsid w:val="BBEF3137"/>
    <w:rsid w:val="BDFBCD67"/>
    <w:rsid w:val="BF7CA8F8"/>
    <w:rsid w:val="BFA605D3"/>
    <w:rsid w:val="BFF6C428"/>
    <w:rsid w:val="BFFBDEC3"/>
    <w:rsid w:val="BFFD1179"/>
    <w:rsid w:val="BFFF7DC9"/>
    <w:rsid w:val="C53F5530"/>
    <w:rsid w:val="C9FF2420"/>
    <w:rsid w:val="CDFBF524"/>
    <w:rsid w:val="D57F278B"/>
    <w:rsid w:val="D62FB2C6"/>
    <w:rsid w:val="D6371FA6"/>
    <w:rsid w:val="D7F28F5D"/>
    <w:rsid w:val="D9FCF0D4"/>
    <w:rsid w:val="DE5EEAAD"/>
    <w:rsid w:val="DEAD2055"/>
    <w:rsid w:val="DEFD18CB"/>
    <w:rsid w:val="DF3D9614"/>
    <w:rsid w:val="DFB7D96A"/>
    <w:rsid w:val="DFFE16D1"/>
    <w:rsid w:val="E145FDF7"/>
    <w:rsid w:val="E577F32B"/>
    <w:rsid w:val="E5F36C6A"/>
    <w:rsid w:val="E77F2576"/>
    <w:rsid w:val="E7F6ED72"/>
    <w:rsid w:val="E9FDB22B"/>
    <w:rsid w:val="EBBF0609"/>
    <w:rsid w:val="EC6F7CCC"/>
    <w:rsid w:val="EDCF04C1"/>
    <w:rsid w:val="EDFFA0CF"/>
    <w:rsid w:val="EE7FCB3A"/>
    <w:rsid w:val="EEF181BF"/>
    <w:rsid w:val="EF175C3F"/>
    <w:rsid w:val="EF31B0D2"/>
    <w:rsid w:val="EF9BB659"/>
    <w:rsid w:val="EFBBB69D"/>
    <w:rsid w:val="EFEFB990"/>
    <w:rsid w:val="EFFD51C5"/>
    <w:rsid w:val="F177FBE1"/>
    <w:rsid w:val="F2B76457"/>
    <w:rsid w:val="F51E0C3E"/>
    <w:rsid w:val="F54D63B6"/>
    <w:rsid w:val="F5F35ACF"/>
    <w:rsid w:val="F5F5F5B4"/>
    <w:rsid w:val="F5FD1B3C"/>
    <w:rsid w:val="F67E4BCD"/>
    <w:rsid w:val="F6CB20FD"/>
    <w:rsid w:val="F79590C3"/>
    <w:rsid w:val="F7D227D6"/>
    <w:rsid w:val="F92710F2"/>
    <w:rsid w:val="F9F7573F"/>
    <w:rsid w:val="FA6D881F"/>
    <w:rsid w:val="FBE00B83"/>
    <w:rsid w:val="FBFF0B75"/>
    <w:rsid w:val="FCFD32B1"/>
    <w:rsid w:val="FD116F8D"/>
    <w:rsid w:val="FD6D5FE8"/>
    <w:rsid w:val="FD6E2FDD"/>
    <w:rsid w:val="FD870B78"/>
    <w:rsid w:val="FDBB7AC3"/>
    <w:rsid w:val="FDEB36FB"/>
    <w:rsid w:val="FDED63A0"/>
    <w:rsid w:val="FDF8631A"/>
    <w:rsid w:val="FDFA89C4"/>
    <w:rsid w:val="FE7F94B1"/>
    <w:rsid w:val="FEBC93AB"/>
    <w:rsid w:val="FEDFDE64"/>
    <w:rsid w:val="FEFF41D1"/>
    <w:rsid w:val="FF09B788"/>
    <w:rsid w:val="FF5B8A7F"/>
    <w:rsid w:val="FF5EE19E"/>
    <w:rsid w:val="FF7ABF06"/>
    <w:rsid w:val="FF7F7AC4"/>
    <w:rsid w:val="FF7FF193"/>
    <w:rsid w:val="FFC7D693"/>
    <w:rsid w:val="FFCDF6F3"/>
    <w:rsid w:val="FFEF92A4"/>
    <w:rsid w:val="FFF2B55D"/>
    <w:rsid w:val="FFF50FCD"/>
    <w:rsid w:val="FFF7BFAC"/>
    <w:rsid w:val="FFFC8E91"/>
    <w:rsid w:val="FFFD720C"/>
    <w:rsid w:val="FFFDA32A"/>
    <w:rsid w:val="FFF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1"/>
    <w:basedOn w:val="1"/>
    <w:qFormat/>
    <w:uiPriority w:val="0"/>
    <w:pPr>
      <w:jc w:val="left"/>
    </w:pPr>
    <w:rPr>
      <w:rFonts w:ascii="Helvetica" w:hAnsi="Helvetica" w:eastAsia="Helvetica" w:cs="Times New Roman"/>
      <w:color w:val="000000"/>
      <w:kern w:val="0"/>
      <w:sz w:val="23"/>
      <w:szCs w:val="23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标题 3 字符"/>
    <w:basedOn w:val="10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5">
    <w:name w:val="text-go1otz"/>
    <w:basedOn w:val="10"/>
    <w:qFormat/>
    <w:uiPriority w:val="0"/>
  </w:style>
  <w:style w:type="character" w:customStyle="1" w:styleId="16">
    <w:name w:val="title-nlmw1o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1952</Words>
  <Characters>1952</Characters>
  <Lines>64</Lines>
  <Paragraphs>39</Paragraphs>
  <TotalTime>6</TotalTime>
  <ScaleCrop>false</ScaleCrop>
  <LinksUpToDate>false</LinksUpToDate>
  <CharactersWithSpaces>1969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2025-09-16T09:23:00Z</dcterms:created>
  <dc:creator>23658</dc:creator>
  <cp:lastModifiedBy>Forefinger</cp:lastModifiedBy>
  <cp:lastPrinted>2025-10-16T00:46:00Z</cp:lastPrinted>
  <dcterms:modified xsi:type="dcterms:W3CDTF">2026-01-07T03:40:58Z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eyJoZGlkIjoiZDcwNjg1ZWQ1M2YxMzEyN2Q5Mjk2Y2NjYmM2N2Y4ZjgiLCJ1c2VySWQiOiI4NTUzMDY4NDUifQ==</vt:lpwstr>
  </property>
  <property fmtid="{D5CDD505-2E9C-101B-9397-08002B2CF9AE}" pid="4" name="ICV">
    <vt:lpwstr>D4602DBCD8FF49AE8253B50A965C2D07_13</vt:lpwstr>
  </property>
</Properties>
</file>