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A2E82">
      <w:pPr>
        <w:spacing w:line="640" w:lineRule="exact"/>
        <w:jc w:val="center"/>
        <w:rPr>
          <w:rFonts w:ascii="Times New Roman" w:hAnsi="Times New Roman" w:eastAsia="方正小标宋简体"/>
          <w:sz w:val="44"/>
          <w:szCs w:val="44"/>
        </w:rPr>
      </w:pPr>
      <w:bookmarkStart w:id="27" w:name="_GoBack"/>
      <w:bookmarkEnd w:id="27"/>
      <w:bookmarkStart w:id="0" w:name="OLE_LINK20"/>
      <w:bookmarkStart w:id="1" w:name="OLE_LINK19"/>
      <w:r>
        <w:rPr>
          <w:rFonts w:hint="eastAsia" w:ascii="Times New Roman" w:hAnsi="Times New Roman" w:eastAsia="方正小标宋简体"/>
          <w:sz w:val="44"/>
          <w:szCs w:val="44"/>
        </w:rPr>
        <w:t>天津东疆综合保税区关于促进金融产业高质量发展的若干意见</w:t>
      </w:r>
    </w:p>
    <w:bookmarkEnd w:id="0"/>
    <w:bookmarkEnd w:id="1"/>
    <w:p w14:paraId="6618F057">
      <w:pPr>
        <w:spacing w:line="640" w:lineRule="exact"/>
        <w:jc w:val="center"/>
        <w:rPr>
          <w:rFonts w:ascii="Times New Roman" w:hAnsi="Times New Roman" w:eastAsia="楷体_GB2312"/>
          <w:b/>
          <w:bCs/>
          <w:sz w:val="36"/>
          <w:szCs w:val="36"/>
        </w:rPr>
      </w:pPr>
    </w:p>
    <w:p w14:paraId="46A7C8A0">
      <w:pPr>
        <w:spacing w:line="560" w:lineRule="exact"/>
        <w:ind w:firstLine="640" w:firstLineChars="200"/>
        <w:rPr>
          <w:rFonts w:ascii="仿宋" w:hAnsi="仿宋" w:eastAsia="仿宋"/>
          <w:sz w:val="32"/>
          <w:szCs w:val="32"/>
        </w:rPr>
      </w:pPr>
      <w:bookmarkStart w:id="2" w:name="OLE_LINK55"/>
      <w:r>
        <w:rPr>
          <w:rFonts w:hint="eastAsia" w:ascii="仿宋" w:hAnsi="仿宋" w:eastAsia="仿宋"/>
          <w:sz w:val="32"/>
          <w:szCs w:val="32"/>
        </w:rPr>
        <w:t>为全面贯彻落实习近平总书记关于京津冀协同发展的重要讲话和重要指示精神，深入推进党中央关于京津冀协同发展的战略部署，落实中央金融工作会议要求，强化金融对东疆区域经济高质量发展的支撑作用，按照《金融支持天津高质量发展的意见要求》</w:t>
      </w:r>
      <w:bookmarkEnd w:id="2"/>
      <w:r>
        <w:rPr>
          <w:rFonts w:hint="eastAsia" w:ascii="仿宋" w:hAnsi="仿宋" w:eastAsia="仿宋"/>
          <w:sz w:val="32"/>
          <w:szCs w:val="32"/>
        </w:rPr>
        <w:t>《进一步支持天津滨海新区高质量发展的若干政策措施》等文件精神，结合东疆实际，特制定本意见。</w:t>
      </w:r>
    </w:p>
    <w:p w14:paraId="4ABEEE0C">
      <w:pPr>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 总体要求</w:t>
      </w:r>
    </w:p>
    <w:p w14:paraId="311EE6D2">
      <w:pPr>
        <w:spacing w:line="560" w:lineRule="exact"/>
        <w:ind w:firstLine="640" w:firstLineChars="200"/>
        <w:rPr>
          <w:rFonts w:ascii="仿宋" w:hAnsi="仿宋" w:eastAsia="仿宋"/>
          <w:sz w:val="32"/>
          <w:szCs w:val="32"/>
        </w:rPr>
      </w:pPr>
      <w:r>
        <w:rPr>
          <w:rFonts w:hint="eastAsia" w:ascii="仿宋" w:hAnsi="仿宋" w:eastAsia="仿宋"/>
          <w:sz w:val="32"/>
          <w:szCs w:val="32"/>
        </w:rPr>
        <w:t>坚持以习近平新时代中国特色社会主义思想为指导，深入贯彻党的二十大和二十届二中、三中、四中全会精神，完整、准确、全面贯彻新发展理念，深入学习贯彻习近平总书记关于金融工作的重要论述和视察天津重要讲话、重要指示精神，深刻把握金融工作的政治性、人民性，坚定不移走中国特色金融发展之路，全面落实中央金融工作会议和天津市相关工作部署，深化金融供给侧结构性改革，着力构建体系健全、集聚度高、创新活跃、风险可控的区域金融发展新格局。</w:t>
      </w:r>
    </w:p>
    <w:p w14:paraId="36CE26DE">
      <w:pPr>
        <w:spacing w:line="560" w:lineRule="exact"/>
        <w:ind w:firstLine="640" w:firstLineChars="200"/>
        <w:rPr>
          <w:rFonts w:ascii="仿宋" w:hAnsi="仿宋" w:eastAsia="仿宋"/>
          <w:sz w:val="32"/>
          <w:szCs w:val="32"/>
        </w:rPr>
      </w:pPr>
      <w:r>
        <w:rPr>
          <w:rFonts w:hint="eastAsia" w:ascii="仿宋" w:hAnsi="仿宋" w:eastAsia="仿宋"/>
          <w:sz w:val="32"/>
          <w:szCs w:val="32"/>
        </w:rPr>
        <w:t>主要目标：到2030年，基本建成服务高效、特色鲜明、开放协同、安全稳健的京津冀区域性金融高地。推动东疆金融产业深度践行</w:t>
      </w:r>
      <w:bookmarkStart w:id="3" w:name="OLE_LINK71"/>
      <w:bookmarkStart w:id="4" w:name="OLE_LINK70"/>
      <w:r>
        <w:rPr>
          <w:rFonts w:hint="eastAsia" w:ascii="仿宋" w:hAnsi="仿宋" w:eastAsia="仿宋"/>
          <w:sz w:val="32"/>
          <w:szCs w:val="32"/>
        </w:rPr>
        <w:t>金融“五篇大文章”</w:t>
      </w:r>
      <w:bookmarkEnd w:id="3"/>
      <w:bookmarkEnd w:id="4"/>
      <w:r>
        <w:rPr>
          <w:rFonts w:hint="eastAsia" w:ascii="仿宋" w:hAnsi="仿宋" w:eastAsia="仿宋"/>
          <w:sz w:val="32"/>
          <w:szCs w:val="32"/>
        </w:rPr>
        <w:t>战略部署，力争推动区内融资租赁、商业保理企业实现资产规模再上层级，</w:t>
      </w:r>
      <w:r>
        <w:rPr>
          <w:rFonts w:ascii="仿宋" w:hAnsi="仿宋" w:eastAsia="仿宋"/>
          <w:sz w:val="32"/>
          <w:szCs w:val="32"/>
        </w:rPr>
        <w:t>打造投资类产业聚集中心。</w:t>
      </w:r>
      <w:r>
        <w:rPr>
          <w:rFonts w:hint="eastAsia" w:ascii="仿宋" w:hAnsi="仿宋" w:eastAsia="仿宋"/>
          <w:sz w:val="32"/>
          <w:szCs w:val="32"/>
        </w:rPr>
        <w:t>同时引导相关金融企业积极开展创新业务，力争跨境租赁资产规模、绿色租赁资产规模、国际保理资产规模、跨境金融股权投资规模等实现较大突破，促进相关行业实现稳健可持续发展。</w:t>
      </w:r>
    </w:p>
    <w:p w14:paraId="5E66CBD6">
      <w:pPr>
        <w:spacing w:line="56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w:t>
      </w:r>
      <w:r>
        <w:rPr>
          <w:rFonts w:hint="eastAsia" w:ascii="Times New Roman" w:hAnsi="Times New Roman" w:eastAsia="黑体"/>
          <w:kern w:val="0"/>
          <w:sz w:val="32"/>
          <w:szCs w:val="32"/>
        </w:rPr>
        <w:t>支持对象</w:t>
      </w:r>
    </w:p>
    <w:p w14:paraId="3143DDBA">
      <w:pPr>
        <w:spacing w:line="560" w:lineRule="exact"/>
        <w:ind w:firstLine="640" w:firstLineChars="200"/>
        <w:rPr>
          <w:rFonts w:ascii="仿宋" w:hAnsi="仿宋" w:eastAsia="仿宋"/>
          <w:sz w:val="32"/>
          <w:szCs w:val="32"/>
        </w:rPr>
      </w:pPr>
      <w:bookmarkStart w:id="5" w:name="OLE_LINK18"/>
      <w:bookmarkStart w:id="6" w:name="OLE_LINK17"/>
      <w:bookmarkStart w:id="7" w:name="OLE_LINK15"/>
      <w:bookmarkStart w:id="8" w:name="OLE_LINK16"/>
      <w:r>
        <w:rPr>
          <w:rFonts w:hint="eastAsia" w:ascii="仿宋" w:hAnsi="仿宋" w:eastAsia="仿宋"/>
          <w:sz w:val="32"/>
          <w:szCs w:val="32"/>
        </w:rPr>
        <w:t>本意见支持的对象是</w:t>
      </w:r>
      <w:bookmarkStart w:id="9" w:name="OLE_LINK51"/>
      <w:bookmarkStart w:id="10" w:name="OLE_LINK52"/>
      <w:r>
        <w:rPr>
          <w:rFonts w:hint="eastAsia" w:ascii="仿宋" w:hAnsi="仿宋" w:eastAsia="仿宋"/>
          <w:sz w:val="32"/>
          <w:szCs w:val="32"/>
        </w:rPr>
        <w:t>经营状态正常、信用记录良好的</w:t>
      </w:r>
      <w:bookmarkStart w:id="11" w:name="OLE_LINK53"/>
      <w:bookmarkStart w:id="12" w:name="OLE_LINK56"/>
      <w:r>
        <w:rPr>
          <w:rFonts w:hint="eastAsia" w:ascii="仿宋" w:hAnsi="仿宋" w:eastAsia="仿宋"/>
          <w:sz w:val="32"/>
          <w:szCs w:val="32"/>
        </w:rPr>
        <w:t>金融机构</w:t>
      </w:r>
      <w:bookmarkEnd w:id="11"/>
      <w:bookmarkEnd w:id="12"/>
      <w:r>
        <w:rPr>
          <w:rFonts w:hint="eastAsia" w:ascii="仿宋" w:hAnsi="仿宋" w:eastAsia="仿宋"/>
          <w:sz w:val="32"/>
          <w:szCs w:val="32"/>
        </w:rPr>
        <w:t>、地方金融组织、投资类企业等。</w:t>
      </w:r>
      <w:bookmarkStart w:id="13" w:name="OLE_LINK1"/>
      <w:r>
        <w:rPr>
          <w:rFonts w:hint="eastAsia" w:ascii="仿宋" w:hAnsi="仿宋" w:eastAsia="仿宋"/>
          <w:sz w:val="32"/>
          <w:szCs w:val="32"/>
        </w:rPr>
        <w:t>金融机构包含经</w:t>
      </w:r>
      <w:bookmarkStart w:id="14" w:name="OLE_LINK13"/>
      <w:bookmarkStart w:id="15" w:name="OLE_LINK14"/>
      <w:r>
        <w:rPr>
          <w:rFonts w:hint="eastAsia" w:ascii="仿宋" w:hAnsi="仿宋" w:eastAsia="仿宋"/>
          <w:sz w:val="32"/>
          <w:szCs w:val="32"/>
        </w:rPr>
        <w:t>中国人民银行、国家金融监督管理总局、</w:t>
      </w:r>
      <w:bookmarkEnd w:id="14"/>
      <w:bookmarkEnd w:id="15"/>
      <w:r>
        <w:rPr>
          <w:rFonts w:hint="eastAsia" w:ascii="仿宋" w:hAnsi="仿宋" w:eastAsia="仿宋"/>
          <w:sz w:val="32"/>
          <w:szCs w:val="32"/>
        </w:rPr>
        <w:t>中国证券监督管理委员会</w:t>
      </w:r>
      <w:bookmarkEnd w:id="5"/>
      <w:bookmarkEnd w:id="6"/>
      <w:r>
        <w:rPr>
          <w:rFonts w:hint="eastAsia" w:ascii="仿宋" w:hAnsi="仿宋" w:eastAsia="仿宋"/>
          <w:sz w:val="32"/>
          <w:szCs w:val="32"/>
        </w:rPr>
        <w:t>及其分支机构核准（备案）的金融控股公司、银行、证券、保险、信托、征信、消费金融、汽车金融、财务公司、保险经纪、期货、保险代理、第三方支付、公募基金、基金销售等金融机构及其专业子公司与分支机构。</w:t>
      </w:r>
      <w:bookmarkEnd w:id="7"/>
      <w:bookmarkEnd w:id="8"/>
      <w:bookmarkEnd w:id="13"/>
      <w:bookmarkStart w:id="16" w:name="OLE_LINK11"/>
      <w:r>
        <w:rPr>
          <w:rFonts w:hint="eastAsia" w:ascii="仿宋" w:hAnsi="仿宋" w:eastAsia="仿宋"/>
          <w:sz w:val="32"/>
          <w:szCs w:val="32"/>
        </w:rPr>
        <w:t>地方金融组织</w:t>
      </w:r>
      <w:bookmarkEnd w:id="16"/>
      <w:r>
        <w:rPr>
          <w:rFonts w:hint="eastAsia" w:ascii="仿宋" w:hAnsi="仿宋" w:eastAsia="仿宋"/>
          <w:sz w:val="32"/>
          <w:szCs w:val="32"/>
        </w:rPr>
        <w:t>包含</w:t>
      </w:r>
      <w:bookmarkStart w:id="17" w:name="OLE_LINK12"/>
      <w:r>
        <w:rPr>
          <w:rFonts w:hint="eastAsia" w:ascii="仿宋" w:hAnsi="仿宋" w:eastAsia="仿宋"/>
          <w:sz w:val="32"/>
          <w:szCs w:val="32"/>
        </w:rPr>
        <w:t>商业保理公司、地方资产管理公司、融资性担保公司、小额贷款公司</w:t>
      </w:r>
      <w:bookmarkEnd w:id="17"/>
      <w:r>
        <w:rPr>
          <w:rFonts w:hint="eastAsia" w:ascii="仿宋" w:hAnsi="仿宋" w:eastAsia="仿宋"/>
          <w:sz w:val="32"/>
          <w:szCs w:val="32"/>
        </w:rPr>
        <w:t>，融资租赁公司按照《天津市建设国际一流国家租赁创新示范区更好服务实体经济高质量发展实施方案（2026-2030年）》要求落实。投资类企业指企业名称、经营范围中包含“投资管理”“基金管理”“资产管理”“资本”“投资”和“基金”任一字样的企业，对股权投资产业有带动作用的企业，主要从事股权投资或债权类业务的企业。</w:t>
      </w:r>
    </w:p>
    <w:p w14:paraId="713A2637">
      <w:pPr>
        <w:spacing w:line="56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三、支持措施</w:t>
      </w:r>
    </w:p>
    <w:bookmarkEnd w:id="9"/>
    <w:bookmarkEnd w:id="10"/>
    <w:p w14:paraId="3977AB9F">
      <w:pPr>
        <w:spacing w:line="560" w:lineRule="exact"/>
        <w:ind w:firstLine="640" w:firstLineChars="200"/>
        <w:rPr>
          <w:rFonts w:ascii="楷体" w:hAnsi="楷体" w:eastAsia="楷体"/>
          <w:bCs/>
          <w:kern w:val="0"/>
          <w:sz w:val="32"/>
          <w:szCs w:val="32"/>
        </w:rPr>
      </w:pPr>
      <w:bookmarkStart w:id="18" w:name="OLE_LINK3"/>
      <w:bookmarkStart w:id="19" w:name="OLE_LINK2"/>
      <w:r>
        <w:rPr>
          <w:rFonts w:hint="eastAsia" w:ascii="楷体" w:hAnsi="楷体" w:eastAsia="楷体"/>
          <w:bCs/>
          <w:kern w:val="0"/>
          <w:sz w:val="32"/>
          <w:szCs w:val="32"/>
        </w:rPr>
        <w:t>（一）强化金融资源集聚</w:t>
      </w:r>
    </w:p>
    <w:p w14:paraId="07773BDF">
      <w:pPr>
        <w:spacing w:line="560" w:lineRule="exact"/>
        <w:ind w:firstLine="640" w:firstLineChars="200"/>
        <w:rPr>
          <w:rFonts w:ascii="仿宋" w:hAnsi="仿宋" w:eastAsia="仿宋"/>
          <w:sz w:val="32"/>
          <w:szCs w:val="32"/>
        </w:rPr>
      </w:pPr>
      <w:r>
        <w:rPr>
          <w:rFonts w:hint="eastAsia" w:ascii="仿宋" w:hAnsi="仿宋" w:eastAsia="仿宋"/>
          <w:sz w:val="32"/>
          <w:szCs w:val="32"/>
        </w:rPr>
        <w:t>提升金融资源集聚能级，支持引进、培育和打造高质量金融运营载体，做强做优金融基础设施。深化融资租赁、商业保理等特色金融创新发展，增强金融机构专业化服务能力。</w:t>
      </w:r>
      <w:r>
        <w:rPr>
          <w:rFonts w:ascii="仿宋" w:hAnsi="仿宋" w:eastAsia="仿宋"/>
          <w:sz w:val="32"/>
          <w:szCs w:val="32"/>
        </w:rPr>
        <w:t>鼓励社会资本按市场化方式设立创投基金、并购投资基金、产业投资基金等股权、债权投资基金，积极打造投资类产业聚集中心</w:t>
      </w:r>
      <w:r>
        <w:rPr>
          <w:rFonts w:hint="eastAsia" w:ascii="仿宋" w:hAnsi="仿宋" w:eastAsia="仿宋"/>
          <w:sz w:val="32"/>
          <w:szCs w:val="32"/>
        </w:rPr>
        <w:t>。</w:t>
      </w:r>
    </w:p>
    <w:p w14:paraId="10C4680D">
      <w:pPr>
        <w:spacing w:line="560" w:lineRule="exact"/>
        <w:ind w:firstLine="640" w:firstLineChars="200"/>
        <w:rPr>
          <w:rFonts w:ascii="楷体" w:hAnsi="楷体" w:eastAsia="楷体"/>
          <w:bCs/>
          <w:kern w:val="0"/>
          <w:sz w:val="32"/>
          <w:szCs w:val="32"/>
        </w:rPr>
      </w:pPr>
      <w:r>
        <w:rPr>
          <w:rFonts w:hint="eastAsia" w:ascii="楷体" w:hAnsi="楷体" w:eastAsia="楷体"/>
          <w:bCs/>
          <w:kern w:val="0"/>
          <w:sz w:val="32"/>
          <w:szCs w:val="32"/>
        </w:rPr>
        <w:t>（二）</w:t>
      </w:r>
      <w:bookmarkStart w:id="20" w:name="OLE_LINK8"/>
      <w:bookmarkStart w:id="21" w:name="OLE_LINK9"/>
      <w:r>
        <w:rPr>
          <w:rFonts w:hint="eastAsia" w:ascii="楷体" w:hAnsi="楷体" w:eastAsia="楷体"/>
          <w:bCs/>
          <w:kern w:val="0"/>
          <w:sz w:val="32"/>
          <w:szCs w:val="32"/>
        </w:rPr>
        <w:t>深化科技金融与金融科技赋能</w:t>
      </w:r>
      <w:bookmarkEnd w:id="20"/>
      <w:bookmarkEnd w:id="21"/>
    </w:p>
    <w:p w14:paraId="69C92B4F">
      <w:pPr>
        <w:spacing w:line="560" w:lineRule="exact"/>
        <w:ind w:firstLine="640" w:firstLineChars="200"/>
        <w:rPr>
          <w:rFonts w:ascii="仿宋" w:hAnsi="仿宋" w:eastAsia="仿宋"/>
          <w:sz w:val="32"/>
          <w:szCs w:val="32"/>
        </w:rPr>
      </w:pPr>
      <w:r>
        <w:rPr>
          <w:rFonts w:hint="eastAsia" w:ascii="仿宋" w:hAnsi="仿宋" w:eastAsia="仿宋"/>
          <w:sz w:val="32"/>
          <w:szCs w:val="32"/>
        </w:rPr>
        <w:t>健全科技金融组织体系，支持金融机构、地方金融组织完善科技型企业服务机制，鼓励商业银行、保险机构与创投机构合作，优化科技金融服务模式。推进金融科技赋能，支持金融机构、地方金融组织与数字科技企业共建研发中心，提升数字化风控与运营能力。</w:t>
      </w:r>
    </w:p>
    <w:p w14:paraId="578DB737">
      <w:pPr>
        <w:spacing w:line="560" w:lineRule="exact"/>
        <w:ind w:firstLine="640" w:firstLineChars="200"/>
        <w:rPr>
          <w:rFonts w:ascii="楷体" w:hAnsi="楷体" w:eastAsia="楷体"/>
          <w:bCs/>
          <w:kern w:val="0"/>
          <w:sz w:val="32"/>
          <w:szCs w:val="32"/>
        </w:rPr>
      </w:pPr>
      <w:r>
        <w:rPr>
          <w:rFonts w:hint="eastAsia" w:ascii="楷体" w:hAnsi="楷体" w:eastAsia="楷体"/>
          <w:bCs/>
          <w:kern w:val="0"/>
          <w:sz w:val="32"/>
          <w:szCs w:val="32"/>
        </w:rPr>
        <w:t>（三）构建多元化绿色金融与普惠金融体系</w:t>
      </w:r>
    </w:p>
    <w:p w14:paraId="1DEAD578">
      <w:pPr>
        <w:spacing w:line="560" w:lineRule="exact"/>
        <w:ind w:firstLine="640" w:firstLineChars="200"/>
        <w:rPr>
          <w:rFonts w:ascii="仿宋" w:hAnsi="仿宋" w:eastAsia="仿宋"/>
          <w:sz w:val="32"/>
          <w:szCs w:val="32"/>
        </w:rPr>
      </w:pPr>
      <w:r>
        <w:rPr>
          <w:rFonts w:hint="eastAsia" w:ascii="仿宋" w:hAnsi="仿宋" w:eastAsia="仿宋"/>
          <w:sz w:val="32"/>
          <w:szCs w:val="32"/>
        </w:rPr>
        <w:t>鼓励金融机构、地方金融组织设立绿色金融专业部门，建立绿色信贷、绿色租赁、绿色保理专项授信和考核机制。依托东疆“绿色租赁高质量发展区”定位，进一步完善绿色租赁评价标准，支持建设全国性新能源设施租赁中心，支持优质企业设立专门从事绿色业务的租赁公司及项目公司，开展全链条绿色租赁业务。完善普惠金融服务体系，建立民营小微企业需求对接机制，持续推进敢贷愿贷能贷会贷长效机制。</w:t>
      </w:r>
    </w:p>
    <w:p w14:paraId="3D7ED839">
      <w:pPr>
        <w:spacing w:line="560" w:lineRule="exact"/>
        <w:ind w:firstLine="640" w:firstLineChars="200"/>
        <w:rPr>
          <w:rFonts w:ascii="楷体" w:hAnsi="楷体" w:eastAsia="楷体"/>
          <w:bCs/>
          <w:kern w:val="0"/>
          <w:sz w:val="32"/>
          <w:szCs w:val="32"/>
        </w:rPr>
      </w:pPr>
      <w:r>
        <w:rPr>
          <w:rFonts w:hint="eastAsia" w:ascii="楷体" w:hAnsi="楷体" w:eastAsia="楷体"/>
          <w:bCs/>
          <w:kern w:val="0"/>
          <w:sz w:val="32"/>
          <w:szCs w:val="32"/>
        </w:rPr>
        <w:t>（四）</w:t>
      </w:r>
      <w:bookmarkStart w:id="22" w:name="OLE_LINK6"/>
      <w:bookmarkStart w:id="23" w:name="OLE_LINK7"/>
      <w:r>
        <w:rPr>
          <w:rFonts w:hint="eastAsia" w:ascii="楷体" w:hAnsi="楷体" w:eastAsia="楷体"/>
          <w:bCs/>
          <w:kern w:val="0"/>
          <w:sz w:val="32"/>
          <w:szCs w:val="32"/>
        </w:rPr>
        <w:t>推动产业金融与特色金融融合发展</w:t>
      </w:r>
    </w:p>
    <w:bookmarkEnd w:id="22"/>
    <w:bookmarkEnd w:id="23"/>
    <w:p w14:paraId="13F16494">
      <w:pPr>
        <w:spacing w:line="560" w:lineRule="exact"/>
        <w:ind w:firstLine="640" w:firstLineChars="200"/>
        <w:rPr>
          <w:rFonts w:ascii="仿宋" w:hAnsi="仿宋" w:eastAsia="仿宋"/>
          <w:sz w:val="32"/>
          <w:szCs w:val="32"/>
        </w:rPr>
      </w:pPr>
      <w:r>
        <w:rPr>
          <w:rFonts w:hint="eastAsia" w:ascii="仿宋" w:hAnsi="仿宋" w:eastAsia="仿宋"/>
          <w:sz w:val="32"/>
          <w:szCs w:val="32"/>
        </w:rPr>
        <w:t>支持金融机构、地方金融组织围绕重点产业链建立健全金融服务体系，拓展供应链金融业务，依托产业链上下游加强供应链授信。加快形成具有竞争力的航运金融服务体系，支持航运保险、再保险机构开展业务试点。支持商业保理公司依法合规探索国际保理业务，优化业务标准与合同规范。</w:t>
      </w:r>
    </w:p>
    <w:p w14:paraId="2988C456">
      <w:pPr>
        <w:spacing w:line="560" w:lineRule="exact"/>
        <w:ind w:firstLine="640" w:firstLineChars="200"/>
        <w:rPr>
          <w:rFonts w:ascii="Times New Roman" w:hAnsi="Times New Roman" w:eastAsia="楷体_GB2312"/>
          <w:bCs/>
          <w:kern w:val="0"/>
          <w:sz w:val="32"/>
          <w:szCs w:val="32"/>
        </w:rPr>
      </w:pPr>
      <w:bookmarkStart w:id="24" w:name="OLE_LINK5"/>
      <w:bookmarkStart w:id="25" w:name="OLE_LINK4"/>
      <w:r>
        <w:rPr>
          <w:rFonts w:hint="eastAsia" w:ascii="楷体" w:hAnsi="楷体" w:eastAsia="楷体"/>
          <w:bCs/>
          <w:kern w:val="0"/>
          <w:sz w:val="32"/>
          <w:szCs w:val="32"/>
        </w:rPr>
        <w:t>（五）支持金融产业高质量发展</w:t>
      </w:r>
    </w:p>
    <w:bookmarkEnd w:id="24"/>
    <w:bookmarkEnd w:id="25"/>
    <w:p w14:paraId="33163117">
      <w:pPr>
        <w:spacing w:line="560" w:lineRule="exact"/>
        <w:ind w:firstLine="640" w:firstLineChars="200"/>
        <w:rPr>
          <w:rFonts w:ascii="仿宋" w:hAnsi="仿宋" w:eastAsia="仿宋"/>
          <w:sz w:val="32"/>
          <w:szCs w:val="32"/>
        </w:rPr>
      </w:pPr>
      <w:bookmarkStart w:id="26" w:name="OLE_LINK10"/>
      <w:r>
        <w:rPr>
          <w:rFonts w:hint="eastAsia" w:ascii="仿宋" w:hAnsi="仿宋" w:eastAsia="仿宋"/>
          <w:sz w:val="32"/>
          <w:szCs w:val="32"/>
        </w:rPr>
        <w:t>研究符合产业特点的针对性支持政策措施，支持各类金融机构与地方金融组织、投资类企业提升服务效能，更好服务实体经济，助力区域经济及特色金融发展。</w:t>
      </w:r>
    </w:p>
    <w:bookmarkEnd w:id="26"/>
    <w:p w14:paraId="5A053223">
      <w:pPr>
        <w:spacing w:line="560" w:lineRule="exact"/>
        <w:ind w:firstLine="640" w:firstLineChars="200"/>
        <w:rPr>
          <w:rFonts w:ascii="楷体" w:hAnsi="楷体" w:eastAsia="楷体"/>
          <w:bCs/>
          <w:kern w:val="0"/>
          <w:sz w:val="32"/>
          <w:szCs w:val="32"/>
        </w:rPr>
      </w:pPr>
      <w:r>
        <w:rPr>
          <w:rFonts w:hint="eastAsia" w:ascii="楷体" w:hAnsi="楷体" w:eastAsia="楷体"/>
          <w:bCs/>
          <w:kern w:val="0"/>
          <w:sz w:val="32"/>
          <w:szCs w:val="32"/>
        </w:rPr>
        <w:t>（六）加强金融风险防控与监管协同</w:t>
      </w:r>
    </w:p>
    <w:p w14:paraId="7E40E091">
      <w:pPr>
        <w:spacing w:line="560" w:lineRule="exact"/>
        <w:ind w:firstLine="640" w:firstLineChars="200"/>
        <w:rPr>
          <w:rFonts w:ascii="仿宋" w:hAnsi="仿宋" w:eastAsia="仿宋"/>
          <w:sz w:val="32"/>
          <w:szCs w:val="32"/>
        </w:rPr>
      </w:pPr>
      <w:r>
        <w:rPr>
          <w:rFonts w:hint="eastAsia" w:ascii="仿宋" w:hAnsi="仿宋" w:eastAsia="仿宋"/>
          <w:sz w:val="32"/>
          <w:szCs w:val="32"/>
        </w:rPr>
        <w:t>严格执行中央金融管理规则，强化中央与地方监管协同。加强对各类金融业务的风险评估与防控，稳妥化解中小金融机构、私募基金等机构风险。优化金融生态环境，加大对非法金融活动的打击力度。</w:t>
      </w:r>
    </w:p>
    <w:p w14:paraId="55A44BB3">
      <w:pPr>
        <w:spacing w:line="56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四</w:t>
      </w:r>
      <w:r>
        <w:rPr>
          <w:rFonts w:ascii="Times New Roman" w:hAnsi="Times New Roman" w:eastAsia="黑体"/>
          <w:kern w:val="0"/>
          <w:sz w:val="32"/>
          <w:szCs w:val="32"/>
        </w:rPr>
        <w:t>、强化组织实施保障</w:t>
      </w:r>
    </w:p>
    <w:bookmarkEnd w:id="18"/>
    <w:bookmarkEnd w:id="19"/>
    <w:p w14:paraId="25D4659D">
      <w:pPr>
        <w:spacing w:line="560" w:lineRule="exact"/>
        <w:ind w:firstLine="640" w:firstLineChars="200"/>
        <w:rPr>
          <w:rFonts w:ascii="仿宋" w:hAnsi="仿宋" w:eastAsia="仿宋"/>
          <w:sz w:val="32"/>
          <w:szCs w:val="32"/>
        </w:rPr>
      </w:pPr>
      <w:r>
        <w:rPr>
          <w:rFonts w:hint="eastAsia" w:ascii="仿宋" w:hAnsi="仿宋" w:eastAsia="仿宋"/>
          <w:sz w:val="32"/>
          <w:szCs w:val="32"/>
        </w:rPr>
        <w:t>天津</w:t>
      </w:r>
      <w:r>
        <w:rPr>
          <w:rFonts w:ascii="仿宋" w:hAnsi="仿宋" w:eastAsia="仿宋"/>
          <w:sz w:val="32"/>
          <w:szCs w:val="32"/>
        </w:rPr>
        <w:t>东疆综合保税区管委会各部门要全面加强组织领导与统筹协调，压实主体责任，确保各项举措有序推进、取得实效。充分发挥行业协会等社会组织的桥梁与枢纽功能，广泛凝聚政策合力。强化政策宣贯与解读引导，积极营造鼓励创新、支持实干的良好发展环境，持续提升东疆在优化营商环境、服务开放型经济高质量发展中的支撑作用。</w:t>
      </w:r>
    </w:p>
    <w:p w14:paraId="1C0573A1">
      <w:pPr>
        <w:spacing w:line="560" w:lineRule="exact"/>
        <w:ind w:firstLine="640" w:firstLineChars="200"/>
        <w:rPr>
          <w:rFonts w:ascii="仿宋" w:hAnsi="仿宋" w:eastAsia="仿宋"/>
          <w:sz w:val="32"/>
          <w:szCs w:val="32"/>
        </w:rPr>
      </w:pPr>
    </w:p>
    <w:p w14:paraId="4E4A67EF">
      <w:pPr>
        <w:ind w:firstLine="745" w:firstLineChars="233"/>
        <w:rPr>
          <w:rFonts w:ascii="仿宋_GB2312" w:hAnsi="仿宋_GB2312" w:eastAsia="仿宋_GB2312" w:cs="仿宋_GB2312"/>
          <w:sz w:val="32"/>
          <w:szCs w:val="32"/>
        </w:rPr>
      </w:pPr>
    </w:p>
    <w:p w14:paraId="323E99DC">
      <w:pPr>
        <w:ind w:firstLine="745" w:firstLineChars="233"/>
        <w:rPr>
          <w:rFonts w:ascii="仿宋_GB2312" w:hAnsi="仿宋_GB2312" w:eastAsia="仿宋_GB2312" w:cs="仿宋_GB2312"/>
          <w:sz w:val="32"/>
          <w:szCs w:val="32"/>
        </w:rPr>
      </w:pPr>
    </w:p>
    <w:p w14:paraId="0C1D29CD">
      <w:pPr>
        <w:ind w:firstLine="745" w:firstLineChars="233"/>
        <w:rPr>
          <w:rFonts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7914C-AC2A-4C82-A91C-BB1F0EBE7A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0010101010101"/>
    <w:charset w:val="86"/>
    <w:family w:val="script"/>
    <w:pitch w:val="default"/>
    <w:sig w:usb0="00000001" w:usb1="080E0000" w:usb2="00000000" w:usb3="00000000" w:csb0="00040000" w:csb1="00000000"/>
    <w:embedRegular r:id="rId2" w:fontKey="{E1E6FF34-1A7E-4C8D-A996-DFDFEB88B038}"/>
  </w:font>
  <w:font w:name="仿宋">
    <w:panose1 w:val="02010609060101010101"/>
    <w:charset w:val="86"/>
    <w:family w:val="modern"/>
    <w:pitch w:val="default"/>
    <w:sig w:usb0="800002BF" w:usb1="38CF7CFA" w:usb2="00000016" w:usb3="00000000" w:csb0="00040001" w:csb1="00000000"/>
    <w:embedRegular r:id="rId3" w:fontKey="{4C87C103-9367-47C6-B0B8-CC5454584989}"/>
  </w:font>
  <w:font w:name="楷体">
    <w:panose1 w:val="02010609060101010101"/>
    <w:charset w:val="86"/>
    <w:family w:val="modern"/>
    <w:pitch w:val="default"/>
    <w:sig w:usb0="800002BF" w:usb1="38CF7CFA" w:usb2="00000016" w:usb3="00000000" w:csb0="00040001" w:csb1="00000000"/>
    <w:embedRegular r:id="rId4" w:fontKey="{869CE3FD-E320-445B-8903-3B3DC2A48666}"/>
  </w:font>
  <w:font w:name="仿宋_GB2312">
    <w:panose1 w:val="02010609030101010101"/>
    <w:charset w:val="86"/>
    <w:family w:val="modern"/>
    <w:pitch w:val="default"/>
    <w:sig w:usb0="00000001" w:usb1="080E0000" w:usb2="00000000" w:usb3="00000000" w:csb0="00040000" w:csb1="00000000"/>
    <w:embedRegular r:id="rId5" w:fontKey="{A58DF41B-82E6-4092-B392-2415078AB113}"/>
  </w:font>
  <w:font w:name="楷体_GB2312">
    <w:panose1 w:val="02010609030101010101"/>
    <w:charset w:val="86"/>
    <w:family w:val="modern"/>
    <w:pitch w:val="default"/>
    <w:sig w:usb0="00000001" w:usb1="080E0000" w:usb2="00000000" w:usb3="00000000" w:csb0="00040000" w:csb1="00000000"/>
    <w:embedRegular r:id="rId6" w:fontKey="{C33DBDFF-C2C3-435A-A979-203757863C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353181"/>
    </w:sdtPr>
    <w:sdtContent>
      <w:p w14:paraId="1048A2B2">
        <w:pPr>
          <w:pStyle w:val="5"/>
          <w:jc w:val="center"/>
        </w:pPr>
        <w:r>
          <w:fldChar w:fldCharType="begin"/>
        </w:r>
        <w:r>
          <w:instrText xml:space="preserve">PAGE   \* MERGEFORMAT</w:instrText>
        </w:r>
        <w:r>
          <w:fldChar w:fldCharType="separate"/>
        </w:r>
        <w:r>
          <w:rPr>
            <w:lang w:val="zh-CN"/>
          </w:rPr>
          <w:t>1</w:t>
        </w:r>
        <w:r>
          <w:fldChar w:fldCharType="end"/>
        </w:r>
      </w:p>
    </w:sdtContent>
  </w:sdt>
  <w:p w14:paraId="36C36E9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D77B8">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8750A"/>
    <w:rsid w:val="00003C9A"/>
    <w:rsid w:val="0008230D"/>
    <w:rsid w:val="000C1757"/>
    <w:rsid w:val="000C72AE"/>
    <w:rsid w:val="000E2042"/>
    <w:rsid w:val="000F5346"/>
    <w:rsid w:val="00116915"/>
    <w:rsid w:val="0015204F"/>
    <w:rsid w:val="001669AB"/>
    <w:rsid w:val="00187DAD"/>
    <w:rsid w:val="001E665F"/>
    <w:rsid w:val="001F7FF9"/>
    <w:rsid w:val="002004D7"/>
    <w:rsid w:val="00244D35"/>
    <w:rsid w:val="00275340"/>
    <w:rsid w:val="00291B63"/>
    <w:rsid w:val="002A41F5"/>
    <w:rsid w:val="002C1EAA"/>
    <w:rsid w:val="002C35F3"/>
    <w:rsid w:val="00325AF0"/>
    <w:rsid w:val="00342C31"/>
    <w:rsid w:val="003444FA"/>
    <w:rsid w:val="00365DF0"/>
    <w:rsid w:val="0038750A"/>
    <w:rsid w:val="003C65C3"/>
    <w:rsid w:val="003C6D61"/>
    <w:rsid w:val="00447F55"/>
    <w:rsid w:val="00447FD1"/>
    <w:rsid w:val="0048719F"/>
    <w:rsid w:val="004901CC"/>
    <w:rsid w:val="004B6619"/>
    <w:rsid w:val="004D6040"/>
    <w:rsid w:val="004E2CD2"/>
    <w:rsid w:val="004E38CC"/>
    <w:rsid w:val="00516243"/>
    <w:rsid w:val="005207B4"/>
    <w:rsid w:val="005434BD"/>
    <w:rsid w:val="00570AF8"/>
    <w:rsid w:val="005831A1"/>
    <w:rsid w:val="00587E24"/>
    <w:rsid w:val="00593FBF"/>
    <w:rsid w:val="005A3FBF"/>
    <w:rsid w:val="005C0A25"/>
    <w:rsid w:val="005C1A99"/>
    <w:rsid w:val="005C773C"/>
    <w:rsid w:val="00645AF6"/>
    <w:rsid w:val="006C3265"/>
    <w:rsid w:val="006C36FE"/>
    <w:rsid w:val="006D2A98"/>
    <w:rsid w:val="007D623E"/>
    <w:rsid w:val="007E2AA9"/>
    <w:rsid w:val="0084386D"/>
    <w:rsid w:val="00860A2C"/>
    <w:rsid w:val="008832B1"/>
    <w:rsid w:val="008C26D3"/>
    <w:rsid w:val="008E0B49"/>
    <w:rsid w:val="008F660F"/>
    <w:rsid w:val="009755B9"/>
    <w:rsid w:val="00980B47"/>
    <w:rsid w:val="009967CB"/>
    <w:rsid w:val="009B37DB"/>
    <w:rsid w:val="00A20153"/>
    <w:rsid w:val="00A9224F"/>
    <w:rsid w:val="00AA281B"/>
    <w:rsid w:val="00B01827"/>
    <w:rsid w:val="00B0497C"/>
    <w:rsid w:val="00B951F5"/>
    <w:rsid w:val="00B973DB"/>
    <w:rsid w:val="00BA1BF9"/>
    <w:rsid w:val="00BB335B"/>
    <w:rsid w:val="00C05B21"/>
    <w:rsid w:val="00C11804"/>
    <w:rsid w:val="00C27F5A"/>
    <w:rsid w:val="00C70034"/>
    <w:rsid w:val="00C91E03"/>
    <w:rsid w:val="00CC4A35"/>
    <w:rsid w:val="00DA28FC"/>
    <w:rsid w:val="00E90AAB"/>
    <w:rsid w:val="00EA0721"/>
    <w:rsid w:val="00EB7973"/>
    <w:rsid w:val="00EE16B5"/>
    <w:rsid w:val="00EF37D5"/>
    <w:rsid w:val="00F05976"/>
    <w:rsid w:val="00F06F75"/>
    <w:rsid w:val="00F11CCD"/>
    <w:rsid w:val="00F13CA4"/>
    <w:rsid w:val="00F250E9"/>
    <w:rsid w:val="00F347E3"/>
    <w:rsid w:val="00F81792"/>
    <w:rsid w:val="00F9320D"/>
    <w:rsid w:val="00FC6CA5"/>
    <w:rsid w:val="00FE2E0D"/>
    <w:rsid w:val="01267EB8"/>
    <w:rsid w:val="021658B0"/>
    <w:rsid w:val="078801B7"/>
    <w:rsid w:val="0B1701D0"/>
    <w:rsid w:val="0BB20B63"/>
    <w:rsid w:val="0BE74308"/>
    <w:rsid w:val="0C4B5C57"/>
    <w:rsid w:val="0EB5669B"/>
    <w:rsid w:val="0FFE7E09"/>
    <w:rsid w:val="10424D97"/>
    <w:rsid w:val="12135469"/>
    <w:rsid w:val="12C30C3D"/>
    <w:rsid w:val="170F26A3"/>
    <w:rsid w:val="17A0779F"/>
    <w:rsid w:val="1AD456FE"/>
    <w:rsid w:val="1C367A66"/>
    <w:rsid w:val="1E4E3097"/>
    <w:rsid w:val="1F1B4742"/>
    <w:rsid w:val="1F8F25D3"/>
    <w:rsid w:val="2020322B"/>
    <w:rsid w:val="24013373"/>
    <w:rsid w:val="2466767A"/>
    <w:rsid w:val="2AD0328A"/>
    <w:rsid w:val="2BE5357A"/>
    <w:rsid w:val="2D1F703A"/>
    <w:rsid w:val="2D2F71A3"/>
    <w:rsid w:val="2DF02CA4"/>
    <w:rsid w:val="30E3452C"/>
    <w:rsid w:val="321E1594"/>
    <w:rsid w:val="321E3342"/>
    <w:rsid w:val="32335040"/>
    <w:rsid w:val="350B22A4"/>
    <w:rsid w:val="37105372"/>
    <w:rsid w:val="3AFD268F"/>
    <w:rsid w:val="3F50275E"/>
    <w:rsid w:val="40704517"/>
    <w:rsid w:val="436A4639"/>
    <w:rsid w:val="454E20B7"/>
    <w:rsid w:val="45C049E4"/>
    <w:rsid w:val="47FE17F4"/>
    <w:rsid w:val="48FF3E1F"/>
    <w:rsid w:val="49282FCC"/>
    <w:rsid w:val="4B2C48CA"/>
    <w:rsid w:val="4C8B1B78"/>
    <w:rsid w:val="4FF44F30"/>
    <w:rsid w:val="55F20DEA"/>
    <w:rsid w:val="56B476CF"/>
    <w:rsid w:val="584720E0"/>
    <w:rsid w:val="5C9D7CF4"/>
    <w:rsid w:val="5D0336DD"/>
    <w:rsid w:val="5DCD2B84"/>
    <w:rsid w:val="5F7C1524"/>
    <w:rsid w:val="5FB431C7"/>
    <w:rsid w:val="616048A5"/>
    <w:rsid w:val="625B7B17"/>
    <w:rsid w:val="643A3C0F"/>
    <w:rsid w:val="65BA4B55"/>
    <w:rsid w:val="6A0942FC"/>
    <w:rsid w:val="6A6E78F8"/>
    <w:rsid w:val="6BD83F86"/>
    <w:rsid w:val="6FAD7C00"/>
    <w:rsid w:val="73124222"/>
    <w:rsid w:val="75ED062E"/>
    <w:rsid w:val="75FC4D15"/>
    <w:rsid w:val="77732DB5"/>
    <w:rsid w:val="77A45665"/>
    <w:rsid w:val="79CF6ED7"/>
    <w:rsid w:val="7B9854E0"/>
    <w:rsid w:val="7BE20509"/>
    <w:rsid w:val="7C52568F"/>
    <w:rsid w:val="7DDE3FD8"/>
    <w:rsid w:val="7E0D50F0"/>
    <w:rsid w:val="7F5B0CFF"/>
    <w:rsid w:val="7FBF2C1B"/>
    <w:rsid w:val="7FD36AE7"/>
    <w:rsid w:val="7FDD9819"/>
    <w:rsid w:val="7FF8C6C7"/>
    <w:rsid w:val="DB7C1831"/>
    <w:rsid w:val="FDDDC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Cs w:val="21"/>
      <w:lang w:eastAsia="en-US"/>
    </w:rPr>
  </w:style>
  <w:style w:type="paragraph" w:styleId="3">
    <w:name w:val="Body Text Indent"/>
    <w:basedOn w:val="1"/>
    <w:qFormat/>
    <w:uiPriority w:val="0"/>
    <w:pPr>
      <w:ind w:firstLine="720" w:firstLineChars="225"/>
    </w:pPr>
    <w:rPr>
      <w:sz w:val="32"/>
      <w:szCs w:val="20"/>
    </w:rPr>
  </w:style>
  <w:style w:type="paragraph" w:styleId="4">
    <w:name w:val="Balloon Text"/>
    <w:basedOn w:val="1"/>
    <w:link w:val="37"/>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qFormat/>
    <w:uiPriority w:val="0"/>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标题-一般行文"/>
    <w:basedOn w:val="1"/>
    <w:link w:val="15"/>
    <w:qFormat/>
    <w:uiPriority w:val="0"/>
    <w:pPr>
      <w:spacing w:line="560" w:lineRule="exact"/>
      <w:jc w:val="center"/>
    </w:pPr>
    <w:rPr>
      <w:rFonts w:ascii="方正小标宋简体" w:hAnsi="方正小标宋简体" w:eastAsia="方正小标宋简体" w:cs="方正小标宋简体"/>
      <w:sz w:val="44"/>
      <w:szCs w:val="44"/>
    </w:rPr>
  </w:style>
  <w:style w:type="paragraph" w:customStyle="1" w:styleId="14">
    <w:name w:val="正文-一般行文"/>
    <w:basedOn w:val="13"/>
    <w:link w:val="17"/>
    <w:qFormat/>
    <w:uiPriority w:val="0"/>
    <w:pPr>
      <w:ind w:firstLine="200" w:firstLineChars="200"/>
      <w:jc w:val="both"/>
    </w:pPr>
    <w:rPr>
      <w:rFonts w:ascii="仿宋" w:hAnsi="仿宋" w:eastAsia="仿宋" w:cs="仿宋"/>
      <w:sz w:val="32"/>
      <w:szCs w:val="32"/>
    </w:rPr>
  </w:style>
  <w:style w:type="character" w:customStyle="1" w:styleId="15">
    <w:name w:val="标题-一般行文 字符"/>
    <w:basedOn w:val="11"/>
    <w:link w:val="13"/>
    <w:qFormat/>
    <w:uiPriority w:val="0"/>
    <w:rPr>
      <w:rFonts w:ascii="方正小标宋简体" w:hAnsi="方正小标宋简体" w:eastAsia="方正小标宋简体" w:cs="方正小标宋简体"/>
      <w:sz w:val="44"/>
      <w:szCs w:val="44"/>
    </w:rPr>
  </w:style>
  <w:style w:type="paragraph" w:customStyle="1" w:styleId="16">
    <w:name w:val="一级标题-一般行文"/>
    <w:basedOn w:val="14"/>
    <w:link w:val="19"/>
    <w:qFormat/>
    <w:uiPriority w:val="0"/>
    <w:pPr>
      <w:jc w:val="left"/>
    </w:pPr>
    <w:rPr>
      <w:rFonts w:ascii="黑体" w:hAnsi="黑体" w:eastAsia="黑体" w:cs="黑体"/>
    </w:rPr>
  </w:style>
  <w:style w:type="character" w:customStyle="1" w:styleId="17">
    <w:name w:val="正文-一般行文 字符"/>
    <w:basedOn w:val="15"/>
    <w:link w:val="14"/>
    <w:qFormat/>
    <w:uiPriority w:val="0"/>
    <w:rPr>
      <w:rFonts w:ascii="仿宋" w:hAnsi="仿宋" w:eastAsia="仿宋" w:cs="仿宋"/>
      <w:sz w:val="32"/>
      <w:szCs w:val="32"/>
    </w:rPr>
  </w:style>
  <w:style w:type="paragraph" w:customStyle="1" w:styleId="18">
    <w:name w:val="二级标题-一般行文"/>
    <w:basedOn w:val="16"/>
    <w:link w:val="21"/>
    <w:qFormat/>
    <w:uiPriority w:val="0"/>
    <w:rPr>
      <w:rFonts w:ascii="楷体" w:hAnsi="楷体" w:eastAsia="楷体" w:cs="楷体"/>
    </w:rPr>
  </w:style>
  <w:style w:type="character" w:customStyle="1" w:styleId="19">
    <w:name w:val="一级标题-一般行文 字符"/>
    <w:basedOn w:val="17"/>
    <w:link w:val="16"/>
    <w:qFormat/>
    <w:uiPriority w:val="0"/>
    <w:rPr>
      <w:rFonts w:ascii="黑体" w:hAnsi="黑体" w:eastAsia="黑体" w:cs="黑体"/>
      <w:sz w:val="32"/>
      <w:szCs w:val="32"/>
    </w:rPr>
  </w:style>
  <w:style w:type="paragraph" w:customStyle="1" w:styleId="20">
    <w:name w:val="三级标题-一般行文"/>
    <w:basedOn w:val="18"/>
    <w:link w:val="22"/>
    <w:qFormat/>
    <w:uiPriority w:val="0"/>
    <w:rPr>
      <w:rFonts w:ascii="仿宋" w:hAnsi="仿宋" w:eastAsia="仿宋" w:cs="仿宋"/>
    </w:rPr>
  </w:style>
  <w:style w:type="character" w:customStyle="1" w:styleId="21">
    <w:name w:val="二级标题-一般行文 字符"/>
    <w:basedOn w:val="19"/>
    <w:link w:val="18"/>
    <w:qFormat/>
    <w:uiPriority w:val="0"/>
    <w:rPr>
      <w:rFonts w:ascii="楷体" w:hAnsi="楷体" w:eastAsia="楷体" w:cs="楷体"/>
      <w:sz w:val="32"/>
      <w:szCs w:val="32"/>
    </w:rPr>
  </w:style>
  <w:style w:type="character" w:customStyle="1" w:styleId="22">
    <w:name w:val="三级标题-一般行文 字符"/>
    <w:basedOn w:val="21"/>
    <w:link w:val="20"/>
    <w:qFormat/>
    <w:uiPriority w:val="0"/>
    <w:rPr>
      <w:rFonts w:ascii="仿宋" w:hAnsi="仿宋" w:eastAsia="仿宋" w:cs="仿宋"/>
      <w:sz w:val="32"/>
      <w:szCs w:val="32"/>
    </w:rPr>
  </w:style>
  <w:style w:type="character" w:customStyle="1" w:styleId="23">
    <w:name w:val="页眉 Char"/>
    <w:basedOn w:val="11"/>
    <w:link w:val="6"/>
    <w:qFormat/>
    <w:uiPriority w:val="99"/>
    <w:rPr>
      <w:sz w:val="18"/>
      <w:szCs w:val="18"/>
    </w:rPr>
  </w:style>
  <w:style w:type="character" w:customStyle="1" w:styleId="24">
    <w:name w:val="页脚 Char"/>
    <w:basedOn w:val="11"/>
    <w:link w:val="5"/>
    <w:qFormat/>
    <w:uiPriority w:val="99"/>
    <w:rPr>
      <w:sz w:val="18"/>
      <w:szCs w:val="18"/>
    </w:rPr>
  </w:style>
  <w:style w:type="paragraph" w:customStyle="1" w:styleId="25">
    <w:name w:val="文件标题-上会"/>
    <w:basedOn w:val="1"/>
    <w:link w:val="27"/>
    <w:qFormat/>
    <w:uiPriority w:val="0"/>
    <w:pPr>
      <w:spacing w:line="640" w:lineRule="exact"/>
      <w:jc w:val="center"/>
    </w:pPr>
    <w:rPr>
      <w:rFonts w:eastAsia="方正小标宋简体"/>
      <w:sz w:val="44"/>
    </w:rPr>
  </w:style>
  <w:style w:type="paragraph" w:customStyle="1" w:styleId="26">
    <w:name w:val="正文-上会"/>
    <w:basedOn w:val="25"/>
    <w:link w:val="29"/>
    <w:qFormat/>
    <w:uiPriority w:val="0"/>
    <w:pPr>
      <w:ind w:firstLine="200" w:firstLineChars="200"/>
      <w:jc w:val="both"/>
    </w:pPr>
    <w:rPr>
      <w:rFonts w:eastAsia="仿宋_GB2312"/>
      <w:sz w:val="36"/>
    </w:rPr>
  </w:style>
  <w:style w:type="character" w:customStyle="1" w:styleId="27">
    <w:name w:val="文件标题-上会 字符"/>
    <w:basedOn w:val="11"/>
    <w:link w:val="25"/>
    <w:qFormat/>
    <w:uiPriority w:val="0"/>
    <w:rPr>
      <w:rFonts w:eastAsia="方正小标宋简体"/>
      <w:sz w:val="44"/>
    </w:rPr>
  </w:style>
  <w:style w:type="paragraph" w:customStyle="1" w:styleId="28">
    <w:name w:val="一级标题-上会"/>
    <w:basedOn w:val="26"/>
    <w:link w:val="31"/>
    <w:qFormat/>
    <w:uiPriority w:val="0"/>
    <w:pPr>
      <w:jc w:val="left"/>
    </w:pPr>
    <w:rPr>
      <w:rFonts w:eastAsia="黑体"/>
    </w:rPr>
  </w:style>
  <w:style w:type="character" w:customStyle="1" w:styleId="29">
    <w:name w:val="正文-上会 字符"/>
    <w:basedOn w:val="27"/>
    <w:link w:val="26"/>
    <w:qFormat/>
    <w:uiPriority w:val="0"/>
    <w:rPr>
      <w:rFonts w:eastAsia="仿宋_GB2312"/>
      <w:sz w:val="36"/>
    </w:rPr>
  </w:style>
  <w:style w:type="paragraph" w:customStyle="1" w:styleId="30">
    <w:name w:val="二级标题-上会"/>
    <w:basedOn w:val="28"/>
    <w:link w:val="32"/>
    <w:qFormat/>
    <w:uiPriority w:val="0"/>
    <w:rPr>
      <w:rFonts w:eastAsia="楷体_GB2312"/>
      <w:b/>
    </w:rPr>
  </w:style>
  <w:style w:type="character" w:customStyle="1" w:styleId="31">
    <w:name w:val="一级标题-上会 字符"/>
    <w:basedOn w:val="29"/>
    <w:link w:val="28"/>
    <w:qFormat/>
    <w:uiPriority w:val="0"/>
    <w:rPr>
      <w:rFonts w:eastAsia="黑体"/>
      <w:sz w:val="36"/>
    </w:rPr>
  </w:style>
  <w:style w:type="character" w:customStyle="1" w:styleId="32">
    <w:name w:val="二级标题-上会 字符"/>
    <w:basedOn w:val="31"/>
    <w:link w:val="30"/>
    <w:qFormat/>
    <w:uiPriority w:val="0"/>
    <w:rPr>
      <w:rFonts w:eastAsia="楷体_GB2312"/>
      <w:b/>
      <w:sz w:val="36"/>
    </w:rPr>
  </w:style>
  <w:style w:type="paragraph" w:customStyle="1" w:styleId="33">
    <w:name w:val="汇报单位-上会"/>
    <w:basedOn w:val="25"/>
    <w:link w:val="34"/>
    <w:qFormat/>
    <w:uiPriority w:val="0"/>
    <w:rPr>
      <w:rFonts w:eastAsia="楷体_GB2312"/>
      <w:sz w:val="36"/>
    </w:rPr>
  </w:style>
  <w:style w:type="character" w:customStyle="1" w:styleId="34">
    <w:name w:val="汇报单位-上会 字符"/>
    <w:basedOn w:val="27"/>
    <w:link w:val="33"/>
    <w:qFormat/>
    <w:uiPriority w:val="0"/>
    <w:rPr>
      <w:rFonts w:eastAsia="楷体_GB2312"/>
      <w:sz w:val="36"/>
    </w:rPr>
  </w:style>
  <w:style w:type="paragraph" w:customStyle="1" w:styleId="35">
    <w:name w:val="Table Text"/>
    <w:basedOn w:val="1"/>
    <w:semiHidden/>
    <w:qFormat/>
    <w:uiPriority w:val="0"/>
    <w:rPr>
      <w:rFonts w:ascii="仿宋" w:hAnsi="仿宋" w:eastAsia="仿宋" w:cs="仿宋"/>
      <w:sz w:val="23"/>
      <w:szCs w:val="23"/>
      <w:lang w:eastAsia="en-US"/>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批注框文本 Char"/>
    <w:basedOn w:val="11"/>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1934</Words>
  <Characters>1945</Characters>
  <Lines>14</Lines>
  <Paragraphs>3</Paragraphs>
  <TotalTime>70</TotalTime>
  <ScaleCrop>false</ScaleCrop>
  <LinksUpToDate>false</LinksUpToDate>
  <CharactersWithSpaces>1946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2025-12-25T04:51:00Z</dcterms:created>
  <dc:creator>田玢</dc:creator>
  <cp:lastModifiedBy>zouzhou</cp:lastModifiedBy>
  <cp:lastPrinted>2025-06-13T15:52:00Z</cp:lastPrinted>
  <dcterms:modified xsi:type="dcterms:W3CDTF">2025-12-25T07:46:16Z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26F07FE8191F4B5DBCD66D9372E31F2B_13</vt:lpwstr>
  </property>
  <property fmtid="{D5CDD505-2E9C-101B-9397-08002B2CF9AE}" pid="4" name="KSOTemplateDocerSaveRecord">
    <vt:lpwstr>eyJoZGlkIjoiMTI4M2EyNDBjMjZhYWQwNTRhY2QzNmViYjMyMDU3N2EiLCJ1c2VySWQiOiIyMTkwMjA0MjcifQ==</vt:lpwstr>
  </property>
</Properties>
</file>