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</w:rPr>
        <w:t>《天津东疆综合保税区进一步支持产业聚集和创新发展鼓励办法（2025年修订版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征求意见稿</w:t>
      </w:r>
      <w:r>
        <w:rPr>
          <w:rFonts w:ascii="Times New Roman" w:hAnsi="Times New Roman" w:eastAsia="方正小标宋简体" w:cs="Times New Roman"/>
          <w:sz w:val="44"/>
          <w:szCs w:val="44"/>
        </w:rPr>
        <w:t>）》</w:t>
      </w:r>
      <w:r>
        <w:rPr>
          <w:rFonts w:hint="eastAsia" w:ascii="方正小标宋简体" w:hAnsi="方正小标宋简体" w:eastAsia="方正小标宋简体"/>
          <w:sz w:val="44"/>
          <w:szCs w:val="44"/>
        </w:rPr>
        <w:t>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随着东疆</w:t>
      </w:r>
      <w:r>
        <w:rPr>
          <w:rFonts w:hint="eastAsia" w:ascii="仿宋_GB2312" w:hAnsi="仿宋_GB2312" w:eastAsia="仿宋_GB2312"/>
          <w:sz w:val="32"/>
          <w:szCs w:val="32"/>
        </w:rPr>
        <w:t>转型升级</w:t>
      </w:r>
      <w:r>
        <w:rPr>
          <w:rFonts w:ascii="仿宋_GB2312" w:hAnsi="仿宋_GB2312" w:eastAsia="仿宋_GB2312"/>
          <w:sz w:val="32"/>
          <w:szCs w:val="32"/>
        </w:rPr>
        <w:t>，区域功能定位和政策环境发生深刻变化。为更好服务京津冀协同发展重大国家战略，对标国际高标准经贸规则，进一步释放自贸试验区和综合保税区政策叠加优势，有必要对原产业支持</w:t>
      </w:r>
      <w:r>
        <w:rPr>
          <w:rFonts w:hint="eastAsia" w:ascii="仿宋_GB2312" w:hAnsi="仿宋_GB2312" w:eastAsia="仿宋_GB2312"/>
          <w:sz w:val="32"/>
          <w:szCs w:val="32"/>
        </w:rPr>
        <w:t>聚集政策</w:t>
      </w:r>
      <w:r>
        <w:rPr>
          <w:rFonts w:ascii="仿宋_GB2312" w:hAnsi="仿宋_GB2312" w:eastAsia="仿宋_GB2312"/>
          <w:sz w:val="32"/>
          <w:szCs w:val="32"/>
        </w:rPr>
        <w:t>进行系统性修订。本次《天津东疆综合保税区进一步支持产业聚集和创新发展鼓励办法（2025年修订版</w:t>
      </w:r>
      <w:r>
        <w:rPr>
          <w:rFonts w:hint="eastAsia" w:ascii="仿宋_GB2312" w:hAnsi="仿宋_GB2312" w:eastAsia="仿宋_GB2312"/>
          <w:sz w:val="32"/>
          <w:szCs w:val="32"/>
        </w:rPr>
        <w:t>征求意见稿</w:t>
      </w:r>
      <w:r>
        <w:rPr>
          <w:rFonts w:ascii="仿宋_GB2312" w:hAnsi="仿宋_GB2312" w:eastAsia="仿宋_GB2312"/>
          <w:sz w:val="32"/>
          <w:szCs w:val="32"/>
        </w:rPr>
        <w:t>）》（以下简称《</w:t>
      </w:r>
      <w:r>
        <w:rPr>
          <w:rFonts w:hint="eastAsia" w:ascii="仿宋_GB2312" w:hAnsi="仿宋_GB2312" w:eastAsia="仿宋_GB2312"/>
          <w:sz w:val="32"/>
          <w:szCs w:val="32"/>
        </w:rPr>
        <w:t>办法</w:t>
      </w:r>
      <w:r>
        <w:rPr>
          <w:rFonts w:ascii="仿宋_GB2312" w:hAnsi="仿宋_GB2312" w:eastAsia="仿宋_GB2312"/>
          <w:sz w:val="32"/>
          <w:szCs w:val="32"/>
        </w:rPr>
        <w:t>》）</w:t>
      </w:r>
      <w:r>
        <w:rPr>
          <w:rFonts w:hint="eastAsia" w:ascii="仿宋_GB2312" w:hAnsi="仿宋_GB2312" w:eastAsia="仿宋_GB2312"/>
          <w:sz w:val="32"/>
          <w:szCs w:val="32"/>
        </w:rPr>
        <w:t>的</w:t>
      </w:r>
      <w:r>
        <w:rPr>
          <w:rFonts w:ascii="仿宋_GB2312" w:hAnsi="仿宋_GB2312" w:eastAsia="仿宋_GB2312"/>
          <w:sz w:val="32"/>
          <w:szCs w:val="32"/>
        </w:rPr>
        <w:t>修订紧扣东疆“港产城融合”发展理念，聚焦构建现代化产业体系，着力营造市场化、法治化、国际化营商环境，加快培育新质生产力，为区域经济高质量发展提供制度保障和政策支撑。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切实做好本《办法》的起草工作，通过组织座谈会、实地走访、电话咨询等方式，与东疆重点产业、新兴产业等企业深入交流，广泛听取对当前东疆区域产业发展现状、问题的意见建议。经多轮征求意见并修改完善后，形成《办法》公开征求意见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依据《天津市行政规范性文件管理规定》以及《滨海新区行政规范性文件制定和监督管理办法》要求，现向社会公开征求意见和建议。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《办法》共四章二十三条，结构更为完整，内容更加丰富。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ascii="仿宋_GB2312" w:hAnsi="仿宋_GB2312" w:eastAsia="仿宋_GB2312"/>
          <w:sz w:val="32"/>
          <w:szCs w:val="32"/>
        </w:rPr>
        <w:t>第一章总则部分明确了政策的制定目的、基本原则、适用范围和支持方式，强调协同性、创新性和系统性。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</w:t>
      </w:r>
      <w:r>
        <w:rPr>
          <w:rFonts w:ascii="仿宋_GB2312" w:hAnsi="仿宋_GB2312" w:eastAsia="仿宋_GB2312"/>
          <w:sz w:val="32"/>
          <w:szCs w:val="32"/>
        </w:rPr>
        <w:t>第二章系统梳理并拓展了重点支持产业方向，在原有租赁、商贸、航运物流、科技服务、新金融等产业基础上，新增了制造业、文旅业两个重点章节，并对各产业的高端化、智能化、绿色化发展方向予以明确指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</w:t>
      </w:r>
      <w:r>
        <w:rPr>
          <w:rFonts w:ascii="仿宋_GB2312" w:hAnsi="仿宋_GB2312" w:eastAsia="仿宋_GB2312"/>
          <w:sz w:val="32"/>
          <w:szCs w:val="32"/>
        </w:rPr>
        <w:t>第三章强化了促进要素集聚的支撑作用，围绕高端人才、金融资本、科技创新、数据要素、土地供给、专业服务及区位优势等七大关键要素，提出了更具针对性的集聚路径和支持导向。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</w:t>
      </w:r>
      <w:r>
        <w:rPr>
          <w:rFonts w:ascii="仿宋_GB2312" w:hAnsi="仿宋_GB2312" w:eastAsia="仿宋_GB2312"/>
          <w:sz w:val="32"/>
          <w:szCs w:val="32"/>
        </w:rPr>
        <w:t>第四章附则部分明确了专项资金设立、政策执行细则、实施时间及解释权归属等事项。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F6"/>
    <w:rsid w:val="002F0E6A"/>
    <w:rsid w:val="00336474"/>
    <w:rsid w:val="00356AB7"/>
    <w:rsid w:val="00446317"/>
    <w:rsid w:val="00463D28"/>
    <w:rsid w:val="005C7FC7"/>
    <w:rsid w:val="006724F6"/>
    <w:rsid w:val="006B207E"/>
    <w:rsid w:val="006C61EF"/>
    <w:rsid w:val="00A008C9"/>
    <w:rsid w:val="00B05EBE"/>
    <w:rsid w:val="00BD6D2A"/>
    <w:rsid w:val="00BF51C1"/>
    <w:rsid w:val="00F60FD6"/>
    <w:rsid w:val="00F63E5C"/>
    <w:rsid w:val="FEB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2025-10-31T16:28:00Z</dcterms:created>
  <dc:creator>gao</dc:creator>
  <cp:lastModifiedBy>greatwall</cp:lastModifiedBy>
  <dcterms:modified xsi:type="dcterms:W3CDTF">2025-11-03T16:08:07Z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