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天津东疆保税港区管理委员会办公室关于</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印发</w:t>
      </w:r>
      <w:r>
        <w:rPr>
          <w:rFonts w:hint="eastAsia" w:ascii="方正小标宋简体" w:hAnsi="方正小标宋简体" w:eastAsia="方正小标宋简体" w:cs="方正小标宋简体"/>
          <w:color w:val="000000"/>
          <w:kern w:val="0"/>
          <w:sz w:val="43"/>
          <w:szCs w:val="43"/>
          <w:lang w:val="en-US" w:eastAsia="zh-CN" w:bidi="ar"/>
        </w:rPr>
        <w:t>天津东疆保税港区市场主体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报到制度的通知</w:t>
      </w:r>
    </w:p>
    <w:p>
      <w:pPr>
        <w:pStyle w:val="2"/>
        <w:keepNext w:val="0"/>
        <w:keepLines w:val="0"/>
        <w:widowControl/>
        <w:suppressLineNumbers w:val="0"/>
        <w:rPr>
          <w:rFonts w:hint="default" w:ascii="仿宋_GB2312" w:eastAsia="仿宋_GB2312" w:cs="仿宋_GB2312"/>
          <w:color w:val="000000"/>
          <w:sz w:val="31"/>
          <w:szCs w:val="3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天津东疆保税港区</w:t>
      </w:r>
      <w:r>
        <w:rPr>
          <w:rFonts w:hint="eastAsia" w:ascii="方正小标宋简体" w:hAnsi="方正小标宋简体" w:eastAsia="方正小标宋简体" w:cs="方正小标宋简体"/>
          <w:b w:val="0"/>
          <w:bCs w:val="0"/>
          <w:sz w:val="44"/>
          <w:szCs w:val="44"/>
          <w:highlight w:val="none"/>
          <w:lang w:eastAsia="zh-CN"/>
        </w:rPr>
        <w:t>市场主体报到制度</w:t>
      </w:r>
    </w:p>
    <w:p>
      <w:pPr>
        <w:keepNext w:val="0"/>
        <w:keepLines w:val="0"/>
        <w:pageBreakBefore w:val="0"/>
        <w:widowControl w:val="0"/>
        <w:numPr>
          <w:ilvl w:val="0"/>
          <w:numId w:val="1"/>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为积极创新</w:t>
      </w:r>
      <w:r>
        <w:rPr>
          <w:rFonts w:hint="eastAsia" w:ascii="仿宋_GB2312" w:hAnsi="仿宋_GB2312" w:eastAsia="仿宋_GB2312" w:cs="仿宋_GB2312"/>
          <w:b w:val="0"/>
          <w:bCs w:val="0"/>
          <w:sz w:val="32"/>
          <w:szCs w:val="32"/>
          <w:highlight w:val="none"/>
          <w:lang w:eastAsia="zh-CN"/>
        </w:rPr>
        <w:t>事中事后监管方式</w:t>
      </w:r>
      <w:r>
        <w:rPr>
          <w:rFonts w:hint="eastAsia" w:ascii="仿宋_GB2312" w:hAnsi="仿宋_GB2312" w:eastAsia="仿宋_GB2312" w:cs="仿宋_GB2312"/>
          <w:b w:val="0"/>
          <w:bCs w:val="0"/>
          <w:sz w:val="32"/>
          <w:szCs w:val="32"/>
          <w:highlight w:val="none"/>
        </w:rPr>
        <w:t>，强化</w:t>
      </w:r>
      <w:r>
        <w:rPr>
          <w:rFonts w:hint="eastAsia" w:ascii="仿宋_GB2312" w:hAnsi="仿宋_GB2312" w:eastAsia="仿宋_GB2312" w:cs="仿宋_GB2312"/>
          <w:b w:val="0"/>
          <w:bCs w:val="0"/>
          <w:sz w:val="32"/>
          <w:szCs w:val="32"/>
          <w:highlight w:val="none"/>
          <w:lang w:val="en-US" w:eastAsia="zh-CN"/>
        </w:rPr>
        <w:t>对市场主体的</w:t>
      </w:r>
      <w:r>
        <w:rPr>
          <w:rFonts w:hint="eastAsia" w:ascii="仿宋_GB2312" w:hAnsi="仿宋_GB2312" w:eastAsia="仿宋_GB2312" w:cs="仿宋_GB2312"/>
          <w:b w:val="0"/>
          <w:bCs w:val="0"/>
          <w:sz w:val="32"/>
          <w:szCs w:val="32"/>
          <w:highlight w:val="none"/>
        </w:rPr>
        <w:t>信用约束</w:t>
      </w:r>
      <w:r>
        <w:rPr>
          <w:rFonts w:hint="eastAsia" w:ascii="仿宋_GB2312" w:hAnsi="仿宋_GB2312" w:eastAsia="仿宋_GB2312" w:cs="仿宋_GB2312"/>
          <w:b w:val="0"/>
          <w:bCs w:val="0"/>
          <w:sz w:val="32"/>
          <w:szCs w:val="32"/>
          <w:highlight w:val="none"/>
          <w:lang w:eastAsia="zh-CN"/>
        </w:rPr>
        <w:t>作用</w:t>
      </w:r>
      <w:r>
        <w:rPr>
          <w:rFonts w:hint="eastAsia" w:ascii="仿宋_GB2312" w:hAnsi="仿宋_GB2312" w:eastAsia="仿宋_GB2312" w:cs="仿宋_GB2312"/>
          <w:b w:val="0"/>
          <w:bCs w:val="0"/>
          <w:sz w:val="32"/>
          <w:szCs w:val="32"/>
          <w:highlight w:val="none"/>
        </w:rPr>
        <w:t>，构建市场监管部门与</w:t>
      </w:r>
      <w:r>
        <w:rPr>
          <w:rFonts w:hint="eastAsia" w:ascii="仿宋_GB2312" w:hAnsi="仿宋_GB2312" w:eastAsia="仿宋_GB2312" w:cs="仿宋_GB2312"/>
          <w:b w:val="0"/>
          <w:bCs w:val="0"/>
          <w:sz w:val="32"/>
          <w:szCs w:val="32"/>
          <w:highlight w:val="none"/>
          <w:lang w:val="en-US" w:eastAsia="zh-CN"/>
        </w:rPr>
        <w:t>市场主体</w:t>
      </w:r>
      <w:r>
        <w:rPr>
          <w:rFonts w:hint="eastAsia" w:ascii="仿宋_GB2312" w:hAnsi="仿宋_GB2312" w:eastAsia="仿宋_GB2312" w:cs="仿宋_GB2312"/>
          <w:b w:val="0"/>
          <w:bCs w:val="0"/>
          <w:sz w:val="32"/>
          <w:szCs w:val="32"/>
          <w:highlight w:val="none"/>
        </w:rPr>
        <w:t>之间</w:t>
      </w:r>
      <w:r>
        <w:rPr>
          <w:rFonts w:hint="eastAsia" w:ascii="仿宋_GB2312" w:hAnsi="仿宋_GB2312" w:eastAsia="仿宋_GB2312" w:cs="仿宋_GB2312"/>
          <w:b w:val="0"/>
          <w:bCs w:val="0"/>
          <w:sz w:val="32"/>
          <w:szCs w:val="32"/>
          <w:highlight w:val="none"/>
          <w:lang w:val="en-US" w:eastAsia="zh-CN"/>
        </w:rPr>
        <w:t>及时、</w:t>
      </w:r>
      <w:r>
        <w:rPr>
          <w:rFonts w:hint="eastAsia" w:ascii="仿宋_GB2312" w:hAnsi="仿宋_GB2312" w:eastAsia="仿宋_GB2312" w:cs="仿宋_GB2312"/>
          <w:b w:val="0"/>
          <w:bCs w:val="0"/>
          <w:sz w:val="32"/>
          <w:szCs w:val="32"/>
          <w:highlight w:val="none"/>
        </w:rPr>
        <w:t>高效、便捷的沟通桥梁，</w:t>
      </w:r>
      <w:r>
        <w:rPr>
          <w:rFonts w:hint="eastAsia" w:ascii="仿宋_GB2312" w:hAnsi="仿宋_GB2312" w:eastAsia="仿宋_GB2312" w:cs="仿宋_GB2312"/>
          <w:b w:val="0"/>
          <w:bCs w:val="0"/>
          <w:sz w:val="32"/>
          <w:szCs w:val="32"/>
          <w:highlight w:val="none"/>
          <w:lang w:val="en-US" w:eastAsia="zh-CN"/>
        </w:rPr>
        <w:t>依据《国务院关于加强和规范事中事后监管的指导意见》（国发〔2019〕18号）、</w:t>
      </w:r>
      <w:r>
        <w:rPr>
          <w:rFonts w:hint="eastAsia" w:ascii="仿宋_GB2312" w:hAnsi="仿宋_GB2312" w:eastAsia="仿宋_GB2312" w:cs="仿宋_GB2312"/>
          <w:i w:val="0"/>
          <w:iCs w:val="0"/>
          <w:caps w:val="0"/>
          <w:color w:val="auto"/>
          <w:spacing w:val="0"/>
          <w:sz w:val="32"/>
          <w:szCs w:val="32"/>
          <w:lang w:val="en-US" w:eastAsia="zh-CN"/>
        </w:rPr>
        <w:t>《国务院关于深化“证照分离”改革进一步激发市场主体发展活力的通知》（国发〔2021〕7号）</w:t>
      </w:r>
      <w:r>
        <w:rPr>
          <w:rFonts w:hint="eastAsia" w:ascii="仿宋_GB2312" w:hAnsi="仿宋_GB2312" w:eastAsia="仿宋_GB2312" w:cs="仿宋_GB2312"/>
          <w:b w:val="0"/>
          <w:bCs w:val="0"/>
          <w:sz w:val="32"/>
          <w:szCs w:val="32"/>
          <w:highlight w:val="none"/>
        </w:rPr>
        <w:t>，特制订本制度。</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 xml:space="preserve"> 本</w:t>
      </w:r>
      <w:r>
        <w:rPr>
          <w:rFonts w:hint="eastAsia" w:ascii="仿宋_GB2312" w:hAnsi="仿宋_GB2312" w:eastAsia="仿宋_GB2312" w:cs="仿宋_GB2312"/>
          <w:b w:val="0"/>
          <w:bCs w:val="0"/>
          <w:sz w:val="32"/>
          <w:szCs w:val="32"/>
          <w:highlight w:val="none"/>
        </w:rPr>
        <w:t>制度</w:t>
      </w:r>
      <w:r>
        <w:rPr>
          <w:rFonts w:hint="eastAsia" w:ascii="仿宋_GB2312" w:hAnsi="仿宋_GB2312" w:eastAsia="仿宋_GB2312" w:cs="仿宋_GB2312"/>
          <w:b w:val="0"/>
          <w:bCs w:val="0"/>
          <w:sz w:val="32"/>
          <w:szCs w:val="32"/>
          <w:highlight w:val="none"/>
          <w:lang w:eastAsia="zh-CN"/>
        </w:rPr>
        <w:t>适用于</w:t>
      </w:r>
      <w:r>
        <w:rPr>
          <w:rFonts w:hint="eastAsia" w:ascii="仿宋_GB2312" w:hAnsi="仿宋_GB2312" w:eastAsia="仿宋_GB2312" w:cs="仿宋_GB2312"/>
          <w:b w:val="0"/>
          <w:bCs w:val="0"/>
          <w:sz w:val="32"/>
          <w:szCs w:val="32"/>
          <w:highlight w:val="none"/>
        </w:rPr>
        <w:t>东疆保税港区存续的市场主体。</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本</w:t>
      </w:r>
      <w:r>
        <w:rPr>
          <w:rFonts w:hint="eastAsia" w:ascii="仿宋_GB2312" w:hAnsi="仿宋_GB2312" w:eastAsia="仿宋_GB2312" w:cs="仿宋_GB2312"/>
          <w:b w:val="0"/>
          <w:bCs w:val="0"/>
          <w:sz w:val="32"/>
          <w:szCs w:val="32"/>
          <w:highlight w:val="none"/>
          <w:lang w:eastAsia="zh-CN"/>
        </w:rPr>
        <w:t>制度</w:t>
      </w:r>
      <w:r>
        <w:rPr>
          <w:rFonts w:hint="eastAsia" w:ascii="仿宋_GB2312" w:hAnsi="仿宋_GB2312" w:eastAsia="仿宋_GB2312" w:cs="仿宋_GB2312"/>
          <w:b w:val="0"/>
          <w:bCs w:val="0"/>
          <w:sz w:val="32"/>
          <w:szCs w:val="32"/>
          <w:highlight w:val="none"/>
        </w:rPr>
        <w:t>所称市场主体是指依法登记的</w:t>
      </w:r>
      <w:r>
        <w:rPr>
          <w:rFonts w:hint="eastAsia" w:ascii="仿宋_GB2312" w:hAnsi="仿宋_GB2312" w:eastAsia="仿宋_GB2312" w:cs="仿宋_GB2312"/>
          <w:b w:val="0"/>
          <w:bCs w:val="0"/>
          <w:sz w:val="32"/>
          <w:szCs w:val="32"/>
          <w:highlight w:val="none"/>
          <w:lang w:val="en-US" w:eastAsia="zh-CN"/>
        </w:rPr>
        <w:t>个体工商户、</w:t>
      </w:r>
      <w:r>
        <w:rPr>
          <w:rFonts w:hint="eastAsia" w:ascii="仿宋_GB2312" w:hAnsi="仿宋_GB2312" w:eastAsia="仿宋_GB2312" w:cs="仿宋_GB2312"/>
          <w:b w:val="0"/>
          <w:bCs w:val="0"/>
          <w:sz w:val="32"/>
          <w:szCs w:val="32"/>
          <w:highlight w:val="none"/>
        </w:rPr>
        <w:t>各类企业</w:t>
      </w:r>
      <w:r>
        <w:rPr>
          <w:rFonts w:hint="eastAsia" w:ascii="仿宋_GB2312" w:hAnsi="仿宋_GB2312" w:eastAsia="仿宋_GB2312" w:cs="仿宋_GB2312"/>
          <w:b w:val="0"/>
          <w:bCs w:val="0"/>
          <w:sz w:val="32"/>
          <w:szCs w:val="32"/>
          <w:highlight w:val="none"/>
          <w:lang w:val="en-US" w:eastAsia="zh-CN"/>
        </w:rPr>
        <w:t>及其分支机构</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eastAsia="zh-CN"/>
        </w:rPr>
        <w:t>第三条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本制度所称</w:t>
      </w:r>
      <w:r>
        <w:rPr>
          <w:rFonts w:hint="eastAsia" w:ascii="仿宋_GB2312" w:hAnsi="仿宋_GB2312" w:eastAsia="仿宋_GB2312" w:cs="仿宋_GB2312"/>
          <w:b w:val="0"/>
          <w:bCs w:val="0"/>
          <w:sz w:val="32"/>
          <w:szCs w:val="32"/>
          <w:highlight w:val="none"/>
          <w:lang w:eastAsia="zh-CN"/>
        </w:rPr>
        <w:t>监管</w:t>
      </w:r>
      <w:r>
        <w:rPr>
          <w:rFonts w:hint="eastAsia" w:ascii="仿宋_GB2312" w:hAnsi="仿宋_GB2312" w:eastAsia="仿宋_GB2312" w:cs="仿宋_GB2312"/>
          <w:b w:val="0"/>
          <w:bCs w:val="0"/>
          <w:sz w:val="32"/>
          <w:szCs w:val="32"/>
          <w:highlight w:val="none"/>
        </w:rPr>
        <w:t>联络员</w:t>
      </w:r>
      <w:r>
        <w:rPr>
          <w:rFonts w:hint="eastAsia" w:ascii="仿宋_GB2312" w:hAnsi="仿宋_GB2312" w:eastAsia="仿宋_GB2312" w:cs="仿宋_GB2312"/>
          <w:b w:val="0"/>
          <w:bCs w:val="0"/>
          <w:sz w:val="32"/>
          <w:szCs w:val="32"/>
          <w:highlight w:val="none"/>
          <w:lang w:eastAsia="zh-CN"/>
        </w:rPr>
        <w:t>是</w:t>
      </w:r>
      <w:r>
        <w:rPr>
          <w:rFonts w:hint="eastAsia" w:ascii="仿宋_GB2312" w:hAnsi="仿宋_GB2312" w:eastAsia="仿宋_GB2312" w:cs="仿宋_GB2312"/>
          <w:b w:val="0"/>
          <w:bCs w:val="0"/>
          <w:sz w:val="32"/>
          <w:szCs w:val="32"/>
          <w:highlight w:val="none"/>
        </w:rPr>
        <w:t>指受</w:t>
      </w:r>
      <w:r>
        <w:rPr>
          <w:rFonts w:hint="eastAsia" w:ascii="仿宋_GB2312" w:hAnsi="仿宋_GB2312" w:eastAsia="仿宋_GB2312" w:cs="仿宋_GB2312"/>
          <w:b w:val="0"/>
          <w:bCs w:val="0"/>
          <w:sz w:val="32"/>
          <w:szCs w:val="32"/>
          <w:highlight w:val="none"/>
          <w:lang w:eastAsia="zh-CN"/>
        </w:rPr>
        <w:t>市场主体</w:t>
      </w:r>
      <w:r>
        <w:rPr>
          <w:rFonts w:hint="eastAsia" w:ascii="仿宋_GB2312" w:hAnsi="仿宋_GB2312" w:eastAsia="仿宋_GB2312" w:cs="仿宋_GB2312"/>
          <w:b w:val="0"/>
          <w:bCs w:val="0"/>
          <w:sz w:val="32"/>
          <w:szCs w:val="32"/>
          <w:highlight w:val="none"/>
        </w:rPr>
        <w:t>委托负责与市场监管部门对接相关事务的工作人员。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第四条</w:t>
      </w:r>
      <w:r>
        <w:rPr>
          <w:rFonts w:hint="eastAsia" w:ascii="仿宋_GB2312" w:hAnsi="仿宋_GB2312" w:eastAsia="仿宋_GB2312" w:cs="仿宋_GB2312"/>
          <w:b w:val="0"/>
          <w:bCs w:val="0"/>
          <w:color w:val="000000"/>
          <w:sz w:val="32"/>
          <w:szCs w:val="32"/>
          <w:highlight w:val="none"/>
          <w:lang w:val="en-US" w:eastAsia="zh-CN"/>
        </w:rPr>
        <w:t xml:space="preserve">  本制度所称报到制度是指</w:t>
      </w:r>
      <w:r>
        <w:rPr>
          <w:rFonts w:hint="eastAsia" w:ascii="仿宋_GB2312" w:hAnsi="仿宋_GB2312" w:eastAsia="仿宋_GB2312" w:cs="仿宋_GB2312"/>
          <w:b w:val="0"/>
          <w:bCs w:val="0"/>
          <w:sz w:val="32"/>
          <w:szCs w:val="32"/>
          <w:highlight w:val="none"/>
          <w:lang w:eastAsia="zh-CN"/>
        </w:rPr>
        <w:t>监管联络员定期使用津心办</w:t>
      </w:r>
      <w:r>
        <w:rPr>
          <w:rFonts w:hint="eastAsia" w:ascii="仿宋_GB2312" w:hAnsi="仿宋_GB2312" w:eastAsia="仿宋_GB2312" w:cs="仿宋_GB2312"/>
          <w:b w:val="0"/>
          <w:bCs w:val="0"/>
          <w:sz w:val="32"/>
          <w:szCs w:val="32"/>
          <w:highlight w:val="none"/>
          <w:lang w:val="en-US" w:eastAsia="zh-CN"/>
        </w:rPr>
        <w:t>APP通过电子营业执照扫码登录后，对市场主体监管联络员信息、实际联系地址等信息进行填报确认，并配合市场监管部门在规定期限内对市场主体相关信息进行反馈的制度。</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10" w:leftChars="0" w:firstLine="640" w:firstLineChars="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 xml:space="preserve"> </w:t>
      </w:r>
      <w:r>
        <w:rPr>
          <w:rFonts w:hint="eastAsia" w:ascii="仿宋_GB2312" w:hAnsi="仿宋_GB2312" w:eastAsia="仿宋_GB2312" w:cs="仿宋_GB2312"/>
          <w:b w:val="0"/>
          <w:bCs w:val="0"/>
          <w:color w:val="000000"/>
          <w:sz w:val="32"/>
          <w:szCs w:val="32"/>
          <w:highlight w:val="none"/>
          <w:lang w:eastAsia="zh-CN"/>
        </w:rPr>
        <w:t>市场主体实行报到制度，对报到信息的真实性负责</w:t>
      </w:r>
      <w:r>
        <w:rPr>
          <w:rFonts w:hint="eastAsia" w:ascii="仿宋_GB2312" w:hAnsi="仿宋_GB2312" w:eastAsia="仿宋_GB2312" w:cs="仿宋_GB2312"/>
          <w:b w:val="0"/>
          <w:bCs w:val="0"/>
          <w:color w:val="000000"/>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10" w:leftChars="0"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 xml:space="preserve"> </w:t>
      </w:r>
      <w:r>
        <w:rPr>
          <w:rFonts w:hint="eastAsia" w:ascii="仿宋_GB2312" w:hAnsi="仿宋_GB2312" w:eastAsia="仿宋_GB2312" w:cs="仿宋_GB2312"/>
          <w:b w:val="0"/>
          <w:bCs w:val="0"/>
          <w:color w:val="000000"/>
          <w:sz w:val="32"/>
          <w:szCs w:val="32"/>
          <w:highlight w:val="none"/>
          <w:lang w:eastAsia="zh-CN"/>
        </w:rPr>
        <w:t>新设立的市场主体应在</w:t>
      </w:r>
      <w:r>
        <w:rPr>
          <w:rFonts w:hint="eastAsia" w:ascii="仿宋_GB2312" w:hAnsi="仿宋_GB2312" w:eastAsia="仿宋_GB2312" w:cs="仿宋_GB2312"/>
          <w:b w:val="0"/>
          <w:bCs w:val="0"/>
          <w:color w:val="000000"/>
          <w:sz w:val="32"/>
          <w:szCs w:val="32"/>
          <w:highlight w:val="none"/>
          <w:lang w:val="en-US" w:eastAsia="zh-CN"/>
        </w:rPr>
        <w:t>成立之日起30日内完成首次报到。</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40" w:firstLineChars="200"/>
        <w:textAlignment w:val="auto"/>
        <w:rPr>
          <w:rFonts w:hint="default"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color w:val="000000"/>
          <w:sz w:val="32"/>
          <w:szCs w:val="32"/>
          <w:highlight w:val="none"/>
          <w:lang w:val="en-US" w:eastAsia="zh-CN"/>
        </w:rPr>
        <w:t>存续的市场主体应在本制度执行之日所在季度最后一个月1至20日完成首次报到。</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10" w:leftChars="0"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市场主体在完成首次报到后，应在</w:t>
      </w:r>
      <w:r>
        <w:rPr>
          <w:rFonts w:hint="eastAsia" w:ascii="仿宋_GB2312" w:hAnsi="仿宋_GB2312" w:eastAsia="仿宋_GB2312" w:cs="仿宋_GB2312"/>
          <w:b w:val="0"/>
          <w:bCs w:val="0"/>
          <w:sz w:val="32"/>
          <w:szCs w:val="32"/>
          <w:highlight w:val="none"/>
        </w:rPr>
        <w:t>每季度</w:t>
      </w:r>
      <w:r>
        <w:rPr>
          <w:rFonts w:hint="eastAsia" w:ascii="仿宋_GB2312" w:hAnsi="仿宋_GB2312" w:eastAsia="仿宋_GB2312" w:cs="仿宋_GB2312"/>
          <w:b w:val="0"/>
          <w:bCs w:val="0"/>
          <w:sz w:val="32"/>
          <w:szCs w:val="32"/>
          <w:highlight w:val="none"/>
          <w:lang w:eastAsia="zh-CN"/>
        </w:rPr>
        <w:t>最后一个月</w:t>
      </w:r>
      <w:r>
        <w:rPr>
          <w:rFonts w:hint="eastAsia" w:ascii="仿宋_GB2312" w:hAnsi="仿宋_GB2312" w:eastAsia="仿宋_GB2312" w:cs="仿宋_GB2312"/>
          <w:b w:val="0"/>
          <w:bCs w:val="0"/>
          <w:color w:val="000000"/>
          <w:sz w:val="32"/>
          <w:szCs w:val="32"/>
          <w:highlight w:val="none"/>
          <w:lang w:val="en-US" w:eastAsia="zh-CN"/>
        </w:rPr>
        <w:t>1至20日</w:t>
      </w:r>
      <w:r>
        <w:rPr>
          <w:rFonts w:hint="eastAsia" w:ascii="仿宋_GB2312" w:hAnsi="仿宋_GB2312" w:eastAsia="仿宋_GB2312" w:cs="仿宋_GB2312"/>
          <w:b w:val="0"/>
          <w:bCs w:val="0"/>
          <w:sz w:val="32"/>
          <w:szCs w:val="32"/>
          <w:highlight w:val="none"/>
        </w:rPr>
        <w:t>登录津心办APP</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w:t>
      </w:r>
      <w:r>
        <w:rPr>
          <w:rFonts w:hint="eastAsia" w:ascii="仿宋_GB2312" w:hAnsi="仿宋_GB2312" w:eastAsia="仿宋_GB2312" w:cs="仿宋_GB2312"/>
          <w:b w:val="0"/>
          <w:bCs w:val="0"/>
          <w:sz w:val="32"/>
          <w:szCs w:val="32"/>
          <w:highlight w:val="none"/>
          <w:lang w:val="en-US" w:eastAsia="zh-CN"/>
        </w:rPr>
        <w:t>上一次填报信息</w:t>
      </w:r>
      <w:r>
        <w:rPr>
          <w:rFonts w:hint="eastAsia" w:ascii="仿宋_GB2312" w:hAnsi="仿宋_GB2312" w:eastAsia="仿宋_GB2312" w:cs="仿宋_GB2312"/>
          <w:b w:val="0"/>
          <w:bCs w:val="0"/>
          <w:sz w:val="32"/>
          <w:szCs w:val="32"/>
          <w:highlight w:val="none"/>
        </w:rPr>
        <w:t>进行确认</w:t>
      </w:r>
      <w:r>
        <w:rPr>
          <w:rFonts w:hint="eastAsia" w:ascii="仿宋_GB2312" w:hAnsi="仿宋_GB2312" w:eastAsia="仿宋_GB2312" w:cs="仿宋_GB2312"/>
          <w:b w:val="0"/>
          <w:bCs w:val="0"/>
          <w:sz w:val="32"/>
          <w:szCs w:val="32"/>
          <w:highlight w:val="none"/>
          <w:lang w:val="en-US" w:eastAsia="zh-CN"/>
        </w:rPr>
        <w:t>或修改</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市场主体提交的报到信息</w:t>
      </w:r>
      <w:r>
        <w:rPr>
          <w:rFonts w:hint="eastAsia" w:ascii="仿宋_GB2312" w:hAnsi="仿宋_GB2312" w:eastAsia="仿宋_GB2312" w:cs="仿宋_GB2312"/>
          <w:b w:val="0"/>
          <w:bCs w:val="0"/>
          <w:sz w:val="32"/>
          <w:szCs w:val="32"/>
          <w:highlight w:val="none"/>
        </w:rPr>
        <w:t>发生变化</w:t>
      </w:r>
      <w:r>
        <w:rPr>
          <w:rFonts w:hint="eastAsia" w:ascii="仿宋_GB2312" w:hAnsi="仿宋_GB2312" w:eastAsia="仿宋_GB2312" w:cs="仿宋_GB2312"/>
          <w:b w:val="0"/>
          <w:bCs w:val="0"/>
          <w:sz w:val="32"/>
          <w:szCs w:val="32"/>
          <w:highlight w:val="none"/>
          <w:lang w:eastAsia="zh-CN"/>
        </w:rPr>
        <w:t>时</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监管联络员</w:t>
      </w:r>
      <w:r>
        <w:rPr>
          <w:rFonts w:hint="eastAsia" w:ascii="仿宋_GB2312" w:hAnsi="仿宋_GB2312" w:eastAsia="仿宋_GB2312" w:cs="仿宋_GB2312"/>
          <w:b w:val="0"/>
          <w:bCs w:val="0"/>
          <w:sz w:val="32"/>
          <w:szCs w:val="32"/>
          <w:highlight w:val="none"/>
        </w:rPr>
        <w:t>应</w:t>
      </w:r>
      <w:r>
        <w:rPr>
          <w:rFonts w:hint="eastAsia" w:ascii="仿宋_GB2312" w:hAnsi="仿宋_GB2312" w:eastAsia="仿宋_GB2312" w:cs="仿宋_GB2312"/>
          <w:b w:val="0"/>
          <w:bCs w:val="0"/>
          <w:sz w:val="32"/>
          <w:szCs w:val="32"/>
          <w:highlight w:val="none"/>
          <w:lang w:val="en-US" w:eastAsia="zh-CN"/>
        </w:rPr>
        <w:t>予以</w:t>
      </w:r>
      <w:r>
        <w:rPr>
          <w:rFonts w:hint="eastAsia" w:ascii="仿宋_GB2312" w:hAnsi="仿宋_GB2312" w:eastAsia="仿宋_GB2312" w:cs="仿宋_GB2312"/>
          <w:b w:val="0"/>
          <w:bCs w:val="0"/>
          <w:sz w:val="32"/>
          <w:szCs w:val="32"/>
          <w:highlight w:val="none"/>
        </w:rPr>
        <w:t>更新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监管联络员</w:t>
      </w:r>
      <w:r>
        <w:rPr>
          <w:rFonts w:hint="eastAsia" w:ascii="仿宋_GB2312" w:hAnsi="仿宋_GB2312" w:eastAsia="仿宋_GB2312" w:cs="仿宋_GB2312"/>
          <w:b w:val="0"/>
          <w:bCs w:val="0"/>
          <w:sz w:val="32"/>
          <w:szCs w:val="32"/>
          <w:highlight w:val="none"/>
          <w:lang w:eastAsia="zh-CN"/>
        </w:rPr>
        <w:t>发生变化的，</w:t>
      </w:r>
      <w:r>
        <w:rPr>
          <w:rFonts w:hint="eastAsia" w:ascii="仿宋_GB2312" w:hAnsi="仿宋_GB2312" w:eastAsia="仿宋_GB2312" w:cs="仿宋_GB2312"/>
          <w:b w:val="0"/>
          <w:bCs w:val="0"/>
          <w:sz w:val="32"/>
          <w:szCs w:val="32"/>
          <w:highlight w:val="none"/>
        </w:rPr>
        <w:t>应</w:t>
      </w:r>
      <w:r>
        <w:rPr>
          <w:rFonts w:hint="eastAsia" w:ascii="仿宋_GB2312" w:hAnsi="仿宋_GB2312" w:eastAsia="仿宋_GB2312" w:cs="仿宋_GB2312"/>
          <w:b w:val="0"/>
          <w:bCs w:val="0"/>
          <w:sz w:val="32"/>
          <w:szCs w:val="32"/>
          <w:highlight w:val="none"/>
          <w:lang w:val="en-US" w:eastAsia="zh-CN"/>
        </w:rPr>
        <w:t>由变更后监管联络员重新报到</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10" w:leftChars="0" w:firstLine="640" w:firstLineChars="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依法办</w:t>
      </w:r>
      <w:r>
        <w:rPr>
          <w:rFonts w:hint="eastAsia" w:ascii="仿宋_GB2312" w:hAnsi="仿宋_GB2312" w:eastAsia="仿宋_GB2312" w:cs="仿宋_GB2312"/>
          <w:b w:val="0"/>
          <w:bCs w:val="0"/>
          <w:color w:val="auto"/>
          <w:sz w:val="32"/>
          <w:szCs w:val="32"/>
          <w:highlight w:val="none"/>
          <w:lang w:val="en-US" w:eastAsia="zh-CN"/>
        </w:rPr>
        <w:t>理歇业备案的市场主体在歇业期间内可以不进行报到。</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歇业的市场主体恢复经营的，如歇业前已完成首次报到的，应按照本制度第七条的规定恢复按季度报到；如歇业前未完成首次报到的，应当自恢复经营之日起30日内完成首次报到，并按照第七条规定按季度报到。</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10" w:leftChars="0"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000000"/>
          <w:sz w:val="32"/>
          <w:szCs w:val="32"/>
          <w:highlight w:val="none"/>
          <w:lang w:val="en-US" w:eastAsia="zh-CN"/>
        </w:rPr>
        <w:t>市场主体报到工作由其授权的监管联络员负责。</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10" w:leftChars="0" w:firstLine="640" w:firstLineChars="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市场主体监管</w:t>
      </w:r>
      <w:r>
        <w:rPr>
          <w:rFonts w:hint="eastAsia" w:ascii="仿宋_GB2312" w:hAnsi="仿宋_GB2312" w:eastAsia="仿宋_GB2312" w:cs="仿宋_GB2312"/>
          <w:b w:val="0"/>
          <w:bCs w:val="0"/>
          <w:sz w:val="32"/>
          <w:szCs w:val="32"/>
          <w:highlight w:val="none"/>
        </w:rPr>
        <w:t>联络员基本条件:</w:t>
      </w:r>
    </w:p>
    <w:p>
      <w:pPr>
        <w:keepNext w:val="0"/>
        <w:keepLines w:val="0"/>
        <w:pageBreakBefore w:val="0"/>
        <w:widowControl w:val="0"/>
        <w:numPr>
          <w:ilvl w:val="0"/>
          <w:numId w:val="3"/>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为市场主体法定代表人，或者取得合法授权的市场主体员工或其他人员；</w:t>
      </w:r>
    </w:p>
    <w:p>
      <w:pPr>
        <w:keepNext w:val="0"/>
        <w:keepLines w:val="0"/>
        <w:pageBreakBefore w:val="0"/>
        <w:widowControl w:val="0"/>
        <w:numPr>
          <w:ilvl w:val="0"/>
          <w:numId w:val="3"/>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熟悉</w:t>
      </w:r>
      <w:r>
        <w:rPr>
          <w:rFonts w:hint="eastAsia" w:ascii="仿宋_GB2312" w:hAnsi="仿宋_GB2312" w:eastAsia="仿宋_GB2312" w:cs="仿宋_GB2312"/>
          <w:b w:val="0"/>
          <w:bCs w:val="0"/>
          <w:sz w:val="32"/>
          <w:szCs w:val="32"/>
          <w:highlight w:val="none"/>
          <w:lang w:val="en-US" w:eastAsia="zh-CN"/>
        </w:rPr>
        <w:t>市场主体的</w:t>
      </w:r>
      <w:r>
        <w:rPr>
          <w:rFonts w:hint="eastAsia" w:ascii="仿宋_GB2312" w:hAnsi="仿宋_GB2312" w:eastAsia="仿宋_GB2312" w:cs="仿宋_GB2312"/>
          <w:b w:val="0"/>
          <w:bCs w:val="0"/>
          <w:sz w:val="32"/>
          <w:szCs w:val="32"/>
          <w:highlight w:val="none"/>
        </w:rPr>
        <w:t>基本情况</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遵纪守法，品德良好</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lang w:eastAsia="zh-CN"/>
        </w:rPr>
        <w:t>）具备一定文化基础，</w:t>
      </w:r>
      <w:r>
        <w:rPr>
          <w:rFonts w:hint="eastAsia" w:ascii="仿宋_GB2312" w:hAnsi="仿宋_GB2312" w:eastAsia="仿宋_GB2312" w:cs="仿宋_GB2312"/>
          <w:b w:val="0"/>
          <w:bCs w:val="0"/>
          <w:sz w:val="32"/>
          <w:szCs w:val="32"/>
          <w:highlight w:val="none"/>
        </w:rPr>
        <w:t>了解市场监管部门相关法律法规</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具有较强的工作责任心和沟通能力</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六</w:t>
      </w:r>
      <w:r>
        <w:rPr>
          <w:rFonts w:hint="eastAsia" w:ascii="仿宋_GB2312" w:hAnsi="仿宋_GB2312" w:eastAsia="仿宋_GB2312" w:cs="仿宋_GB2312"/>
          <w:b w:val="0"/>
          <w:bCs w:val="0"/>
          <w:sz w:val="32"/>
          <w:szCs w:val="32"/>
          <w:highlight w:val="none"/>
          <w:lang w:eastAsia="zh-CN"/>
        </w:rPr>
        <w:t>）具备一定的计算机</w:t>
      </w:r>
      <w:r>
        <w:rPr>
          <w:rFonts w:hint="eastAsia" w:ascii="仿宋_GB2312" w:hAnsi="仿宋_GB2312" w:eastAsia="仿宋_GB2312" w:cs="仿宋_GB2312"/>
          <w:b w:val="0"/>
          <w:bCs w:val="0"/>
          <w:sz w:val="32"/>
          <w:szCs w:val="32"/>
          <w:highlight w:val="none"/>
          <w:lang w:val="en-US" w:eastAsia="zh-CN"/>
        </w:rPr>
        <w:t>及移动APP</w:t>
      </w:r>
      <w:r>
        <w:rPr>
          <w:rFonts w:hint="eastAsia" w:ascii="仿宋_GB2312" w:hAnsi="仿宋_GB2312" w:eastAsia="仿宋_GB2312" w:cs="仿宋_GB2312"/>
          <w:b w:val="0"/>
          <w:bCs w:val="0"/>
          <w:sz w:val="32"/>
          <w:szCs w:val="32"/>
          <w:highlight w:val="none"/>
          <w:lang w:eastAsia="zh-CN"/>
        </w:rPr>
        <w:t>操作技能</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eastAsia="zh-CN"/>
        </w:rPr>
        <w:t>第十一条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市场主体监管</w:t>
      </w:r>
      <w:r>
        <w:rPr>
          <w:rFonts w:hint="eastAsia" w:ascii="仿宋_GB2312" w:hAnsi="仿宋_GB2312" w:eastAsia="仿宋_GB2312" w:cs="仿宋_GB2312"/>
          <w:b w:val="0"/>
          <w:bCs w:val="0"/>
          <w:sz w:val="32"/>
          <w:szCs w:val="32"/>
          <w:highlight w:val="none"/>
        </w:rPr>
        <w:t>联络员主要职责：</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w:t>
      </w:r>
      <w:r>
        <w:rPr>
          <w:rFonts w:hint="eastAsia" w:ascii="仿宋_GB2312" w:hAnsi="仿宋_GB2312" w:eastAsia="仿宋_GB2312" w:cs="仿宋_GB2312"/>
          <w:b w:val="0"/>
          <w:bCs w:val="0"/>
          <w:sz w:val="32"/>
          <w:szCs w:val="32"/>
          <w:highlight w:val="none"/>
        </w:rPr>
        <w:t>负责</w:t>
      </w:r>
      <w:r>
        <w:rPr>
          <w:rFonts w:hint="eastAsia" w:ascii="仿宋_GB2312" w:hAnsi="仿宋_GB2312" w:eastAsia="仿宋_GB2312" w:cs="仿宋_GB2312"/>
          <w:b w:val="0"/>
          <w:bCs w:val="0"/>
          <w:sz w:val="32"/>
          <w:szCs w:val="32"/>
          <w:highlight w:val="none"/>
          <w:lang w:val="en-US" w:eastAsia="zh-CN"/>
        </w:rPr>
        <w:t>按时履行报到职责，</w:t>
      </w:r>
      <w:r>
        <w:rPr>
          <w:rFonts w:hint="eastAsia" w:ascii="仿宋_GB2312" w:hAnsi="仿宋_GB2312" w:eastAsia="仿宋_GB2312" w:cs="仿宋_GB2312"/>
          <w:b w:val="0"/>
          <w:bCs w:val="0"/>
          <w:sz w:val="32"/>
          <w:szCs w:val="32"/>
          <w:highlight w:val="none"/>
        </w:rPr>
        <w:t>与市场监管部门进行联络沟通，接收相关法律文书、函件等</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（二）</w:t>
      </w:r>
      <w:r>
        <w:rPr>
          <w:rFonts w:hint="eastAsia" w:ascii="仿宋_GB2312" w:hAnsi="仿宋_GB2312" w:eastAsia="仿宋_GB2312" w:cs="仿宋_GB2312"/>
          <w:b w:val="0"/>
          <w:bCs w:val="0"/>
          <w:sz w:val="32"/>
          <w:szCs w:val="32"/>
          <w:highlight w:val="none"/>
        </w:rPr>
        <w:t>负责</w:t>
      </w:r>
      <w:r>
        <w:rPr>
          <w:rFonts w:hint="eastAsia" w:ascii="仿宋_GB2312" w:hAnsi="仿宋_GB2312" w:eastAsia="仿宋_GB2312" w:cs="仿宋_GB2312"/>
          <w:b w:val="0"/>
          <w:bCs w:val="0"/>
          <w:sz w:val="32"/>
          <w:szCs w:val="32"/>
          <w:highlight w:val="none"/>
          <w:lang w:eastAsia="zh-CN"/>
        </w:rPr>
        <w:t>配合</w:t>
      </w:r>
      <w:r>
        <w:rPr>
          <w:rFonts w:hint="eastAsia" w:ascii="仿宋_GB2312" w:hAnsi="仿宋_GB2312" w:eastAsia="仿宋_GB2312" w:cs="仿宋_GB2312"/>
          <w:b w:val="0"/>
          <w:bCs w:val="0"/>
          <w:sz w:val="32"/>
          <w:szCs w:val="32"/>
          <w:highlight w:val="none"/>
        </w:rPr>
        <w:t>市场监管部门对</w:t>
      </w:r>
      <w:r>
        <w:rPr>
          <w:rFonts w:hint="eastAsia" w:ascii="仿宋_GB2312" w:hAnsi="仿宋_GB2312" w:eastAsia="仿宋_GB2312" w:cs="仿宋_GB2312"/>
          <w:b w:val="0"/>
          <w:bCs w:val="0"/>
          <w:sz w:val="32"/>
          <w:szCs w:val="32"/>
          <w:highlight w:val="none"/>
          <w:lang w:eastAsia="zh-CN"/>
        </w:rPr>
        <w:t>市场主体进行</w:t>
      </w:r>
      <w:r>
        <w:rPr>
          <w:rFonts w:hint="eastAsia" w:ascii="仿宋_GB2312" w:hAnsi="仿宋_GB2312" w:eastAsia="仿宋_GB2312" w:cs="仿宋_GB2312"/>
          <w:b w:val="0"/>
          <w:bCs w:val="0"/>
          <w:sz w:val="32"/>
          <w:szCs w:val="32"/>
          <w:highlight w:val="none"/>
        </w:rPr>
        <w:t>检查，核实情况等</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（三）</w:t>
      </w:r>
      <w:r>
        <w:rPr>
          <w:rFonts w:hint="eastAsia" w:ascii="仿宋_GB2312" w:hAnsi="仿宋_GB2312" w:eastAsia="仿宋_GB2312" w:cs="仿宋_GB2312"/>
          <w:b w:val="0"/>
          <w:bCs w:val="0"/>
          <w:sz w:val="32"/>
          <w:szCs w:val="32"/>
          <w:highlight w:val="none"/>
        </w:rPr>
        <w:t>负责</w:t>
      </w:r>
      <w:r>
        <w:rPr>
          <w:rFonts w:hint="eastAsia" w:ascii="仿宋_GB2312" w:hAnsi="仿宋_GB2312" w:eastAsia="仿宋_GB2312" w:cs="仿宋_GB2312"/>
          <w:b w:val="0"/>
          <w:bCs w:val="0"/>
          <w:sz w:val="32"/>
          <w:szCs w:val="32"/>
          <w:highlight w:val="none"/>
          <w:lang w:eastAsia="zh-CN"/>
        </w:rPr>
        <w:t>配合</w:t>
      </w:r>
      <w:r>
        <w:rPr>
          <w:rFonts w:hint="eastAsia" w:ascii="仿宋_GB2312" w:hAnsi="仿宋_GB2312" w:eastAsia="仿宋_GB2312" w:cs="仿宋_GB2312"/>
          <w:b w:val="0"/>
          <w:bCs w:val="0"/>
          <w:sz w:val="32"/>
          <w:szCs w:val="32"/>
          <w:highlight w:val="none"/>
        </w:rPr>
        <w:t>市场监管部门组织政策宣讲</w:t>
      </w:r>
      <w:r>
        <w:rPr>
          <w:rFonts w:hint="eastAsia" w:ascii="仿宋_GB2312" w:hAnsi="仿宋_GB2312" w:eastAsia="仿宋_GB2312" w:cs="仿宋_GB2312"/>
          <w:b w:val="0"/>
          <w:bCs w:val="0"/>
          <w:sz w:val="32"/>
          <w:szCs w:val="32"/>
          <w:highlight w:val="none"/>
          <w:lang w:eastAsia="zh-CN"/>
        </w:rPr>
        <w:t>及</w:t>
      </w:r>
      <w:r>
        <w:rPr>
          <w:rFonts w:hint="eastAsia" w:ascii="仿宋_GB2312" w:hAnsi="仿宋_GB2312" w:eastAsia="仿宋_GB2312" w:cs="仿宋_GB2312"/>
          <w:b w:val="0"/>
          <w:bCs w:val="0"/>
          <w:sz w:val="32"/>
          <w:szCs w:val="32"/>
          <w:highlight w:val="none"/>
        </w:rPr>
        <w:t>法律法规培训</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加强自身对市场监管法律法规的学习；</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（四）</w:t>
      </w:r>
      <w:r>
        <w:rPr>
          <w:rFonts w:hint="eastAsia" w:ascii="仿宋_GB2312" w:hAnsi="仿宋_GB2312" w:eastAsia="仿宋_GB2312" w:cs="仿宋_GB2312"/>
          <w:b w:val="0"/>
          <w:bCs w:val="0"/>
          <w:sz w:val="32"/>
          <w:szCs w:val="32"/>
          <w:highlight w:val="none"/>
        </w:rPr>
        <w:t>负责向市场监管部门</w:t>
      </w:r>
      <w:r>
        <w:rPr>
          <w:rFonts w:hint="eastAsia" w:ascii="仿宋_GB2312" w:hAnsi="仿宋_GB2312" w:eastAsia="仿宋_GB2312" w:cs="仿宋_GB2312"/>
          <w:b w:val="0"/>
          <w:bCs w:val="0"/>
          <w:sz w:val="32"/>
          <w:szCs w:val="32"/>
          <w:highlight w:val="none"/>
          <w:lang w:val="en-US" w:eastAsia="zh-CN"/>
        </w:rPr>
        <w:t>如实</w:t>
      </w:r>
      <w:r>
        <w:rPr>
          <w:rFonts w:hint="eastAsia" w:ascii="仿宋_GB2312" w:hAnsi="仿宋_GB2312" w:eastAsia="仿宋_GB2312" w:cs="仿宋_GB2312"/>
          <w:b w:val="0"/>
          <w:bCs w:val="0"/>
          <w:sz w:val="32"/>
          <w:szCs w:val="32"/>
          <w:highlight w:val="none"/>
        </w:rPr>
        <w:t>反馈</w:t>
      </w:r>
      <w:r>
        <w:rPr>
          <w:rFonts w:hint="eastAsia" w:ascii="仿宋_GB2312" w:hAnsi="仿宋_GB2312" w:eastAsia="仿宋_GB2312" w:cs="仿宋_GB2312"/>
          <w:b w:val="0"/>
          <w:bCs w:val="0"/>
          <w:sz w:val="32"/>
          <w:szCs w:val="32"/>
          <w:highlight w:val="none"/>
          <w:lang w:val="en-US" w:eastAsia="zh-CN"/>
        </w:rPr>
        <w:t>市场主体</w:t>
      </w:r>
      <w:r>
        <w:rPr>
          <w:rFonts w:hint="eastAsia" w:ascii="仿宋_GB2312" w:hAnsi="仿宋_GB2312" w:eastAsia="仿宋_GB2312" w:cs="仿宋_GB2312"/>
          <w:b w:val="0"/>
          <w:bCs w:val="0"/>
          <w:sz w:val="32"/>
          <w:szCs w:val="32"/>
          <w:highlight w:val="none"/>
        </w:rPr>
        <w:t>基本经营情况，针对</w:t>
      </w:r>
      <w:r>
        <w:rPr>
          <w:rFonts w:hint="eastAsia" w:ascii="仿宋_GB2312" w:hAnsi="仿宋_GB2312" w:eastAsia="仿宋_GB2312" w:cs="仿宋_GB2312"/>
          <w:b w:val="0"/>
          <w:bCs w:val="0"/>
          <w:sz w:val="32"/>
          <w:szCs w:val="32"/>
          <w:highlight w:val="none"/>
          <w:lang w:val="en-US" w:eastAsia="zh-CN"/>
        </w:rPr>
        <w:t>市场监管</w:t>
      </w:r>
      <w:r>
        <w:rPr>
          <w:rFonts w:hint="eastAsia" w:ascii="仿宋_GB2312" w:hAnsi="仿宋_GB2312" w:eastAsia="仿宋_GB2312" w:cs="仿宋_GB2312"/>
          <w:b w:val="0"/>
          <w:bCs w:val="0"/>
          <w:sz w:val="32"/>
          <w:szCs w:val="32"/>
          <w:highlight w:val="none"/>
        </w:rPr>
        <w:t>疑难问题向市场监管部门提出帮扶申请</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（五）</w:t>
      </w:r>
      <w:r>
        <w:rPr>
          <w:rFonts w:hint="eastAsia" w:ascii="仿宋_GB2312" w:hAnsi="仿宋_GB2312" w:eastAsia="仿宋_GB2312" w:cs="仿宋_GB2312"/>
          <w:b w:val="0"/>
          <w:bCs w:val="0"/>
          <w:sz w:val="32"/>
          <w:szCs w:val="32"/>
          <w:highlight w:val="none"/>
        </w:rPr>
        <w:t>其他事务性工作。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市场监管部门</w:t>
      </w:r>
      <w:r>
        <w:rPr>
          <w:rFonts w:hint="eastAsia" w:ascii="仿宋_GB2312" w:hAnsi="仿宋_GB2312" w:eastAsia="仿宋_GB2312" w:cs="仿宋_GB2312"/>
          <w:b w:val="0"/>
          <w:bCs w:val="0"/>
          <w:color w:val="auto"/>
          <w:sz w:val="32"/>
          <w:szCs w:val="32"/>
          <w:highlight w:val="none"/>
          <w:lang w:val="en-US" w:eastAsia="zh-CN"/>
        </w:rPr>
        <w:t>采集与监管工作相关的市场主体登记信息和生产经营信息，并对所收集生产经营信息数据履行保密义务；涉及市场主体生产经营敏感信息的内容，不得违法披露。</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第十三条</w:t>
      </w:r>
      <w:r>
        <w:rPr>
          <w:rFonts w:hint="eastAsia" w:ascii="仿宋_GB2312" w:hAnsi="仿宋_GB2312" w:eastAsia="仿宋_GB2312" w:cs="仿宋_GB2312"/>
          <w:b w:val="0"/>
          <w:bCs w:val="0"/>
          <w:sz w:val="32"/>
          <w:szCs w:val="32"/>
          <w:highlight w:val="none"/>
          <w:lang w:val="en-US" w:eastAsia="zh-CN"/>
        </w:rPr>
        <w:t xml:space="preserve">  市场监管部门</w:t>
      </w:r>
      <w:r>
        <w:rPr>
          <w:rFonts w:hint="eastAsia" w:ascii="仿宋_GB2312" w:hAnsi="仿宋_GB2312" w:eastAsia="仿宋_GB2312" w:cs="仿宋_GB2312"/>
          <w:b w:val="0"/>
          <w:bCs w:val="0"/>
          <w:sz w:val="32"/>
          <w:szCs w:val="32"/>
          <w:highlight w:val="none"/>
        </w:rPr>
        <w:t>应在天津东疆保税港区市场监管领域分级分类辅助监管平台</w:t>
      </w:r>
      <w:r>
        <w:rPr>
          <w:rFonts w:hint="eastAsia" w:ascii="仿宋_GB2312" w:hAnsi="仿宋_GB2312" w:eastAsia="仿宋_GB2312" w:cs="仿宋_GB2312"/>
          <w:b w:val="0"/>
          <w:bCs w:val="0"/>
          <w:color w:val="auto"/>
          <w:sz w:val="32"/>
          <w:szCs w:val="32"/>
          <w:highlight w:val="none"/>
          <w:lang w:eastAsia="zh-CN"/>
        </w:rPr>
        <w:t>标记市场主体报到状态，并</w:t>
      </w:r>
      <w:r>
        <w:rPr>
          <w:rFonts w:hint="eastAsia" w:ascii="仿宋_GB2312" w:hAnsi="仿宋_GB2312" w:eastAsia="仿宋_GB2312" w:cs="仿宋_GB2312"/>
          <w:b w:val="0"/>
          <w:bCs w:val="0"/>
          <w:color w:val="auto"/>
          <w:sz w:val="32"/>
          <w:szCs w:val="32"/>
          <w:highlight w:val="none"/>
        </w:rPr>
        <w:t>结合</w:t>
      </w:r>
      <w:r>
        <w:rPr>
          <w:rFonts w:hint="eastAsia" w:ascii="仿宋_GB2312" w:hAnsi="仿宋_GB2312" w:eastAsia="仿宋_GB2312" w:cs="仿宋_GB2312"/>
          <w:b w:val="0"/>
          <w:bCs w:val="0"/>
          <w:color w:val="auto"/>
          <w:sz w:val="32"/>
          <w:szCs w:val="32"/>
          <w:highlight w:val="none"/>
          <w:lang w:eastAsia="zh-CN"/>
        </w:rPr>
        <w:t>管审联动机制，强化事中事后监管与登记审批的有效衔接</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市场主体未按时报到的，市场监管部门可采取加强现场核查，提升抽查比例，依法开展许可</w:t>
      </w:r>
      <w:r>
        <w:rPr>
          <w:rFonts w:hint="eastAsia" w:ascii="仿宋_GB2312" w:hAnsi="仿宋_GB2312" w:eastAsia="仿宋_GB2312" w:cs="仿宋_GB2312"/>
          <w:b w:val="0"/>
          <w:bCs w:val="0"/>
          <w:sz w:val="32"/>
          <w:szCs w:val="32"/>
          <w:highlight w:val="none"/>
          <w:lang w:val="en-US" w:eastAsia="zh-CN"/>
        </w:rPr>
        <w:t>审慎</w:t>
      </w:r>
      <w:r>
        <w:rPr>
          <w:rFonts w:hint="default" w:ascii="仿宋_GB2312" w:hAnsi="仿宋_GB2312" w:eastAsia="仿宋_GB2312" w:cs="仿宋_GB2312"/>
          <w:b w:val="0"/>
          <w:bCs w:val="0"/>
          <w:sz w:val="32"/>
          <w:szCs w:val="32"/>
          <w:highlight w:val="none"/>
          <w:lang w:val="en-US" w:eastAsia="zh-CN"/>
        </w:rPr>
        <w:t>审查等举措，确保相关监管和许可的针对性和严谨性。</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市场主体未按时报到造成相关影响的，应当</w:t>
      </w:r>
      <w:r>
        <w:rPr>
          <w:rFonts w:hint="eastAsia" w:ascii="仿宋_GB2312" w:hAnsi="仿宋_GB2312" w:eastAsia="仿宋_GB2312" w:cs="仿宋_GB2312"/>
          <w:b w:val="0"/>
          <w:bCs w:val="0"/>
          <w:sz w:val="32"/>
          <w:szCs w:val="32"/>
          <w:highlight w:val="none"/>
          <w:lang w:val="en-US" w:eastAsia="zh-CN"/>
        </w:rPr>
        <w:t>自行</w:t>
      </w:r>
      <w:r>
        <w:rPr>
          <w:rFonts w:hint="default" w:ascii="仿宋_GB2312" w:hAnsi="仿宋_GB2312" w:eastAsia="仿宋_GB2312" w:cs="仿宋_GB2312"/>
          <w:b w:val="0"/>
          <w:bCs w:val="0"/>
          <w:sz w:val="32"/>
          <w:szCs w:val="32"/>
          <w:highlight w:val="none"/>
          <w:lang w:val="en-US" w:eastAsia="zh-CN"/>
        </w:rPr>
        <w:t>承担相应责任。</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val="en-US" w:eastAsia="zh-CN"/>
        </w:rPr>
        <w:t>第十四条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市场监管部门应</w:t>
      </w:r>
      <w:r>
        <w:rPr>
          <w:rFonts w:hint="eastAsia" w:ascii="仿宋_GB2312" w:hAnsi="仿宋_GB2312" w:eastAsia="仿宋_GB2312" w:cs="仿宋_GB2312"/>
          <w:b w:val="0"/>
          <w:bCs w:val="0"/>
          <w:sz w:val="32"/>
          <w:szCs w:val="32"/>
          <w:highlight w:val="none"/>
          <w:lang w:val="en-US" w:eastAsia="zh-CN"/>
        </w:rPr>
        <w:t>通过审批服务、年报报送、日常监管等多种渠道对报到制度进行宣传，并</w:t>
      </w:r>
      <w:r>
        <w:rPr>
          <w:rFonts w:hint="eastAsia" w:ascii="仿宋_GB2312" w:hAnsi="仿宋_GB2312" w:eastAsia="仿宋_GB2312" w:cs="仿宋_GB2312"/>
          <w:b w:val="0"/>
          <w:bCs w:val="0"/>
          <w:sz w:val="32"/>
          <w:szCs w:val="32"/>
          <w:highlight w:val="none"/>
        </w:rPr>
        <w:t>加强</w:t>
      </w:r>
      <w:r>
        <w:rPr>
          <w:rFonts w:hint="eastAsia" w:ascii="仿宋_GB2312" w:hAnsi="仿宋_GB2312" w:eastAsia="仿宋_GB2312" w:cs="仿宋_GB2312"/>
          <w:b w:val="0"/>
          <w:bCs w:val="0"/>
          <w:sz w:val="32"/>
          <w:szCs w:val="32"/>
          <w:highlight w:val="none"/>
          <w:lang w:eastAsia="zh-CN"/>
        </w:rPr>
        <w:t>对监管</w:t>
      </w:r>
      <w:r>
        <w:rPr>
          <w:rFonts w:hint="eastAsia" w:ascii="仿宋_GB2312" w:hAnsi="仿宋_GB2312" w:eastAsia="仿宋_GB2312" w:cs="仿宋_GB2312"/>
          <w:b w:val="0"/>
          <w:bCs w:val="0"/>
          <w:sz w:val="32"/>
          <w:szCs w:val="32"/>
          <w:highlight w:val="none"/>
        </w:rPr>
        <w:t>联络员的培训和管理。</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eastAsia="zh-CN"/>
        </w:rPr>
        <w:t>第十</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lang w:eastAsia="zh-CN"/>
        </w:rPr>
        <w:t>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市场主体监管</w:t>
      </w:r>
      <w:r>
        <w:rPr>
          <w:rFonts w:hint="eastAsia" w:ascii="仿宋_GB2312" w:hAnsi="仿宋_GB2312" w:eastAsia="仿宋_GB2312" w:cs="仿宋_GB2312"/>
          <w:b w:val="0"/>
          <w:bCs w:val="0"/>
          <w:sz w:val="32"/>
          <w:szCs w:val="32"/>
          <w:highlight w:val="none"/>
        </w:rPr>
        <w:t>联络员有下列行为之一的，市场</w:t>
      </w:r>
      <w:r>
        <w:rPr>
          <w:rFonts w:hint="eastAsia" w:ascii="仿宋_GB2312" w:hAnsi="仿宋_GB2312" w:eastAsia="仿宋_GB2312" w:cs="仿宋_GB2312"/>
          <w:b w:val="0"/>
          <w:bCs w:val="0"/>
          <w:sz w:val="32"/>
          <w:szCs w:val="32"/>
          <w:highlight w:val="none"/>
          <w:lang w:eastAsia="zh-CN"/>
        </w:rPr>
        <w:t>监</w:t>
      </w:r>
      <w:r>
        <w:rPr>
          <w:rFonts w:hint="eastAsia" w:ascii="仿宋_GB2312" w:hAnsi="仿宋_GB2312" w:eastAsia="仿宋_GB2312" w:cs="仿宋_GB2312"/>
          <w:b w:val="0"/>
          <w:bCs w:val="0"/>
          <w:sz w:val="32"/>
          <w:szCs w:val="32"/>
          <w:highlight w:val="none"/>
        </w:rPr>
        <w:t>管部门可以要求</w:t>
      </w:r>
      <w:r>
        <w:rPr>
          <w:rFonts w:hint="eastAsia" w:ascii="仿宋_GB2312" w:hAnsi="仿宋_GB2312" w:eastAsia="仿宋_GB2312" w:cs="仿宋_GB2312"/>
          <w:b w:val="0"/>
          <w:bCs w:val="0"/>
          <w:sz w:val="32"/>
          <w:szCs w:val="32"/>
          <w:highlight w:val="none"/>
          <w:lang w:val="en-US" w:eastAsia="zh-CN"/>
        </w:rPr>
        <w:t>市场主体</w:t>
      </w:r>
      <w:r>
        <w:rPr>
          <w:rFonts w:hint="eastAsia" w:ascii="仿宋_GB2312" w:hAnsi="仿宋_GB2312" w:eastAsia="仿宋_GB2312" w:cs="仿宋_GB2312"/>
          <w:b w:val="0"/>
          <w:bCs w:val="0"/>
          <w:sz w:val="32"/>
          <w:szCs w:val="32"/>
          <w:highlight w:val="none"/>
        </w:rPr>
        <w:t>予以调整：</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w:t>
      </w:r>
      <w:r>
        <w:rPr>
          <w:rFonts w:hint="eastAsia" w:ascii="仿宋_GB2312" w:hAnsi="仿宋_GB2312" w:eastAsia="仿宋_GB2312" w:cs="仿宋_GB2312"/>
          <w:b w:val="0"/>
          <w:bCs w:val="0"/>
          <w:sz w:val="32"/>
          <w:szCs w:val="32"/>
          <w:highlight w:val="none"/>
        </w:rPr>
        <w:t>不履行本制度规定职责的</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（二）市场主体</w:t>
      </w:r>
      <w:r>
        <w:rPr>
          <w:rFonts w:hint="eastAsia" w:ascii="仿宋_GB2312" w:hAnsi="仿宋_GB2312" w:eastAsia="仿宋_GB2312" w:cs="仿宋_GB2312"/>
          <w:b w:val="0"/>
          <w:bCs w:val="0"/>
          <w:sz w:val="32"/>
          <w:szCs w:val="32"/>
          <w:highlight w:val="none"/>
        </w:rPr>
        <w:t>违反市场监管部门相关法律法规，该</w:t>
      </w:r>
      <w:r>
        <w:rPr>
          <w:rFonts w:hint="eastAsia" w:ascii="仿宋_GB2312" w:hAnsi="仿宋_GB2312" w:eastAsia="仿宋_GB2312" w:cs="仿宋_GB2312"/>
          <w:b w:val="0"/>
          <w:bCs w:val="0"/>
          <w:sz w:val="32"/>
          <w:szCs w:val="32"/>
          <w:highlight w:val="none"/>
          <w:lang w:eastAsia="zh-CN"/>
        </w:rPr>
        <w:t>监管</w:t>
      </w:r>
      <w:r>
        <w:rPr>
          <w:rFonts w:hint="eastAsia" w:ascii="仿宋_GB2312" w:hAnsi="仿宋_GB2312" w:eastAsia="仿宋_GB2312" w:cs="仿宋_GB2312"/>
          <w:b w:val="0"/>
          <w:bCs w:val="0"/>
          <w:sz w:val="32"/>
          <w:szCs w:val="32"/>
          <w:highlight w:val="none"/>
        </w:rPr>
        <w:t>联络员负有个人责任的</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（三）上报信息虚假且拒不改正的</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（四）</w:t>
      </w:r>
      <w:r>
        <w:rPr>
          <w:rFonts w:hint="eastAsia" w:ascii="仿宋_GB2312" w:hAnsi="仿宋_GB2312" w:eastAsia="仿宋_GB2312" w:cs="仿宋_GB2312"/>
          <w:b w:val="0"/>
          <w:bCs w:val="0"/>
          <w:sz w:val="32"/>
          <w:szCs w:val="32"/>
          <w:highlight w:val="none"/>
        </w:rPr>
        <w:t>市场监管部门认为有其他不适宜担任</w:t>
      </w:r>
      <w:r>
        <w:rPr>
          <w:rFonts w:hint="eastAsia" w:ascii="仿宋_GB2312" w:hAnsi="仿宋_GB2312" w:eastAsia="仿宋_GB2312" w:cs="仿宋_GB2312"/>
          <w:b w:val="0"/>
          <w:bCs w:val="0"/>
          <w:sz w:val="32"/>
          <w:szCs w:val="32"/>
          <w:highlight w:val="none"/>
          <w:lang w:eastAsia="zh-CN"/>
        </w:rPr>
        <w:t>监管</w:t>
      </w:r>
      <w:r>
        <w:rPr>
          <w:rFonts w:hint="eastAsia" w:ascii="仿宋_GB2312" w:hAnsi="仿宋_GB2312" w:eastAsia="仿宋_GB2312" w:cs="仿宋_GB2312"/>
          <w:b w:val="0"/>
          <w:bCs w:val="0"/>
          <w:sz w:val="32"/>
          <w:szCs w:val="32"/>
          <w:highlight w:val="none"/>
        </w:rPr>
        <w:t>联络员情形的。</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eastAsia="zh-CN"/>
        </w:rPr>
        <w:t>第十</w:t>
      </w: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lang w:eastAsia="zh-CN"/>
        </w:rPr>
        <w:t>条</w:t>
      </w:r>
      <w:r>
        <w:rPr>
          <w:rFonts w:hint="eastAsia" w:ascii="仿宋_GB2312" w:hAnsi="仿宋_GB2312" w:eastAsia="仿宋_GB2312" w:cs="仿宋_GB2312"/>
          <w:b w:val="0"/>
          <w:bCs w:val="0"/>
          <w:sz w:val="32"/>
          <w:szCs w:val="32"/>
          <w:highlight w:val="none"/>
          <w:lang w:val="en-US" w:eastAsia="zh-CN"/>
        </w:rPr>
        <w:t xml:space="preserve">  市场监管部门依托</w:t>
      </w:r>
      <w:r>
        <w:rPr>
          <w:rFonts w:hint="eastAsia" w:ascii="仿宋_GB2312" w:hAnsi="仿宋_GB2312" w:eastAsia="仿宋_GB2312" w:cs="仿宋_GB2312"/>
          <w:b w:val="0"/>
          <w:bCs w:val="0"/>
          <w:sz w:val="32"/>
          <w:szCs w:val="32"/>
          <w:highlight w:val="none"/>
        </w:rPr>
        <w:t>天津东疆保税港区市场监管领域分级分类辅助监管平台</w:t>
      </w:r>
      <w:r>
        <w:rPr>
          <w:rFonts w:hint="eastAsia" w:ascii="仿宋_GB2312" w:hAnsi="仿宋_GB2312" w:eastAsia="仿宋_GB2312" w:cs="仿宋_GB2312"/>
          <w:b w:val="0"/>
          <w:bCs w:val="0"/>
          <w:sz w:val="32"/>
          <w:szCs w:val="32"/>
          <w:highlight w:val="none"/>
          <w:lang w:eastAsia="zh-CN"/>
        </w:rPr>
        <w:t>通过“互联网</w:t>
      </w:r>
      <w:r>
        <w:rPr>
          <w:rFonts w:hint="eastAsia" w:ascii="仿宋_GB2312" w:hAnsi="仿宋_GB2312" w:eastAsia="仿宋_GB2312" w:cs="仿宋_GB2312"/>
          <w:b w:val="0"/>
          <w:bCs w:val="0"/>
          <w:sz w:val="32"/>
          <w:szCs w:val="32"/>
          <w:highlight w:val="none"/>
          <w:lang w:val="en-US" w:eastAsia="zh-CN"/>
        </w:rPr>
        <w:t>+监管”方式，要求市场主体对监管信息进行反馈的，参照本制度执行。</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eastAsia="zh-CN"/>
        </w:rPr>
        <w:t>第十</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lang w:eastAsia="zh-CN"/>
        </w:rPr>
        <w:t>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本制度由东疆保税港区</w:t>
      </w:r>
      <w:r>
        <w:rPr>
          <w:rFonts w:hint="eastAsia" w:ascii="仿宋_GB2312" w:hAnsi="仿宋_GB2312" w:eastAsia="仿宋_GB2312" w:cs="仿宋_GB2312"/>
          <w:b w:val="0"/>
          <w:bCs w:val="0"/>
          <w:sz w:val="32"/>
          <w:szCs w:val="32"/>
          <w:highlight w:val="none"/>
          <w:lang w:eastAsia="zh-CN"/>
        </w:rPr>
        <w:t>市场监管局</w:t>
      </w:r>
      <w:r>
        <w:rPr>
          <w:rFonts w:hint="eastAsia" w:ascii="仿宋_GB2312" w:hAnsi="仿宋_GB2312" w:eastAsia="仿宋_GB2312" w:cs="仿宋_GB2312"/>
          <w:b w:val="0"/>
          <w:bCs w:val="0"/>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b w:val="0"/>
          <w:bCs w:val="0"/>
          <w:highlight w:val="none"/>
        </w:rPr>
      </w:pPr>
      <w:r>
        <w:rPr>
          <w:rFonts w:hint="eastAsia" w:ascii="黑体" w:hAnsi="黑体" w:eastAsia="黑体" w:cs="黑体"/>
          <w:b w:val="0"/>
          <w:bCs w:val="0"/>
          <w:sz w:val="32"/>
          <w:szCs w:val="32"/>
          <w:highlight w:val="none"/>
          <w:lang w:eastAsia="zh-CN"/>
        </w:rPr>
        <w:t>第十</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lang w:eastAsia="zh-CN"/>
        </w:rPr>
        <w:t>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本制度自印发之日起执行。</w:t>
      </w:r>
    </w:p>
    <w:p>
      <w:pPr>
        <w:pStyle w:val="2"/>
        <w:keepNext w:val="0"/>
        <w:keepLines w:val="0"/>
        <w:widowControl/>
        <w:suppressLineNumbers w:val="0"/>
        <w:rPr>
          <w:rFonts w:hint="default" w:ascii="仿宋_GB2312" w:eastAsia="仿宋_GB2312" w:cs="仿宋_GB2312"/>
          <w:color w:val="000000"/>
          <w:sz w:val="31"/>
          <w:szCs w:val="3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DA5AA"/>
    <w:multiLevelType w:val="singleLevel"/>
    <w:tmpl w:val="14BDA5AA"/>
    <w:lvl w:ilvl="0" w:tentative="0">
      <w:start w:val="1"/>
      <w:numFmt w:val="chineseCounting"/>
      <w:suff w:val="nothing"/>
      <w:lvlText w:val="（%1）"/>
      <w:lvlJc w:val="left"/>
      <w:rPr>
        <w:rFonts w:hint="eastAsia"/>
      </w:rPr>
    </w:lvl>
  </w:abstractNum>
  <w:abstractNum w:abstractNumId="1">
    <w:nsid w:val="4E96E2A2"/>
    <w:multiLevelType w:val="singleLevel"/>
    <w:tmpl w:val="4E96E2A2"/>
    <w:lvl w:ilvl="0" w:tentative="0">
      <w:start w:val="5"/>
      <w:numFmt w:val="chineseCounting"/>
      <w:suff w:val="space"/>
      <w:lvlText w:val="第%1条"/>
      <w:lvlJc w:val="left"/>
      <w:pPr>
        <w:ind w:left="-10"/>
      </w:pPr>
      <w:rPr>
        <w:rFonts w:hint="eastAsia" w:ascii="黑体" w:hAnsi="黑体" w:eastAsia="黑体" w:cs="黑体"/>
      </w:rPr>
    </w:lvl>
  </w:abstractNum>
  <w:abstractNum w:abstractNumId="2">
    <w:nsid w:val="5C215705"/>
    <w:multiLevelType w:val="singleLevel"/>
    <w:tmpl w:val="5C215705"/>
    <w:lvl w:ilvl="0" w:tentative="0">
      <w:start w:val="1"/>
      <w:numFmt w:val="chineseCounting"/>
      <w:suff w:val="space"/>
      <w:lvlText w:val="第%1条"/>
      <w:lvlJc w:val="left"/>
      <w:rPr>
        <w:rFonts w:hint="eastAsia" w:ascii="黑体" w:hAnsi="黑体" w:eastAsia="黑体" w:cs="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C4CBF"/>
    <w:rsid w:val="5D5F21D7"/>
    <w:rsid w:val="6CBC4CBF"/>
    <w:rsid w:val="FAFAA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2022-03-28T23:28:00Z</dcterms:created>
  <dc:creator>施展</dc:creator>
  <cp:lastModifiedBy>greatwall</cp:lastModifiedBy>
  <dcterms:modified xsi:type="dcterms:W3CDTF">2025-01-23T16:10:34Z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2178C59B0C264B4C8C30D59092127A19</vt:lpwstr>
  </property>
</Properties>
</file>