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right"/>
        <w:textAlignment w:val="auto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Tahoma" w:eastAsia="方正小标宋简体" w:cs="Tahoma"/>
          <w:color w:val="auto"/>
          <w:kern w:val="2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Tahoma" w:eastAsia="方正小标宋简体" w:cs="Tahoma"/>
          <w:color w:val="auto"/>
          <w:kern w:val="2"/>
          <w:sz w:val="44"/>
          <w:szCs w:val="44"/>
          <w:highlight w:val="none"/>
          <w:u w:val="none"/>
        </w:rPr>
        <w:t>天津东疆综合保税区关于促进</w:t>
      </w:r>
      <w:r>
        <w:rPr>
          <w:rFonts w:hint="eastAsia" w:ascii="方正小标宋简体" w:hAnsi="Tahoma" w:eastAsia="方正小标宋简体" w:cs="Tahoma"/>
          <w:color w:val="auto"/>
          <w:kern w:val="2"/>
          <w:sz w:val="44"/>
          <w:szCs w:val="44"/>
          <w:highlight w:val="none"/>
          <w:u w:val="none"/>
          <w:lang w:val="en-US" w:eastAsia="zh-CN"/>
        </w:rPr>
        <w:t>制造业高质量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Tahoma" w:eastAsia="方正小标宋简体" w:cs="Tahoma"/>
          <w:color w:val="auto"/>
          <w:kern w:val="2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Tahoma" w:eastAsia="方正小标宋简体" w:cs="Tahoma"/>
          <w:color w:val="auto"/>
          <w:kern w:val="2"/>
          <w:sz w:val="44"/>
          <w:szCs w:val="44"/>
          <w:highlight w:val="none"/>
          <w:u w:val="none"/>
        </w:rPr>
        <w:t>发展</w:t>
      </w:r>
      <w:r>
        <w:rPr>
          <w:rFonts w:hint="eastAsia" w:ascii="方正小标宋简体" w:hAnsi="Tahoma" w:eastAsia="方正小标宋简体" w:cs="Tahoma"/>
          <w:color w:val="auto"/>
          <w:kern w:val="2"/>
          <w:sz w:val="44"/>
          <w:szCs w:val="44"/>
          <w:highlight w:val="none"/>
          <w:u w:val="none"/>
          <w:lang w:val="en-US" w:eastAsia="zh-CN"/>
        </w:rPr>
        <w:t>的暂行措施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Calibri" w:eastAsia="仿宋_GB2312" w:cs="仿宋_GB2312"/>
          <w:color w:val="auto"/>
          <w:kern w:val="2"/>
          <w:sz w:val="36"/>
          <w:szCs w:val="36"/>
          <w:highlight w:val="none"/>
          <w:u w:val="none"/>
          <w:lang w:val="en-US" w:eastAsia="zh-CN" w:bidi="ar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宋体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黑体" w:hAnsi="黑体" w:eastAsia="黑体" w:cs="宋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u w:val="none"/>
        </w:rPr>
        <w:t>第一章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bidi="ar"/>
        </w:rPr>
        <w:t>第一条 支持目的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bidi="ar"/>
        </w:rPr>
        <w:t>为贯彻落实天津市推进制造业高质量发展、港产城融合发展等“十项行动”举措，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天津东疆综合保税区管理委员会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eastAsia="zh-CN" w:bidi="ar"/>
        </w:rPr>
        <w:t>（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以下简称“管委会”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eastAsia="zh-CN" w:bidi="ar"/>
        </w:rPr>
        <w:t>）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bidi="ar"/>
        </w:rPr>
        <w:t>深入分析区域资源禀赋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，发挥自贸区、综保区功能，大力培育新质生产力，聚焦战略新兴产业、适港制造业、未来产业的引育和布局,结合本区实际，制定本措施。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bidi="ar"/>
        </w:rPr>
        <w:t>第</w:t>
      </w: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二</w:t>
      </w:r>
      <w:r>
        <w:rPr>
          <w:rFonts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bidi="ar"/>
        </w:rPr>
        <w:t xml:space="preserve">条 </w:t>
      </w: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政策依据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本措施遵循《天津东疆综合保税区进一步支持产业聚集和创新发展鼓励办法》（修订稿）制定和执行。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天津东疆综合保税区工业和信息化局（数据局）是本措施的业务主管部门，牵头政策制定与执行的相关事项。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</w:rPr>
      </w:pPr>
      <w:r>
        <w:rPr>
          <w:rFonts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bidi="ar"/>
        </w:rPr>
        <w:t>第</w:t>
      </w: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三</w:t>
      </w:r>
      <w:r>
        <w:rPr>
          <w:rFonts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bidi="ar"/>
        </w:rPr>
        <w:t>条 适用范围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本措施奖励的对象是指注册地在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天津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东疆综合保税区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（以下简称“东疆”）并实际入区生产经营、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合法经营、依法纳税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的企业法人。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rPr>
          <w:rFonts w:ascii="黑体" w:hAnsi="宋体" w:eastAsia="黑体" w:cs="黑体"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ascii="黑体" w:hAnsi="宋体" w:eastAsia="黑体" w:cs="黑体"/>
          <w:color w:val="auto"/>
          <w:kern w:val="2"/>
          <w:sz w:val="32"/>
          <w:szCs w:val="32"/>
          <w:highlight w:val="none"/>
          <w:u w:val="none"/>
          <w:lang w:bidi="ar"/>
        </w:rPr>
        <w:t>支持内容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第四条 保税加工园区租金支持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鼓励新型保税业态发展，包括保税加工、保税研发、维修再制造等业务，对于新引进并租赁海关特殊监管区内厂房的企业，根据项目实际贡献，对厂房、堆场、办公的租金及物业费给予最高90%补贴，最大面积不超过2万平米，具体标准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1.对年保税业务进出口值超过2万元/平米（含）的企业，对前三年厂房、堆场、办公租金及物业费给予90%补贴，对后两年给予50%补贴。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2.对年保税业务进出口值超过1万元/平米（含）低于2万元/平米的，对前三年厂房、办公室、堆场租金及物业费给予80%补贴，对后两年给予40%补贴。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3.厂房租金及物业费价格标准最高不超过0.8元/平米/天，办公室租金及物业费价格不超过1.4元/平米/天，堆场租金及物业费价格不超过0.27元/平米/天。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对于具有行业示范引领作用或科技含量高的项目，经管委会审定，可另行予以重点扶持。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第五条 创新产业园租金支持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对租赁东疆创新产业园的厂房、创新展示中心的项目，经综合评定对租金及物业费给予最高70%的补贴。每年每家企业申请支持面积最高不超过1万平米，支持期限最长不超过五年。厂房、创新展示中心的租金及物业费价格标准最高不超过1.5元/平米/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对于具有行业示范引领作用或科技含量高的项目，经管委会审定，可另行予以重点扶持。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第六条 固定资产投资奖励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对新引进并且固定资产投资超过1000万元（含）以上的制造业项目，按固定资产投资的一定比例给予资金支持，具体支持比例为战略新兴产业20%、高技术产业15%、其他产业10%，单一企业申请资金奖励最高不超过1000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第七条 支持工业企业发展壮大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对于首次纳规入库的工业企业，一次性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万元奖励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。支持企业持续发展壮大，对工业产值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首次达到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1亿元、5亿元、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10亿元的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工业企业，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一次性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10万元、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50万元、100万元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的成长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第八条 支持创新平台发展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对认定为市级企业技术中心的企业，给予20万元一次性奖励。对认定为国家级企业技术中心的企业，给予50万元一次性奖励。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第九条 人才安居奖励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在本政策有效期内，对在东疆上一年度年纳税总额超过500万元（含）的制造业企业，对于核心管理或技术人才，给予2个享受人才安居补贴名额，以后年度纳税总额每增长500万元（含），再给予2个名额。人才安居补贴标准为，该人才在东疆区域内购房总额（以契税发票不含税的计税金额为准）的20%，每人补贴最高不超过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对经综合评定的制造业企业总部、优质制造业项目、潜力制造业项目，分别按照不超过10人次、5人次、2人次的标准，对员工租用区内指定人才公寓给予5年100%租金补贴。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 xml:space="preserve">第十条 </w:t>
      </w:r>
      <w:r>
        <w:rPr>
          <w:rFonts w:hint="default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支持企业</w:t>
      </w: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有效对接资本市场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充分发挥区域股权市场的功能作用，加强多层次资本市场的互联互通，为企业提供信息咨询、管理培训、股权融资、上市辅导等一站式综合服务，支持符合条件的优质中小企业进入天津OTC“专精特新”专板培育，通过公示审核等绿色通道在新三板挂牌，助力企业北交所上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第十一条 深化产业基金投资引导功能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发挥政府性产业基金、国有投资基金对本区制造业重点领域投资促进的前置牵引作用，支持投贷联动，探索研究基金容错机制，围绕制造业企业全生命周期打造基金矩阵。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鼓励投资机构以基金形式投资东疆未上市企业。对于经管委会认定的制造业项目，按照实际到账投资额的1%给予投资机构奖励，每年每家投资机构最高奖励金额100万元。若投资项目属于低空经济、海洋经济、智能制造、生物医药等重点招商领域，经管委会认定最高可按照实际到账投资额的5%给予投资机构奖励，每年每家投资机构奖励不超过500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第十二条 强化区属国企资源整合配置作用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发挥区属国企在供应链采购、融租租赁、数字化服务、产业投资、商务服务、市场开拓与品牌建设等方面的组合优势，解决企业在资金、技术、市场等方面遇到的问题，营造协同、创新、活跃、可持续的产业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楷体" w:hAnsi="楷体" w:eastAsia="楷体" w:cs="楷体"/>
          <w:b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第十三条 加速开放场景应用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加大东疆场景创新开放，支持先进空中交通、海洋科技等战略新兴产业、未来产业相关创新技术、产品在港口建设、生产服务、城市管理、文旅服务等领域的示范运营和商业化应用，带动上下游技术、产品产业化应用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outlineLvl w:val="0"/>
        <w:rPr>
          <w:rFonts w:ascii="黑体" w:hAnsi="宋体" w:eastAsia="黑体" w:cs="黑体"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ascii="黑体" w:hAnsi="宋体" w:eastAsia="黑体" w:cs="黑体"/>
          <w:color w:val="auto"/>
          <w:kern w:val="2"/>
          <w:sz w:val="32"/>
          <w:szCs w:val="32"/>
          <w:highlight w:val="none"/>
          <w:u w:val="none"/>
          <w:lang w:bidi="ar"/>
        </w:rPr>
        <w:t>附 则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both"/>
        <w:outlineLvl w:val="0"/>
        <w:rPr>
          <w:rFonts w:ascii="黑体" w:hAnsi="宋体" w:eastAsia="黑体" w:cs="黑体"/>
          <w:color w:val="auto"/>
          <w:kern w:val="2"/>
          <w:sz w:val="32"/>
          <w:szCs w:val="32"/>
          <w:highlight w:val="none"/>
          <w:u w:val="none"/>
          <w:lang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第十四条 本措施与其他政策的关系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符合本措施规定的支持政策，如遇国家、天津市和滨海新区有同类政策的，先执行国家、天津市和滨海新区的政策，差额部分执行本措施。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 xml:space="preserve">第十五条 监督管理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管委会对适用本措施的入驻项目主体实施信用管理，对弄虚作假、骗取和违规使用补贴支持资金的项目，一经查实，将追回全部补贴支持并依法追究相关责任，并取消其申请管委会各项优惠政策的资格。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第十六条 一票否决机制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存在以下情形之一的，不予支持：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1.</w:t>
      </w: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使用租赁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/>
        </w:rPr>
        <w:t>厂房、办公室</w:t>
      </w: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有重大违法或违规经营行为的；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2.发生重大刑事案件、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重大</w:t>
      </w: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劳资纠纷、非法集资等群体性事件并负主要责任的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</w:pPr>
      <w:bookmarkStart w:id="0" w:name="_Hlk120651817"/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3.发生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/>
        </w:rPr>
        <w:t>较大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安全生产、环保、质量事故或严重违反税法等事项的；</w:t>
      </w:r>
    </w:p>
    <w:bookmarkEnd w:id="0"/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4</w:t>
      </w: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.在租赁合同期限内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擅自</w:t>
      </w: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转租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、</w:t>
      </w: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改变其原有使用功能的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</w:rPr>
        <w:t>5.其他严重负面行为。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 xml:space="preserve">第十七条 修订和调整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kern w:val="2"/>
          <w:sz w:val="32"/>
          <w:szCs w:val="32"/>
          <w:highlight w:val="none"/>
          <w:u w:val="none"/>
        </w:rPr>
      </w:pP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在本措施实施期间，若有关法律政策依据发生变化或本措施执行中确需调整的，由管委会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进行</w:t>
      </w: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修订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调整</w:t>
      </w: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 xml:space="preserve">第十八条 解释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</w:pPr>
      <w:r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本措施由管委会负责解释</w:t>
      </w:r>
      <w:r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 xml:space="preserve">第十九条 实施期限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仿宋_GB2312"/>
          <w:color w:val="auto"/>
          <w:kern w:val="2"/>
          <w:sz w:val="36"/>
          <w:szCs w:val="36"/>
          <w:highlight w:val="none"/>
          <w:u w:val="none"/>
          <w:lang w:bidi="ar"/>
        </w:rPr>
      </w:pP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本措施自202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年1月1日起实施，有效期至202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8</w:t>
      </w:r>
      <w:r>
        <w:rPr>
          <w:rFonts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/>
          <w:lang w:bidi="ar"/>
        </w:rPr>
        <w:t>年12月31日。</w:t>
      </w:r>
    </w:p>
    <w:sectPr>
      <w:footerReference r:id="rId3" w:type="default"/>
      <w:pgSz w:w="11905" w:h="16840"/>
      <w:pgMar w:top="1440" w:right="1080" w:bottom="1440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+L3UTQAAAAAgEAAA8AAAAAAAAAAQAgAAAAOAAAAGRycy9kb3ducmV2LnhtbFBL&#10;AQIUABQAAAAIAIdO4kD7jUpf6AEAAMIDAAAOAAAAAAAAAAEAIAAAADU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A4DE4"/>
    <w:multiLevelType w:val="singleLevel"/>
    <w:tmpl w:val="666A4DE4"/>
    <w:lvl w:ilvl="0" w:tentative="0">
      <w:start w:val="2"/>
      <w:numFmt w:val="chineseCounting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compat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OWUxMDNkNTAwMTQxZDUzYjc4Y2VjMDI2YzU5MGQifQ=="/>
  </w:docVars>
  <w:rsids>
    <w:rsidRoot w:val="00000000"/>
    <w:rsid w:val="007068D6"/>
    <w:rsid w:val="012A480C"/>
    <w:rsid w:val="06396863"/>
    <w:rsid w:val="06EE342E"/>
    <w:rsid w:val="0D49375D"/>
    <w:rsid w:val="0E15651D"/>
    <w:rsid w:val="19007838"/>
    <w:rsid w:val="1A815666"/>
    <w:rsid w:val="1B3B32E8"/>
    <w:rsid w:val="1F9E4AE7"/>
    <w:rsid w:val="27657EEB"/>
    <w:rsid w:val="278B4498"/>
    <w:rsid w:val="27E677DD"/>
    <w:rsid w:val="280478D6"/>
    <w:rsid w:val="2996462E"/>
    <w:rsid w:val="2C590233"/>
    <w:rsid w:val="2D1227E2"/>
    <w:rsid w:val="2FB7F72E"/>
    <w:rsid w:val="30667DFD"/>
    <w:rsid w:val="36513CE6"/>
    <w:rsid w:val="3F3A417C"/>
    <w:rsid w:val="3FFE38BD"/>
    <w:rsid w:val="41C35172"/>
    <w:rsid w:val="4297197E"/>
    <w:rsid w:val="45EF0E26"/>
    <w:rsid w:val="46226E25"/>
    <w:rsid w:val="462A1950"/>
    <w:rsid w:val="46F875AC"/>
    <w:rsid w:val="4B78366B"/>
    <w:rsid w:val="4BF7788F"/>
    <w:rsid w:val="4F1F1345"/>
    <w:rsid w:val="4F2D69F3"/>
    <w:rsid w:val="52614E59"/>
    <w:rsid w:val="5268759C"/>
    <w:rsid w:val="55933D75"/>
    <w:rsid w:val="56396C92"/>
    <w:rsid w:val="564D4072"/>
    <w:rsid w:val="564D6F0E"/>
    <w:rsid w:val="585678CA"/>
    <w:rsid w:val="58D92299"/>
    <w:rsid w:val="59F62A9B"/>
    <w:rsid w:val="5AEE56F8"/>
    <w:rsid w:val="5D945871"/>
    <w:rsid w:val="5DBB5D65"/>
    <w:rsid w:val="5E154755"/>
    <w:rsid w:val="5EA85DBF"/>
    <w:rsid w:val="604268E2"/>
    <w:rsid w:val="623F4DBD"/>
    <w:rsid w:val="62B37363"/>
    <w:rsid w:val="673426E5"/>
    <w:rsid w:val="68D52715"/>
    <w:rsid w:val="6FECA2BC"/>
    <w:rsid w:val="716D06A8"/>
    <w:rsid w:val="73356E2F"/>
    <w:rsid w:val="73BA70A5"/>
    <w:rsid w:val="75371D1E"/>
    <w:rsid w:val="75FE5CA3"/>
    <w:rsid w:val="7618406D"/>
    <w:rsid w:val="78522BA3"/>
    <w:rsid w:val="7AF79FFF"/>
    <w:rsid w:val="AD3F2FFF"/>
    <w:rsid w:val="CFFF997D"/>
    <w:rsid w:val="DFED0436"/>
    <w:rsid w:val="EF7B76B1"/>
    <w:rsid w:val="F7F91C6B"/>
    <w:rsid w:val="FF7FE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sz w:val="24"/>
      <w:szCs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页眉 字符"/>
    <w:basedOn w:val="10"/>
    <w:link w:val="5"/>
    <w:qFormat/>
    <w:uiPriority w:val="0"/>
    <w:rPr>
      <w:sz w:val="18"/>
      <w:szCs w:val="18"/>
    </w:rPr>
  </w:style>
  <w:style w:type="paragraph" w:customStyle="1" w:styleId="16">
    <w:name w:val="c一级黑体"/>
    <w:basedOn w:val="1"/>
    <w:qFormat/>
    <w:uiPriority w:val="0"/>
    <w:pPr>
      <w:ind w:firstLine="640" w:firstLineChars="200"/>
    </w:pPr>
    <w:rPr>
      <w:rFonts w:ascii="黑体" w:hAnsi="黑体" w:eastAsia="黑体"/>
      <w:szCs w:val="20"/>
    </w:r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2396</Words>
  <Characters>2471</Characters>
  <Lines>18</Lines>
  <Paragraphs>5</Paragraphs>
  <TotalTime>2</TotalTime>
  <ScaleCrop>false</ScaleCrop>
  <LinksUpToDate>false</LinksUpToDate>
  <CharactersWithSpaces>2496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2022-12-03T06:05:00Z</dcterms:created>
  <dc:creator>Apache POI</dc:creator>
  <cp:lastModifiedBy>sugon</cp:lastModifiedBy>
  <cp:lastPrinted>2024-08-22T11:47:00Z</cp:lastPrinted>
  <dcterms:modified xsi:type="dcterms:W3CDTF">2024-08-21T14:28:52Z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4C63619614BE4DD6868A5220E32F5AE0_13</vt:lpwstr>
  </property>
</Properties>
</file>