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2A2E7">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天津东疆综合保税区住所托管管理单位</w:t>
      </w:r>
    </w:p>
    <w:p w14:paraId="6F912184">
      <w:pPr>
        <w:pStyle w:val="2"/>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监督管理暂行办法</w:t>
      </w:r>
    </w:p>
    <w:p w14:paraId="3E6C7058">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 w:hAnsi="仿宋" w:eastAsia="仿宋" w:cs="仿宋"/>
          <w:sz w:val="32"/>
          <w:szCs w:val="32"/>
        </w:rPr>
      </w:pPr>
    </w:p>
    <w:p w14:paraId="75C3F7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进一步规范东疆综合保税区内住所托管管理活动，提升行业服务水平，有效防控监管风险，按照放管结合的原则，依据《天津市市场主体住所（经营场所）登记管理办法》（津政办规〔2020〕14号），制定《天津东疆综合保税区住所托管管理单位监督管理暂行办法》（以下简称“本办法”）。</w:t>
      </w:r>
    </w:p>
    <w:p w14:paraId="427CD3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本办法所称住所是指依法登记的各类企业及分支机构登记事项中载明的住所或经营场所。</w:t>
      </w:r>
    </w:p>
    <w:p w14:paraId="28AEB6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本办法所称住所托管管理单位是指以“地址托管”为主要方式，为入驻托管企业提供住所托管及接受委托提供代收公函文书、信函、邮件，代理登记等服务的企业法人及其分支机构。</w:t>
      </w:r>
    </w:p>
    <w:p w14:paraId="22B0EDE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商务秘书企业、企业孵化管理单位、集群登记地址管理单位等均属于住所托管管理单位。</w:t>
      </w:r>
    </w:p>
    <w:p w14:paraId="32E98B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企业孵化管理单位应向市场监管部门报告其经营场所及地址编号。</w:t>
      </w:r>
    </w:p>
    <w:p w14:paraId="79B8A6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本办法所称托管企业是指入驻住所托管管理单位，并由住所托管管理单位提供住所托管等服务的各类企业及其分支机构。</w:t>
      </w:r>
    </w:p>
    <w:p w14:paraId="4C9DD8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市场监管部门通过天津东疆综合保税区市场监管领域分级分类辅助监管平台（以下简称平台）对住所托管管理单位进行辅助管理。</w:t>
      </w:r>
    </w:p>
    <w:p w14:paraId="7C2438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鼓励住所托管管理单位加强信息化建设，与平台进行数据对接，对其托管企业实施数字化管理、服务。</w:t>
      </w:r>
    </w:p>
    <w:p w14:paraId="3DAA67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鼓励住所托管管理单位在为其托管企业提供住所托管、代收信函、注册登记代理等基础性服务之外，拓展业务领域，提供孵化服务、税务服务、代理记账、信息咨询等其他专业性和增值性服务，不断提升自身服务水平。</w:t>
      </w:r>
    </w:p>
    <w:p w14:paraId="1DD0B2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鼓励住所托管管理单位引进符合东疆产业发展政策的优质项目，并积极协助有需求的托管企业为其提供实际场所租赁、固定资产采购、员工社保缴纳等拓展服务。</w:t>
      </w:r>
    </w:p>
    <w:p w14:paraId="373AC0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住所托管管理单位从事托管业务需具备以下条件：</w:t>
      </w:r>
    </w:p>
    <w:p w14:paraId="5B4B5D1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合法合规的固定经营场所且具备办公条件，住所为自有房屋或满足长期经营的租赁用房，配有可进行客户接待、安排会议等活动的服务设施，并在从业期间持续拥有使用权。所使用场所的房屋用途不能为“住宅”；</w:t>
      </w:r>
    </w:p>
    <w:p w14:paraId="5C99250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有专职联络员，负责与托管企业及相关监管部门联系沟通；</w:t>
      </w:r>
    </w:p>
    <w:p w14:paraId="7D91494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有完善的管理体系，有适应住所托管、代理记账、送达函件等服务的管理团队；</w:t>
      </w:r>
    </w:p>
    <w:p w14:paraId="737B5D2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有完备的企业管理制度，有专业的档案管理人员和档案保管设施；</w:t>
      </w:r>
    </w:p>
    <w:p w14:paraId="1A8AC66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在信用中国或公示系统网站中公共信用信息良好，且未被列入失信被执行人、企业经营异常名录、以及重大税收违法案件当事人名单。</w:t>
      </w:r>
    </w:p>
    <w:p w14:paraId="7D6063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企业应在具备从业条件后再开展业务，市场监管部门应核查住所托管管理单位是否具备从业条件。</w:t>
      </w:r>
    </w:p>
    <w:p w14:paraId="0E1D21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住所托管管理单位应当履行以下职责:</w:t>
      </w:r>
    </w:p>
    <w:p w14:paraId="718B827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建立专职联络员制度，有效联系托管企业，配合监管部门开展工作；</w:t>
      </w:r>
    </w:p>
    <w:p w14:paraId="561384F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建立托管企业档案管理制度，及时归档、更新企业营业执照副本复印件、投资人（股东）身份证明材料、托管协议、代办登记档案、重大情况记录等资料。鼓励实施电子档案管理；</w:t>
      </w:r>
    </w:p>
    <w:p w14:paraId="0969ABF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建立托管企业电子信息台账，及时记载、更新托管企业基本情况、托管地址、托管期限、实际联系地址、联络员及其联系方式等信息；</w:t>
      </w:r>
    </w:p>
    <w:p w14:paraId="0C03EF0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至少为托管企业提供住所托管、代收公函文书、信函、邮件服务；</w:t>
      </w:r>
    </w:p>
    <w:p w14:paraId="5318D2C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至少每季度对托管企业进行一次有效联系，每半年进行一次基本情况核实，并留存相关影像或记录；</w:t>
      </w:r>
    </w:p>
    <w:p w14:paraId="60CA349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有效推动托管企业履行年度报告等市场主体义务，积极督促托管企业合法合规经营；</w:t>
      </w:r>
    </w:p>
    <w:p w14:paraId="74C3575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积极配合相关行政部门对本单位及托管企业进行监督管理。发现托管企业失联、有违法违规行为或其他异常情况的，应当及时向相关行政部门报告；</w:t>
      </w:r>
    </w:p>
    <w:p w14:paraId="2E5E3AC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认真核实托管企业委托报送材料，避免提交虚假材料等违法登记情况发生；</w:t>
      </w:r>
    </w:p>
    <w:p w14:paraId="1CF0B05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密切关注托管企业经营状况，适时开展相关服务、管理工作。</w:t>
      </w:r>
    </w:p>
    <w:p w14:paraId="1AF337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rPr>
        <w:t>第十一条 住所托管管理单位应将其登记住所或向市场监管部门报告的经营场所作为托管地址，并通过编号方式对托管企业进行住所管理，不得存在无序编排等不利于管理的情况。</w:t>
      </w:r>
    </w:p>
    <w:p w14:paraId="4F11A9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住所托管管理单位与托管企业应订立住所托管协议或租赁服务协议（以下简称托管协议），协议应包含托管地址、托管期限、联系方式及双方权利义务等条款。</w:t>
      </w:r>
    </w:p>
    <w:p w14:paraId="009101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协议中关于委托住所托管管理单位代收各类法律文件、信函、邮件的条款，住所托管管理单位须履行提示和说明义务。</w:t>
      </w:r>
    </w:p>
    <w:p w14:paraId="128C7D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托管协议约定的托管期限到期未续期的，住所托管管理单位可与托管企业解除托管关系，托管企业应于托管期限到期之日起30日内办理住所变更登记手续。</w:t>
      </w:r>
    </w:p>
    <w:p w14:paraId="25389F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住所托管管理单位应在托管期限到期前30日及解除托管关系之日起30日内充分履行提醒、告知义务，并协助托管企业办理住所变更或注销登记。</w:t>
      </w:r>
    </w:p>
    <w:p w14:paraId="67925F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托管企业在托管期限到期之日起60日内未续期且未办理住所变更或注销登记的，视为失效企业；托管企业仍在托管期限内，但通过留存的联系方式无法与其取得联系的，视为失联企业。</w:t>
      </w:r>
    </w:p>
    <w:p w14:paraId="02B52C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住所托管管理单位应按季度将失效失联企业情况报告市场监管部门。</w:t>
      </w:r>
    </w:p>
    <w:p w14:paraId="079612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市场监管部门应自收到住所托管管理单位提交的失效失联企业书面材料之日起的五个工作日内，对相关材料进行审查，并依据现行规定处理。</w:t>
      </w:r>
    </w:p>
    <w:p w14:paraId="0A9C3D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住所托管管理单位变更住所、终止从事托管业务或出现法定解散情形的，应提前三个月通知托管企业，待将失效失联企业上报审查处理、入驻托管企业完成住所变更或注销登记后，方可申请办理变更或者注销登记。</w:t>
      </w:r>
    </w:p>
    <w:p w14:paraId="64FE26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市场监管部门对住所托管管理单位实施考核制度，并全面推行包容审慎监管、分级分类和信用监管。</w:t>
      </w:r>
    </w:p>
    <w:p w14:paraId="057EEA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考核形式分为现场检查、平台监测及日常监管。考核结果分为良好、合格、警示三个等级。</w:t>
      </w:r>
    </w:p>
    <w:p w14:paraId="7E7B85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现场检查每季度随机开展一次，每户每年至少检查二次；平台监测、日常监管依投诉、举报及日常专项检查等工作不定期开展。</w:t>
      </w:r>
    </w:p>
    <w:p w14:paraId="1B7290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市场监管部门根据以下事项对住所托管管理单位开展现场检查：</w:t>
      </w:r>
    </w:p>
    <w:p w14:paraId="6E95903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是否建立专职联络员制度，有与托管企业当年各季度进行联系的联系方式和联系记录；</w:t>
      </w:r>
    </w:p>
    <w:p w14:paraId="3146DFD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是否建立档案管理制度，并有必要的档案保管设施和完整的档案；</w:t>
      </w:r>
    </w:p>
    <w:p w14:paraId="504C967B">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是否建立托管企业电子信息台账，台账信息是否完整。通过自建管理系统与市场监管部门平台实现数据对接的，可通过自建管理系统完善托管企业电子信息台账；</w:t>
      </w:r>
    </w:p>
    <w:p w14:paraId="1D63C31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是否及时准确完成公函文书、信函送达及其他托管服务；</w:t>
      </w:r>
    </w:p>
    <w:p w14:paraId="77E25AE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是否在其登记的住所开展经营活动。</w:t>
      </w:r>
    </w:p>
    <w:p w14:paraId="7E95A2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现场检查事项（一）至（五）项全合格的，考核结果为良好；第（一）至（四）项中少于2项（含2项）不合格但经行政指导后能在五个工作日内予以改正的，考核结果为合格；第（一）至（四）项中有3项以上（含3项）不合格的，以及少于2项（含2项）不合格且经行政指导后在规定时间内未能改正的，考核结果为警示；第（五）项为“一票否决”项，考核不合格的，当次考核结果为警示。</w:t>
      </w:r>
    </w:p>
    <w:p w14:paraId="63F113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市场监管部门初次现场检查时发现考核单位未在登记的住所经营的，应在五个工作日内进行复查，并以复查的结果为准。</w:t>
      </w:r>
    </w:p>
    <w:p w14:paraId="0BFF8B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市场监管部门根据以下事项对住所托管管理单位开展平台监测：</w:t>
      </w:r>
    </w:p>
    <w:p w14:paraId="0667415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托管企业（不含失联失效企</w:t>
      </w:r>
      <w:r>
        <w:rPr>
          <w:rFonts w:hint="eastAsia" w:ascii="仿宋" w:hAnsi="仿宋" w:eastAsia="仿宋" w:cs="仿宋"/>
          <w:sz w:val="32"/>
          <w:szCs w:val="32"/>
          <w:highlight w:val="none"/>
        </w:rPr>
        <w:t>业）平台</w:t>
      </w:r>
      <w:r>
        <w:rPr>
          <w:rFonts w:hint="eastAsia" w:ascii="仿宋" w:hAnsi="仿宋" w:eastAsia="仿宋" w:cs="仿宋"/>
          <w:sz w:val="32"/>
          <w:szCs w:val="32"/>
          <w:highlight w:val="none"/>
          <w:lang w:val="en-US" w:eastAsia="zh-CN"/>
        </w:rPr>
        <w:t>联系填报</w:t>
      </w:r>
      <w:r>
        <w:rPr>
          <w:rFonts w:hint="eastAsia" w:ascii="仿宋" w:hAnsi="仿宋" w:eastAsia="仿宋" w:cs="仿宋"/>
          <w:sz w:val="32"/>
          <w:szCs w:val="32"/>
          <w:highlight w:val="none"/>
        </w:rPr>
        <w:t>比</w:t>
      </w:r>
      <w:r>
        <w:rPr>
          <w:rFonts w:hint="eastAsia" w:ascii="仿宋" w:hAnsi="仿宋" w:eastAsia="仿宋" w:cs="仿宋"/>
          <w:sz w:val="32"/>
          <w:szCs w:val="32"/>
        </w:rPr>
        <w:t>率是否达到90%；</w:t>
      </w:r>
    </w:p>
    <w:p w14:paraId="3C4BEAAE">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托管企业（不含失联失效企业）监督检查事项反馈比率是否达到90%；</w:t>
      </w:r>
    </w:p>
    <w:p w14:paraId="341B5F25">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天津市企业公共信用综合评价等级是否高于C级或涉税专业服务机构信用积分等级是否高于TSC3级；</w:t>
      </w:r>
    </w:p>
    <w:p w14:paraId="6B935CA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托管企业当年失联失效比率是否超过5%；</w:t>
      </w:r>
    </w:p>
    <w:p w14:paraId="3B9D4C7C">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托管企业年度报告报送比率是否达到90%。</w:t>
      </w:r>
    </w:p>
    <w:p w14:paraId="2A627E6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本条前四项为常规考核项目，第（五）项仅在第三季度进行考核。</w:t>
      </w:r>
    </w:p>
    <w:p w14:paraId="11015E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平台监测检查事项中前三项为激励措施，其中两项及以上合格的，考核结果可为良好，将适当减少现场检查考核频次；第（四）、（五）项出现任意一项不合格的，当次考核结果为警示，待整改完毕后纳入下一季度检查计划。</w:t>
      </w:r>
    </w:p>
    <w:p w14:paraId="215AAA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市场监管部门根据以下事项对住所托管管理单位开展日常监管：</w:t>
      </w:r>
    </w:p>
    <w:p w14:paraId="3541814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是否存在泄露托管企业经营信息的行为；</w:t>
      </w:r>
    </w:p>
    <w:p w14:paraId="6587CFD0">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是否存在拒不配合监管部门依法对本单位及其托管企业进行检查的行为；</w:t>
      </w:r>
    </w:p>
    <w:p w14:paraId="6F0BBA5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是否存在明知或应当知道托管企业有经营异常状况或违法违规行为，仍为其隐瞒或协助其逃避监管的行为；</w:t>
      </w:r>
    </w:p>
    <w:p w14:paraId="36D22A2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是否存在本办法第八条第五项所列情形；</w:t>
      </w:r>
    </w:p>
    <w:p w14:paraId="41563610">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是否存在明知或应当知道申请人提交虚假材料或者采取其他欺诈手段隐瞒重要事实进行市场主体登记，仍接受委托代为办理，或者协助其进行虚假登记的情形。</w:t>
      </w:r>
    </w:p>
    <w:p w14:paraId="22BCBD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日常监管事项中出现任意一项不合格的，当季度现场检查考核结果等级调整为警示。其中，对于涉嫌违反市场监管领域法律法规的行为，市场监管部门应依照现行规定予以查处；市场监管部门发现违法行为涉嫌犯罪的，应依照有关规定移送案件线索。</w:t>
      </w:r>
    </w:p>
    <w:p w14:paraId="74EF08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现场检查考核结果与平台监测考核结果不一致的，以等级较低的考核结果作为最终考核结果。</w:t>
      </w:r>
    </w:p>
    <w:p w14:paraId="0B0342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住所托管管理单位当次平台监测考核结果为合格以上（含合格）的，现场考核结果低于当次考核结果的，可以向市场监管部门申请复查现场检查事项。</w:t>
      </w:r>
    </w:p>
    <w:p w14:paraId="2EE1E7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市场监管部门在收到书面申请后，应调整住所托管管理单位现场检查年度计划安排，在下一次开展现场检查时对该申请单位进行复查。复查考核结果确定之前，不调整住所托管管理单位现有考核等级。</w:t>
      </w:r>
    </w:p>
    <w:p w14:paraId="6C6D72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市场监管部门鼓励考核结果为良好的住所托管管理单位拓展托管业务，并适当减少现场检查考核频次。</w:t>
      </w:r>
    </w:p>
    <w:p w14:paraId="64B1DC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对单次考核结果为警示的住所托管管理单位，市场监管部门可提高现场检查频次，并通过行政指导、行政约谈、行政告诫等监管措施，引导和督促其规范经营。</w:t>
      </w:r>
    </w:p>
    <w:p w14:paraId="2E78F2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对于一年之内所有考核结果均为警示的住所托管管理单位，经行政指导、行政约谈、行政告诫等仍未规范经营的，市场监管部门应引导其办理变更或注销登记。</w:t>
      </w:r>
    </w:p>
    <w:p w14:paraId="3B60E3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住所托管管理单位的股东、实际控制人或法定代表人利用新设住所托管管理单位的方式，规避监管，破坏公平竞争，扰乱市场秩序的，市场监管部门应予以审慎审查。</w:t>
      </w:r>
    </w:p>
    <w:p w14:paraId="46E936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虚假登记市场主体登记的直接责任人自市场主体登记被撤销之日起3年内不得再次申请市场主体登记。</w:t>
      </w:r>
    </w:p>
    <w:p w14:paraId="403677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为保障托管企业合法权益，因住所托管管理单位存在重大违法违规行为，不适宜继续从事托管工作的，经市场监管部门研究可由其他同意接管的住所托管管理单位接替其托管工作。</w:t>
      </w:r>
    </w:p>
    <w:p w14:paraId="4CE206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由科技或其他部门认定的孵化器及其他具有特定职能的企业不适用本办法。</w:t>
      </w:r>
    </w:p>
    <w:p w14:paraId="1C2D12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 本办法由东疆综合保税区市场监督管理局负责解释。</w:t>
      </w:r>
    </w:p>
    <w:p w14:paraId="224735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本办法自发布之日起实施。有关法规、政策调整时，另行调整。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仿宋"/>
    <w:panose1 w:val="0201060900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78900"/>
    <w:multiLevelType w:val="singleLevel"/>
    <w:tmpl w:val="80778900"/>
    <w:lvl w:ilvl="0" w:tentative="0">
      <w:start w:val="1"/>
      <w:numFmt w:val="chineseCounting"/>
      <w:suff w:val="nothing"/>
      <w:lvlText w:val="（%1）"/>
      <w:lvlJc w:val="left"/>
      <w:rPr>
        <w:rFonts w:hint="eastAsia"/>
      </w:rPr>
    </w:lvl>
  </w:abstractNum>
  <w:abstractNum w:abstractNumId="1">
    <w:nsid w:val="92C2297D"/>
    <w:multiLevelType w:val="singleLevel"/>
    <w:tmpl w:val="92C2297D"/>
    <w:lvl w:ilvl="0" w:tentative="0">
      <w:start w:val="1"/>
      <w:numFmt w:val="chineseCounting"/>
      <w:suff w:val="nothing"/>
      <w:lvlText w:val="（%1）"/>
      <w:lvlJc w:val="left"/>
      <w:rPr>
        <w:rFonts w:hint="eastAsia"/>
      </w:rPr>
    </w:lvl>
  </w:abstractNum>
  <w:abstractNum w:abstractNumId="2">
    <w:nsid w:val="CCBA6D5B"/>
    <w:multiLevelType w:val="singleLevel"/>
    <w:tmpl w:val="CCBA6D5B"/>
    <w:lvl w:ilvl="0" w:tentative="0">
      <w:start w:val="1"/>
      <w:numFmt w:val="chineseCounting"/>
      <w:suff w:val="nothing"/>
      <w:lvlText w:val="（%1）"/>
      <w:lvlJc w:val="left"/>
      <w:rPr>
        <w:rFonts w:hint="eastAsia"/>
      </w:rPr>
    </w:lvl>
  </w:abstractNum>
  <w:abstractNum w:abstractNumId="3">
    <w:nsid w:val="FBF91294"/>
    <w:multiLevelType w:val="singleLevel"/>
    <w:tmpl w:val="FBF91294"/>
    <w:lvl w:ilvl="0" w:tentative="0">
      <w:start w:val="1"/>
      <w:numFmt w:val="chineseCounting"/>
      <w:suff w:val="nothing"/>
      <w:lvlText w:val="（%1）"/>
      <w:lvlJc w:val="left"/>
      <w:pPr>
        <w:ind w:left="-10"/>
      </w:pPr>
      <w:rPr>
        <w:rFonts w:hint="eastAsia"/>
      </w:rPr>
    </w:lvl>
  </w:abstractNum>
  <w:abstractNum w:abstractNumId="4">
    <w:nsid w:val="4B37F309"/>
    <w:multiLevelType w:val="singleLevel"/>
    <w:tmpl w:val="4B37F309"/>
    <w:lvl w:ilvl="0" w:tentative="0">
      <w:start w:val="1"/>
      <w:numFmt w:val="chineseCounting"/>
      <w:suff w:val="nothing"/>
      <w:lvlText w:val="（%1）"/>
      <w:lvlJc w:val="left"/>
      <w:pPr>
        <w:ind w:left="200"/>
      </w:pPr>
      <w:rPr>
        <w:rFonts w:hint="eastAsia"/>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04166"/>
    <w:rsid w:val="242F6950"/>
    <w:rsid w:val="38672DE2"/>
    <w:rsid w:val="4EB21044"/>
    <w:rsid w:val="569A7F1D"/>
    <w:rsid w:val="75E20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rPr>
      <w:rFonts w:eastAsia="文星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3985</Words>
  <Characters>4004</Characters>
  <Lines>0</Lines>
  <Paragraphs>0</Paragraphs>
  <TotalTime>1</TotalTime>
  <ScaleCrop>false</ScaleCrop>
  <LinksUpToDate>false</LinksUpToDate>
  <CharactersWithSpaces>4039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2024-12-05T07:15:00Z</dcterms:created>
  <dc:creator>dell</dc:creator>
  <cp:lastModifiedBy>15816</cp:lastModifiedBy>
  <dcterms:modified xsi:type="dcterms:W3CDTF">2024-12-23T05:46:19Z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25304D2276784B1BA42DB35E69DCBEE2_12</vt:lpwstr>
  </property>
</Properties>
</file>