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default"/>
          <w:kern w:val="2"/>
          <w:sz w:val="32"/>
          <w:lang w:val="zh-CN"/>
        </w:rPr>
      </w:pPr>
      <w:bookmarkStart w:id="0" w:name="_GoBack"/>
      <w:bookmarkEnd w:id="0"/>
    </w:p>
    <w:p>
      <w:pPr>
        <w:spacing w:line="580" w:lineRule="exact"/>
        <w:jc w:val="center"/>
        <w:rPr>
          <w:rFonts w:hint="default"/>
          <w:kern w:val="2"/>
          <w:sz w:val="44"/>
          <w:lang w:val="zh-CN"/>
        </w:rPr>
      </w:pPr>
    </w:p>
    <w:p>
      <w:pPr>
        <w:spacing w:line="600" w:lineRule="exact"/>
        <w:jc w:val="both"/>
        <w:rPr>
          <w:rFonts w:hint="default"/>
          <w:kern w:val="2"/>
          <w:sz w:val="32"/>
          <w:lang w:val="zh-CN"/>
        </w:rPr>
      </w:pPr>
    </w:p>
    <w:p>
      <w:pPr>
        <w:spacing w:line="580" w:lineRule="exact"/>
        <w:jc w:val="center"/>
        <w:rPr>
          <w:rFonts w:hint="default"/>
          <w:kern w:val="2"/>
          <w:sz w:val="44"/>
          <w:lang w:val="zh-CN"/>
        </w:rPr>
      </w:pPr>
    </w:p>
    <w:p>
      <w:pPr>
        <w:spacing w:line="580" w:lineRule="exact"/>
        <w:jc w:val="center"/>
        <w:rPr>
          <w:rFonts w:hint="default" w:ascii="Times New Roman" w:eastAsia="Times New Roman"/>
          <w:kern w:val="2"/>
          <w:sz w:val="44"/>
          <w:lang w:val="zh-CN"/>
        </w:rPr>
      </w:pPr>
    </w:p>
    <w:p>
      <w:pPr>
        <w:spacing w:line="580" w:lineRule="exact"/>
        <w:jc w:val="center"/>
        <w:rPr>
          <w:rFonts w:hint="default" w:ascii="Times New Roman" w:eastAsia="Times New Roman"/>
          <w:kern w:val="2"/>
          <w:sz w:val="44"/>
          <w:lang w:val="zh-CN"/>
        </w:rPr>
      </w:pPr>
    </w:p>
    <w:p>
      <w:pPr>
        <w:spacing w:line="580" w:lineRule="exact"/>
        <w:jc w:val="center"/>
        <w:rPr>
          <w:rFonts w:hint="default" w:ascii="Times New Roman" w:eastAsia="Times New Roman"/>
          <w:kern w:val="2"/>
          <w:sz w:val="44"/>
          <w:lang w:val="zh-CN"/>
        </w:rPr>
      </w:pPr>
    </w:p>
    <w:p>
      <w:pPr>
        <w:spacing w:line="580" w:lineRule="exact"/>
        <w:rPr>
          <w:rFonts w:hint="default" w:ascii="Times New Roman" w:eastAsia="Times New Roman"/>
          <w:kern w:val="2"/>
          <w:sz w:val="44"/>
          <w:lang w:val="zh-CN"/>
        </w:rPr>
      </w:pPr>
    </w:p>
    <w:p>
      <w:pPr>
        <w:jc w:val="center"/>
        <w:rPr>
          <w:rFonts w:hint="default" w:ascii="方正小标宋简体" w:hAnsi="Times New Roman" w:eastAsia="方正小标宋简体"/>
          <w:sz w:val="48"/>
          <w:lang w:val="zh-CN"/>
        </w:rPr>
      </w:pPr>
      <w:r>
        <w:rPr>
          <w:rFonts w:ascii="方正小标宋简体" w:hAnsi="Times New Roman" w:eastAsia="方正小标宋简体"/>
          <w:sz w:val="48"/>
          <w:lang w:val="zh-CN"/>
        </w:rPr>
        <w:t>天津东疆综合保税区市场监督管理局（行政审批局、政务服务办公室）2022年度部门决算</w:t>
      </w:r>
    </w:p>
    <w:p>
      <w:pPr>
        <w:spacing w:line="580" w:lineRule="exact"/>
        <w:jc w:val="center"/>
        <w:rPr>
          <w:rFonts w:hint="default" w:hAnsi="Times New Roman"/>
          <w:kern w:val="2"/>
          <w:sz w:val="30"/>
        </w:rPr>
      </w:pPr>
    </w:p>
    <w:p>
      <w:pPr>
        <w:spacing w:line="580" w:lineRule="exact"/>
        <w:jc w:val="center"/>
        <w:rPr>
          <w:rFonts w:hint="default" w:hAnsi="Times New Roman"/>
          <w:kern w:val="2"/>
          <w:sz w:val="30"/>
        </w:rPr>
      </w:pPr>
    </w:p>
    <w:p>
      <w:pPr>
        <w:spacing w:line="580" w:lineRule="exact"/>
        <w:jc w:val="center"/>
        <w:rPr>
          <w:rFonts w:hint="default" w:hAnsi="Times New Roman"/>
          <w:kern w:val="2"/>
          <w:sz w:val="30"/>
        </w:rPr>
      </w:pPr>
    </w:p>
    <w:p>
      <w:pPr>
        <w:spacing w:line="580" w:lineRule="exact"/>
        <w:jc w:val="center"/>
        <w:rPr>
          <w:rFonts w:hint="default" w:hAnsi="Times New Roman"/>
          <w:kern w:val="2"/>
          <w:sz w:val="30"/>
        </w:rPr>
      </w:pPr>
    </w:p>
    <w:p>
      <w:pPr>
        <w:spacing w:line="580" w:lineRule="exact"/>
        <w:jc w:val="center"/>
        <w:rPr>
          <w:rFonts w:hint="default" w:hAnsi="Times New Roman"/>
          <w:kern w:val="2"/>
          <w:sz w:val="30"/>
        </w:rPr>
      </w:pPr>
    </w:p>
    <w:p>
      <w:pPr>
        <w:spacing w:line="600" w:lineRule="exact"/>
        <w:jc w:val="center"/>
        <w:rPr>
          <w:rFonts w:hint="default" w:hAnsi="Times New Roman"/>
          <w:sz w:val="44"/>
        </w:rPr>
      </w:pPr>
      <w:r>
        <w:rPr>
          <w:rFonts w:hint="default" w:hAnsi="Times New Roman"/>
          <w:kern w:val="2"/>
          <w:sz w:val="30"/>
        </w:rPr>
        <w:br w:type="page"/>
      </w:r>
    </w:p>
    <w:p>
      <w:pPr>
        <w:spacing w:line="600" w:lineRule="exact"/>
        <w:jc w:val="center"/>
        <w:rPr>
          <w:rFonts w:hint="default" w:hAnsi="Times New Roman"/>
          <w:sz w:val="44"/>
        </w:rPr>
      </w:pPr>
      <w:r>
        <w:rPr>
          <w:rFonts w:hAnsi="Times New Roman"/>
          <w:sz w:val="44"/>
        </w:rPr>
        <w:t>目   录</w:t>
      </w:r>
    </w:p>
    <w:p>
      <w:pPr>
        <w:spacing w:line="600" w:lineRule="exact"/>
        <w:rPr>
          <w:rFonts w:hint="default" w:hAnsi="Times New Roman"/>
          <w:sz w:val="30"/>
        </w:rPr>
      </w:pPr>
    </w:p>
    <w:p>
      <w:pPr>
        <w:tabs>
          <w:tab w:val="right" w:leader="dot" w:pos="8306"/>
        </w:tabs>
        <w:spacing w:line="700" w:lineRule="exact"/>
        <w:rPr>
          <w:rFonts w:hint="default" w:ascii="Times New Roman" w:hAnsi="Times New Roman" w:eastAsia="方正小标宋简体"/>
          <w:sz w:val="30"/>
        </w:rPr>
      </w:pPr>
      <w:r>
        <w:rPr>
          <w:rFonts w:ascii="方正小标宋简体" w:hAnsi="Times New Roman" w:eastAsia="方正小标宋简体"/>
          <w:sz w:val="30"/>
        </w:rPr>
        <w:t>第一部分  概 况</w:t>
      </w:r>
      <w:r>
        <w:rPr>
          <w:rFonts w:hint="default" w:ascii="Times New Roman" w:hAnsi="Times New Roman" w:eastAsia="方正小标宋简体"/>
          <w:sz w:val="30"/>
        </w:rPr>
        <w:tab/>
      </w:r>
      <w:r>
        <w:rPr>
          <w:rFonts w:hint="default" w:ascii="Times New Roman" w:hAnsi="Times New Roman" w:eastAsia="方正小标宋简体"/>
          <w:sz w:val="30"/>
        </w:rPr>
        <w:t>1</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一、主要职责</w:t>
      </w:r>
      <w:r>
        <w:rPr>
          <w:rFonts w:hint="default" w:ascii="Times New Roman" w:hAnsi="Times New Roman" w:eastAsia="仿宋_GB2312"/>
          <w:sz w:val="30"/>
        </w:rPr>
        <w:tab/>
      </w:r>
      <w:r>
        <w:rPr>
          <w:rFonts w:hint="default" w:ascii="Times New Roman" w:hAnsi="Times New Roman" w:eastAsia="仿宋_GB2312"/>
          <w:sz w:val="30"/>
        </w:rPr>
        <w:t>1</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二、机构设置</w:t>
      </w:r>
      <w:r>
        <w:rPr>
          <w:rFonts w:hint="default" w:ascii="Times New Roman" w:hAnsi="Times New Roman" w:eastAsia="仿宋_GB2312"/>
          <w:sz w:val="30"/>
        </w:rPr>
        <w:tab/>
      </w:r>
      <w:r>
        <w:rPr>
          <w:rFonts w:hint="default" w:ascii="Times New Roman" w:hAnsi="Times New Roman" w:eastAsia="仿宋_GB2312"/>
          <w:sz w:val="30"/>
        </w:rPr>
        <w:t>2</w:t>
      </w:r>
    </w:p>
    <w:p>
      <w:pPr>
        <w:tabs>
          <w:tab w:val="right" w:leader="dot" w:pos="8306"/>
        </w:tabs>
        <w:spacing w:line="700" w:lineRule="exact"/>
        <w:rPr>
          <w:rFonts w:hint="default" w:ascii="Times New Roman" w:hAnsi="Times New Roman" w:eastAsia="方正小标宋简体"/>
          <w:sz w:val="30"/>
        </w:rPr>
      </w:pPr>
      <w:r>
        <w:rPr>
          <w:rFonts w:ascii="方正小标宋简体" w:hAnsi="Times New Roman" w:eastAsia="方正小标宋简体"/>
          <w:sz w:val="30"/>
        </w:rPr>
        <w:t>第二部分  2022年度部门决算表</w:t>
      </w:r>
      <w:r>
        <w:rPr>
          <w:rFonts w:hint="default" w:ascii="Times New Roman" w:hAnsi="Times New Roman" w:eastAsia="方正小标宋简体"/>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一、收入支出决算总表</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二、收入决算表（按功能分类列示）</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三、收入决算表（按单位列示）</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四、支出决算表</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五、财政拨款收入支出决算总表</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六、一般公共预算财政拨款支出决算表</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七、一般公共预算财政拨款基本支出决算表</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八、政府性基金预算财政拨款收入支出决算表</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九、国有资本经营预算财政拨款收入支出决算表</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十、一般公共预算财政拨款三公经费支出决算表</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十一、项目支出决算表</w:t>
      </w:r>
      <w:r>
        <w:rPr>
          <w:rFonts w:hint="default" w:ascii="Times New Roman" w:hAnsi="Times New Roman" w:eastAsia="仿宋_GB2312"/>
          <w:sz w:val="30"/>
        </w:rPr>
        <w:tab/>
      </w:r>
      <w:r>
        <w:rPr>
          <w:rFonts w:hint="default" w:ascii="Times New Roman" w:hAnsi="Times New Roman" w:eastAsia="方正小标宋简体"/>
          <w:sz w:val="30"/>
        </w:rPr>
        <w:t>3</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十二、关于空表的说明</w:t>
      </w:r>
      <w:r>
        <w:rPr>
          <w:rFonts w:hint="default" w:ascii="Times New Roman" w:hAnsi="Times New Roman" w:eastAsia="仿宋_GB2312"/>
          <w:sz w:val="30"/>
        </w:rPr>
        <w:tab/>
      </w:r>
      <w:r>
        <w:rPr>
          <w:rFonts w:hint="default" w:ascii="Times New Roman" w:hAnsi="Times New Roman" w:eastAsia="仿宋_GB2312"/>
          <w:sz w:val="30"/>
        </w:rPr>
        <w:t>4</w:t>
      </w:r>
    </w:p>
    <w:p>
      <w:pPr>
        <w:tabs>
          <w:tab w:val="right" w:leader="dot" w:pos="8306"/>
        </w:tabs>
        <w:spacing w:line="700" w:lineRule="exact"/>
        <w:rPr>
          <w:rFonts w:hint="default" w:ascii="Times New Roman" w:hAnsi="Times New Roman" w:eastAsia="方正小标宋简体"/>
          <w:sz w:val="30"/>
        </w:rPr>
      </w:pPr>
      <w:r>
        <w:rPr>
          <w:rFonts w:ascii="方正小标宋简体" w:hAnsi="Times New Roman" w:eastAsia="方正小标宋简体"/>
          <w:sz w:val="30"/>
        </w:rPr>
        <w:t>第三部分  2022年度部门决算情况说明</w:t>
      </w:r>
      <w:r>
        <w:rPr>
          <w:rFonts w:hint="default" w:ascii="Times New Roman" w:hAnsi="Times New Roman" w:eastAsia="方正小标宋简体"/>
          <w:sz w:val="30"/>
        </w:rPr>
        <w:tab/>
      </w:r>
      <w:r>
        <w:rPr>
          <w:rFonts w:hint="default" w:ascii="Times New Roman" w:hAnsi="Times New Roman" w:eastAsia="方正小标宋简体"/>
          <w:sz w:val="30"/>
        </w:rPr>
        <w:t>5</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一、收支决算总体情况说明</w:t>
      </w:r>
      <w:r>
        <w:rPr>
          <w:rFonts w:hint="default" w:ascii="Times New Roman" w:hAnsi="Times New Roman" w:eastAsia="仿宋_GB2312"/>
          <w:sz w:val="30"/>
        </w:rPr>
        <w:tab/>
      </w:r>
      <w:r>
        <w:rPr>
          <w:rFonts w:hint="default" w:ascii="Times New Roman" w:hAnsi="Times New Roman" w:eastAsia="仿宋_GB2312"/>
          <w:sz w:val="30"/>
        </w:rPr>
        <w:t>5</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二、收入决算情况说明</w:t>
      </w:r>
      <w:r>
        <w:rPr>
          <w:rFonts w:hint="default" w:ascii="Times New Roman" w:hAnsi="Times New Roman" w:eastAsia="仿宋_GB2312"/>
          <w:sz w:val="30"/>
        </w:rPr>
        <w:tab/>
      </w:r>
      <w:r>
        <w:rPr>
          <w:rFonts w:hint="default" w:ascii="Times New Roman" w:hAnsi="Times New Roman" w:eastAsia="仿宋_GB2312"/>
          <w:sz w:val="30"/>
        </w:rPr>
        <w:t>5</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三、支出决算情况说明</w:t>
      </w:r>
      <w:r>
        <w:rPr>
          <w:rFonts w:hint="default" w:ascii="Times New Roman" w:hAnsi="Times New Roman" w:eastAsia="仿宋_GB2312"/>
          <w:sz w:val="30"/>
        </w:rPr>
        <w:tab/>
      </w:r>
      <w:r>
        <w:rPr>
          <w:rFonts w:hint="default" w:ascii="Times New Roman" w:hAnsi="Times New Roman" w:eastAsia="仿宋_GB2312"/>
          <w:sz w:val="30"/>
        </w:rPr>
        <w:t>5</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四、财政拨款收支决算总体情况说明</w:t>
      </w:r>
      <w:r>
        <w:rPr>
          <w:rFonts w:hint="default" w:ascii="Times New Roman" w:hAnsi="Times New Roman" w:eastAsia="仿宋_GB2312"/>
          <w:sz w:val="30"/>
        </w:rPr>
        <w:tab/>
      </w:r>
      <w:r>
        <w:rPr>
          <w:rFonts w:hint="default" w:ascii="Times New Roman" w:hAnsi="Times New Roman" w:eastAsia="仿宋_GB2312"/>
          <w:sz w:val="30"/>
        </w:rPr>
        <w:t>6</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五、一般公共预算财政拨款支出决算情况说明</w:t>
      </w:r>
      <w:r>
        <w:rPr>
          <w:rFonts w:hint="default" w:ascii="Times New Roman" w:hAnsi="Times New Roman" w:eastAsia="仿宋_GB2312"/>
          <w:sz w:val="30"/>
        </w:rPr>
        <w:tab/>
      </w:r>
      <w:r>
        <w:rPr>
          <w:rFonts w:hint="default" w:ascii="Times New Roman" w:hAnsi="Times New Roman" w:eastAsia="仿宋_GB2312"/>
          <w:sz w:val="30"/>
        </w:rPr>
        <w:t>6</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六、一般公共预算财政拨款基本支出决算情况说明</w:t>
      </w:r>
      <w:r>
        <w:rPr>
          <w:rFonts w:hint="default" w:ascii="Times New Roman" w:hAnsi="Times New Roman" w:eastAsia="仿宋_GB2312"/>
          <w:sz w:val="30"/>
        </w:rPr>
        <w:tab/>
      </w:r>
      <w:r>
        <w:rPr>
          <w:rFonts w:hint="default" w:ascii="Times New Roman" w:hAnsi="Times New Roman" w:eastAsia="仿宋_GB2312"/>
          <w:sz w:val="30"/>
        </w:rPr>
        <w:t>9</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七、政府性基金预算财政拨款收支决算情况说明</w:t>
      </w:r>
      <w:r>
        <w:rPr>
          <w:rFonts w:hint="default" w:ascii="Times New Roman" w:hAnsi="Times New Roman" w:eastAsia="仿宋_GB2312"/>
          <w:sz w:val="30"/>
        </w:rPr>
        <w:tab/>
      </w:r>
      <w:r>
        <w:rPr>
          <w:rFonts w:hint="default" w:ascii="Times New Roman" w:hAnsi="Times New Roman" w:eastAsia="仿宋_GB2312"/>
          <w:sz w:val="30"/>
        </w:rPr>
        <w:t>10</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八、国有资本经营预算财政拨款收支决算情况说明</w:t>
      </w:r>
      <w:r>
        <w:rPr>
          <w:rFonts w:hint="default" w:ascii="Times New Roman" w:hAnsi="Times New Roman" w:eastAsia="仿宋_GB2312"/>
          <w:sz w:val="30"/>
        </w:rPr>
        <w:tab/>
      </w:r>
      <w:r>
        <w:rPr>
          <w:rFonts w:hint="default" w:ascii="Times New Roman" w:hAnsi="Times New Roman" w:eastAsia="仿宋_GB2312"/>
          <w:sz w:val="30"/>
        </w:rPr>
        <w:t>10</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九、一般公共预算财政拨款三公经费支出决算情况说明</w:t>
      </w:r>
      <w:r>
        <w:rPr>
          <w:rFonts w:hint="default" w:ascii="Times New Roman" w:hAnsi="Times New Roman" w:eastAsia="仿宋_GB2312"/>
          <w:sz w:val="30"/>
        </w:rPr>
        <w:tab/>
      </w:r>
      <w:r>
        <w:rPr>
          <w:rFonts w:hint="default" w:ascii="Times New Roman" w:hAnsi="Times New Roman" w:eastAsia="仿宋_GB2312"/>
          <w:sz w:val="30"/>
        </w:rPr>
        <w:t>10</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十、机关运行经费支出情况说明</w:t>
      </w:r>
      <w:r>
        <w:rPr>
          <w:rFonts w:hint="default" w:ascii="Times New Roman" w:hAnsi="Times New Roman" w:eastAsia="仿宋_GB2312"/>
          <w:sz w:val="30"/>
        </w:rPr>
        <w:tab/>
      </w:r>
      <w:r>
        <w:rPr>
          <w:rFonts w:hint="default" w:ascii="Times New Roman" w:hAnsi="Times New Roman" w:eastAsia="仿宋_GB2312"/>
          <w:sz w:val="30"/>
        </w:rPr>
        <w:t>11</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十一、政府采购支出情况说明</w:t>
      </w:r>
      <w:r>
        <w:rPr>
          <w:rFonts w:hint="default" w:ascii="Times New Roman" w:hAnsi="Times New Roman" w:eastAsia="仿宋_GB2312"/>
          <w:sz w:val="30"/>
        </w:rPr>
        <w:tab/>
      </w:r>
      <w:r>
        <w:rPr>
          <w:rFonts w:hint="default" w:ascii="Times New Roman" w:hAnsi="Times New Roman" w:eastAsia="仿宋_GB2312"/>
          <w:sz w:val="30"/>
        </w:rPr>
        <w:t>12</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十二、国有资产占有使用情况说明</w:t>
      </w:r>
      <w:r>
        <w:rPr>
          <w:rFonts w:hint="default" w:ascii="Times New Roman" w:hAnsi="Times New Roman" w:eastAsia="仿宋_GB2312"/>
          <w:sz w:val="30"/>
        </w:rPr>
        <w:tab/>
      </w:r>
      <w:r>
        <w:rPr>
          <w:rFonts w:hint="default" w:ascii="Times New Roman" w:hAnsi="Times New Roman" w:eastAsia="仿宋_GB2312"/>
          <w:sz w:val="30"/>
        </w:rPr>
        <w:t>12</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十三、预算绩效情况说明</w:t>
      </w:r>
      <w:r>
        <w:rPr>
          <w:rFonts w:hint="default" w:ascii="Times New Roman" w:hAnsi="Times New Roman" w:eastAsia="仿宋_GB2312"/>
          <w:sz w:val="30"/>
        </w:rPr>
        <w:tab/>
      </w:r>
      <w:r>
        <w:rPr>
          <w:rFonts w:hint="default" w:ascii="Times New Roman" w:hAnsi="Times New Roman" w:eastAsia="仿宋_GB2312"/>
          <w:sz w:val="30"/>
        </w:rPr>
        <w:t>12</w:t>
      </w:r>
    </w:p>
    <w:p>
      <w:pPr>
        <w:tabs>
          <w:tab w:val="right" w:leader="dot" w:pos="8306"/>
        </w:tabs>
        <w:spacing w:line="700" w:lineRule="exact"/>
        <w:ind w:left="220"/>
        <w:rPr>
          <w:rFonts w:hint="default" w:ascii="Times New Roman" w:hAnsi="Times New Roman" w:eastAsia="仿宋_GB2312"/>
          <w:sz w:val="30"/>
        </w:rPr>
      </w:pPr>
      <w:r>
        <w:rPr>
          <w:rFonts w:ascii="仿宋_GB2312" w:hAnsi="Times New Roman" w:eastAsia="仿宋_GB2312"/>
          <w:sz w:val="30"/>
        </w:rPr>
        <w:t>十四、教育、医疗卫生、社会保障和就业、住房保障、涉农补贴等民生支出情况说明</w:t>
      </w:r>
      <w:r>
        <w:rPr>
          <w:rFonts w:hint="default" w:ascii="Times New Roman" w:hAnsi="Times New Roman" w:eastAsia="仿宋_GB2312"/>
          <w:sz w:val="30"/>
        </w:rPr>
        <w:tab/>
      </w:r>
      <w:r>
        <w:rPr>
          <w:rFonts w:hint="default" w:ascii="Times New Roman" w:hAnsi="Times New Roman" w:eastAsia="仿宋_GB2312"/>
          <w:sz w:val="30"/>
        </w:rPr>
        <w:t>13</w:t>
      </w:r>
    </w:p>
    <w:p>
      <w:pPr>
        <w:tabs>
          <w:tab w:val="right" w:leader="dot" w:pos="8306"/>
        </w:tabs>
        <w:spacing w:line="700" w:lineRule="exact"/>
        <w:rPr>
          <w:rFonts w:hint="default" w:ascii="Times New Roman" w:hAnsi="Times New Roman" w:eastAsia="方正小标宋简体"/>
          <w:sz w:val="30"/>
        </w:rPr>
      </w:pPr>
      <w:r>
        <w:rPr>
          <w:rFonts w:ascii="方正小标宋简体" w:hAnsi="Times New Roman" w:eastAsia="方正小标宋简体"/>
          <w:sz w:val="30"/>
        </w:rPr>
        <w:t>第四部分  名词解释</w:t>
      </w:r>
      <w:r>
        <w:rPr>
          <w:rFonts w:hint="default" w:ascii="Times New Roman" w:hAnsi="Times New Roman" w:eastAsia="方正小标宋简体"/>
          <w:sz w:val="30"/>
        </w:rPr>
        <w:tab/>
      </w:r>
      <w:r>
        <w:rPr>
          <w:rFonts w:hint="default" w:ascii="Times New Roman" w:hAnsi="Times New Roman" w:eastAsia="方正小标宋简体"/>
          <w:sz w:val="30"/>
        </w:rPr>
        <w:t>14</w:t>
      </w:r>
    </w:p>
    <w:p>
      <w:pPr>
        <w:spacing w:line="700" w:lineRule="exact"/>
        <w:rPr>
          <w:rFonts w:hint="default" w:hAnsi="Times New Roman"/>
          <w:kern w:val="2"/>
          <w:sz w:val="30"/>
          <w:lang w:val="zh-CN"/>
        </w:rPr>
        <w:sectPr>
          <w:pgSz w:w="12240" w:h="15840"/>
          <w:pgMar w:top="1440" w:right="1800" w:bottom="1440" w:left="1800" w:header="720" w:footer="720" w:gutter="0"/>
          <w:cols w:space="720" w:num="1"/>
        </w:sectPr>
      </w:pPr>
    </w:p>
    <w:p>
      <w:pPr>
        <w:pStyle w:val="2"/>
        <w:keepNext/>
        <w:keepLines/>
        <w:spacing w:line="600" w:lineRule="exact"/>
        <w:jc w:val="center"/>
        <w:rPr>
          <w:rFonts w:hint="default" w:ascii="方正小标宋简体" w:hAnsi="Times New Roman" w:eastAsia="方正小标宋简体"/>
          <w:kern w:val="44"/>
          <w:sz w:val="44"/>
        </w:rPr>
      </w:pPr>
      <w:r>
        <w:rPr>
          <w:rFonts w:ascii="方正小标宋简体" w:hAnsi="Times New Roman" w:eastAsia="方正小标宋简体"/>
          <w:kern w:val="44"/>
          <w:sz w:val="44"/>
        </w:rPr>
        <w:t>第一部分  概 况</w:t>
      </w:r>
    </w:p>
    <w:p>
      <w:pPr>
        <w:spacing w:line="600" w:lineRule="exact"/>
        <w:rPr>
          <w:rFonts w:hint="default" w:ascii="Times New Roman" w:hAnsi="Times New Roman" w:eastAsia="方正小标宋简体"/>
        </w:rPr>
      </w:pPr>
    </w:p>
    <w:p>
      <w:pPr>
        <w:pStyle w:val="3"/>
        <w:keepNext/>
        <w:keepLines/>
        <w:spacing w:line="600" w:lineRule="exact"/>
        <w:ind w:firstLine="600"/>
        <w:rPr>
          <w:rFonts w:hint="default" w:hAnsi="Times New Roman"/>
          <w:sz w:val="30"/>
        </w:rPr>
      </w:pPr>
      <w:r>
        <w:rPr>
          <w:rFonts w:hAnsi="Times New Roman"/>
          <w:sz w:val="30"/>
        </w:rPr>
        <w:t>一、主要职责</w:t>
      </w:r>
    </w:p>
    <w:p>
      <w:pPr>
        <w:spacing w:line="600" w:lineRule="exact"/>
        <w:ind w:firstLine="640" w:firstLineChars="200"/>
        <w:rPr>
          <w:rFonts w:hint="default" w:ascii="仿宋_GB2312" w:hAnsi="仿宋" w:eastAsia="仿宋_GB2312"/>
          <w:sz w:val="32"/>
        </w:rPr>
      </w:pPr>
      <w:r>
        <w:rPr>
          <w:rFonts w:ascii="仿宋_GB2312" w:hAnsi="宋体" w:eastAsia="仿宋_GB2312"/>
          <w:sz w:val="32"/>
        </w:rPr>
        <w:t>负责区域市场综合监督管理；负责区域市场主体统一登记注册工作；负责区域市场监管综合执法工作；负责监督管理区域市场秩序；负责区域专利、商标的保护和执法工作，推进企业实施知识产权战略；拟定并组织实施区域质量发展的制度措施，会同有关部门组织重大质量事故调查，组织实施缺陷产品召回制度，监督管理产品防伪工作；负责产品质量安全监督管理工作；负责食品流通和餐饮服务的许可和食品安全监督管理；负责药品零售、医疗器械经营的许可、检查和处罚以及化妆品经营和药品、医疗器械使用环节质量的检查和处罚；负责统一管理计量工作；负责统一管理标准化工作；负责检验检测机构监督管理工作，规范检验检测市场；负责统一管理、监督和综合协调区域认证认可工作。负责管委会政务服务中心“一口受理”工作；负责政务服务标准化工作；负责政务服务平台应用推广工作；负责政务服务中心组织管理、投诉处理、服务协调及系统管理优化工作。负责区域经贸商务、投资项目、广电文化、旅游出版、农林牧副、特种设备的行政许可工作；负责区域优化政务服务、营商环境建设的监督检查、评估工作；承担本部门主管行业、业务的安全生产工作。</w:t>
      </w:r>
    </w:p>
    <w:p>
      <w:pPr>
        <w:pStyle w:val="3"/>
        <w:keepNext/>
        <w:keepLines/>
        <w:spacing w:line="600" w:lineRule="exact"/>
        <w:ind w:firstLine="600"/>
        <w:rPr>
          <w:rFonts w:hint="default" w:hAnsi="Times New Roman"/>
          <w:sz w:val="30"/>
        </w:rPr>
      </w:pPr>
      <w:r>
        <w:rPr>
          <w:rFonts w:hAnsi="Times New Roman"/>
          <w:sz w:val="30"/>
        </w:rPr>
        <w:t>二、机构设置</w:t>
      </w:r>
    </w:p>
    <w:p>
      <w:pPr>
        <w:spacing w:line="600" w:lineRule="exact"/>
        <w:ind w:firstLine="600"/>
        <w:rPr>
          <w:rFonts w:hint="default" w:ascii="Times New Roman" w:hAnsi="Times New Roman" w:eastAsia="仿宋_GB2312"/>
          <w:sz w:val="32"/>
        </w:rPr>
      </w:pPr>
      <w:r>
        <w:rPr>
          <w:rFonts w:ascii="仿宋_GB2312" w:hAnsi="宋体" w:eastAsia="仿宋_GB2312"/>
          <w:sz w:val="32"/>
        </w:rPr>
        <w:t>天津东疆综合保税区市场监督管理局（行政审批局、政务服务办公室）</w:t>
      </w:r>
      <w:r>
        <w:rPr>
          <w:rFonts w:ascii="仿宋_GB2312" w:hAnsi="Times New Roman" w:eastAsia="仿宋_GB2312"/>
          <w:sz w:val="32"/>
        </w:rPr>
        <w:t>部门内设</w:t>
      </w:r>
      <w:r>
        <w:rPr>
          <w:rFonts w:hint="default" w:ascii="Times New Roman" w:hAnsi="Times New Roman" w:eastAsia="仿宋_GB2312"/>
          <w:sz w:val="32"/>
        </w:rPr>
        <w:t>9</w:t>
      </w:r>
      <w:r>
        <w:rPr>
          <w:rFonts w:ascii="仿宋_GB2312" w:hAnsi="Times New Roman" w:eastAsia="仿宋_GB2312"/>
          <w:sz w:val="32"/>
        </w:rPr>
        <w:t>个职能科室；纳入</w:t>
      </w:r>
      <w:r>
        <w:rPr>
          <w:rFonts w:ascii="仿宋_GB2312" w:hAnsi="宋体" w:eastAsia="仿宋_GB2312"/>
          <w:sz w:val="32"/>
        </w:rPr>
        <w:t>天津东疆综合保税区市场监督管理局（行政审批局、政务服务办公室）</w:t>
      </w:r>
      <w:r>
        <w:rPr>
          <w:rFonts w:ascii="仿宋_GB2312" w:hAnsi="Times New Roman" w:eastAsia="仿宋_GB2312"/>
          <w:sz w:val="32"/>
        </w:rPr>
        <w:t>2022年度部门决算编制范围的单位包括：</w:t>
      </w:r>
      <w:r>
        <w:rPr>
          <w:rFonts w:ascii="仿宋_GB2312" w:hAnsi="宋体" w:eastAsia="仿宋_GB2312"/>
          <w:sz w:val="32"/>
        </w:rPr>
        <w:t>天津东疆综合保税区市场监督管理局（行政审批局、政务服务办公室）</w:t>
      </w:r>
      <w:r>
        <w:rPr>
          <w:rFonts w:ascii="仿宋_GB2312" w:hAnsi="Times New Roman" w:eastAsia="仿宋_GB2312"/>
          <w:sz w:val="32"/>
        </w:rPr>
        <w:t>部门本级。</w:t>
      </w:r>
    </w:p>
    <w:p>
      <w:pPr>
        <w:spacing w:line="580" w:lineRule="exact"/>
        <w:ind w:firstLine="600"/>
        <w:rPr>
          <w:rFonts w:hint="default" w:ascii="仿宋_GB2312" w:hAnsi="Times New Roman" w:eastAsia="仿宋_GB2312"/>
          <w:kern w:val="2"/>
          <w:sz w:val="30"/>
          <w:lang w:val="zh-CN"/>
        </w:rPr>
      </w:pPr>
    </w:p>
    <w:p>
      <w:pPr>
        <w:pStyle w:val="2"/>
        <w:keepNext/>
        <w:keepLines/>
        <w:spacing w:line="600" w:lineRule="exact"/>
        <w:jc w:val="both"/>
        <w:rPr>
          <w:rFonts w:hint="default" w:hAnsi="Times New Roman"/>
          <w:kern w:val="2"/>
          <w:sz w:val="30"/>
        </w:rPr>
      </w:pPr>
    </w:p>
    <w:p>
      <w:pPr>
        <w:spacing w:line="360" w:lineRule="atLeast"/>
        <w:jc w:val="center"/>
        <w:rPr>
          <w:rFonts w:hint="default" w:hAnsi="Times New Roman"/>
          <w:kern w:val="2"/>
          <w:sz w:val="30"/>
          <w:lang w:val="zh-CN"/>
        </w:rPr>
      </w:pPr>
    </w:p>
    <w:p>
      <w:pPr>
        <w:spacing w:line="360" w:lineRule="atLeast"/>
        <w:jc w:val="center"/>
        <w:rPr>
          <w:rFonts w:hint="default" w:hAnsi="Times New Roman"/>
          <w:kern w:val="2"/>
          <w:sz w:val="30"/>
          <w:lang w:val="zh-CN"/>
        </w:rPr>
      </w:pPr>
    </w:p>
    <w:p>
      <w:pPr>
        <w:spacing w:line="360" w:lineRule="atLeast"/>
        <w:jc w:val="center"/>
        <w:rPr>
          <w:rFonts w:hint="default" w:hAnsi="Times New Roman"/>
          <w:kern w:val="2"/>
          <w:sz w:val="30"/>
          <w:lang w:val="zh-CN"/>
        </w:rPr>
      </w:pPr>
    </w:p>
    <w:p>
      <w:pPr>
        <w:spacing w:line="360" w:lineRule="atLeast"/>
        <w:jc w:val="center"/>
        <w:rPr>
          <w:rFonts w:hint="default" w:hAnsi="Times New Roman"/>
          <w:kern w:val="2"/>
          <w:sz w:val="30"/>
          <w:lang w:val="zh-CN"/>
        </w:rPr>
      </w:pPr>
    </w:p>
    <w:p>
      <w:pPr>
        <w:spacing w:line="360" w:lineRule="atLeast"/>
        <w:jc w:val="center"/>
        <w:rPr>
          <w:rFonts w:hint="default" w:hAnsi="Times New Roman"/>
          <w:kern w:val="2"/>
          <w:sz w:val="30"/>
          <w:lang w:val="zh-CN"/>
        </w:rPr>
      </w:pPr>
    </w:p>
    <w:p>
      <w:pPr>
        <w:spacing w:line="360" w:lineRule="atLeast"/>
        <w:jc w:val="center"/>
        <w:rPr>
          <w:rFonts w:hint="default" w:hAnsi="Times New Roman"/>
          <w:kern w:val="2"/>
          <w:sz w:val="30"/>
          <w:lang w:val="zh-CN"/>
        </w:rPr>
      </w:pPr>
    </w:p>
    <w:p>
      <w:pPr>
        <w:spacing w:line="360" w:lineRule="atLeast"/>
        <w:jc w:val="center"/>
        <w:rPr>
          <w:rFonts w:hint="default" w:hAnsi="Times New Roman"/>
          <w:kern w:val="2"/>
          <w:sz w:val="30"/>
          <w:lang w:val="zh-CN"/>
        </w:rPr>
      </w:pPr>
    </w:p>
    <w:p>
      <w:pPr>
        <w:spacing w:line="360" w:lineRule="atLeast"/>
        <w:jc w:val="center"/>
        <w:rPr>
          <w:rFonts w:hint="default" w:hAnsi="Times New Roman"/>
          <w:kern w:val="2"/>
          <w:sz w:val="30"/>
          <w:lang w:val="zh-CN"/>
        </w:rPr>
      </w:pPr>
    </w:p>
    <w:p>
      <w:pPr>
        <w:pStyle w:val="2"/>
        <w:keepNext/>
        <w:keepLines/>
        <w:tabs>
          <w:tab w:val="center" w:pos="4320"/>
        </w:tabs>
        <w:spacing w:line="600" w:lineRule="exact"/>
        <w:rPr>
          <w:rFonts w:hint="default" w:ascii="方正小标宋简体" w:hAnsi="Times New Roman" w:eastAsia="方正小标宋简体"/>
          <w:kern w:val="44"/>
          <w:sz w:val="44"/>
        </w:rPr>
      </w:pPr>
      <w:r>
        <w:rPr>
          <w:rFonts w:hint="default" w:ascii="方正小标宋简体" w:hAnsi="Times New Roman" w:eastAsia="方正小标宋简体"/>
          <w:kern w:val="44"/>
          <w:sz w:val="44"/>
        </w:rPr>
        <w:tab/>
      </w:r>
      <w:r>
        <w:rPr>
          <w:rFonts w:ascii="方正小标宋简体" w:hAnsi="Times New Roman" w:eastAsia="方正小标宋简体"/>
          <w:kern w:val="44"/>
          <w:sz w:val="44"/>
        </w:rPr>
        <w:t>第二部分  2022年度部门决算表</w:t>
      </w:r>
    </w:p>
    <w:p>
      <w:pPr>
        <w:pStyle w:val="3"/>
        <w:keepNext/>
        <w:keepLines/>
        <w:spacing w:line="800" w:lineRule="exact"/>
        <w:ind w:firstLine="640" w:firstLineChars="200"/>
        <w:rPr>
          <w:rFonts w:hint="default" w:hAnsi="Times New Roman"/>
          <w:sz w:val="32"/>
        </w:rPr>
      </w:pPr>
      <w:r>
        <w:rPr>
          <w:rFonts w:hAnsi="Times New Roman"/>
          <w:sz w:val="32"/>
        </w:rPr>
        <w:t>一、《收入支出决算总表》</w:t>
      </w:r>
    </w:p>
    <w:p>
      <w:pPr>
        <w:pStyle w:val="3"/>
        <w:keepNext/>
        <w:keepLines/>
        <w:spacing w:line="800" w:lineRule="exact"/>
        <w:ind w:firstLine="600"/>
        <w:rPr>
          <w:rFonts w:hint="default" w:hAnsi="Times New Roman"/>
          <w:sz w:val="32"/>
        </w:rPr>
      </w:pPr>
      <w:r>
        <w:rPr>
          <w:rFonts w:hAnsi="Times New Roman"/>
          <w:sz w:val="32"/>
        </w:rPr>
        <w:t>二、《收入决算表（按功能分类列示）》</w:t>
      </w:r>
    </w:p>
    <w:p>
      <w:pPr>
        <w:pStyle w:val="3"/>
        <w:keepNext/>
        <w:keepLines/>
        <w:spacing w:line="800" w:lineRule="exact"/>
        <w:ind w:firstLine="600"/>
        <w:rPr>
          <w:rFonts w:hint="default" w:hAnsi="Times New Roman"/>
          <w:sz w:val="32"/>
        </w:rPr>
      </w:pPr>
      <w:r>
        <w:rPr>
          <w:rFonts w:hAnsi="Times New Roman"/>
          <w:sz w:val="32"/>
        </w:rPr>
        <w:t>三、《收入决算表（按单位列示）》</w:t>
      </w:r>
    </w:p>
    <w:p>
      <w:pPr>
        <w:pStyle w:val="3"/>
        <w:keepNext/>
        <w:keepLines/>
        <w:spacing w:line="800" w:lineRule="exact"/>
        <w:ind w:firstLine="600"/>
        <w:rPr>
          <w:rFonts w:hint="default" w:hAnsi="Times New Roman"/>
          <w:sz w:val="32"/>
        </w:rPr>
      </w:pPr>
      <w:r>
        <w:rPr>
          <w:rFonts w:hAnsi="Times New Roman"/>
          <w:sz w:val="32"/>
        </w:rPr>
        <w:t>四、《支出决算表》</w:t>
      </w:r>
    </w:p>
    <w:p>
      <w:pPr>
        <w:pStyle w:val="3"/>
        <w:keepNext/>
        <w:keepLines/>
        <w:spacing w:line="800" w:lineRule="exact"/>
        <w:ind w:firstLine="600"/>
        <w:rPr>
          <w:rFonts w:hint="default" w:hAnsi="Times New Roman"/>
          <w:sz w:val="32"/>
        </w:rPr>
      </w:pPr>
      <w:r>
        <w:rPr>
          <w:rFonts w:hAnsi="Times New Roman"/>
          <w:sz w:val="32"/>
        </w:rPr>
        <w:t>五、《财政拨款收入支出决算总表》</w:t>
      </w:r>
    </w:p>
    <w:p>
      <w:pPr>
        <w:pStyle w:val="3"/>
        <w:keepNext/>
        <w:keepLines/>
        <w:spacing w:line="800" w:lineRule="exact"/>
        <w:ind w:firstLine="600"/>
        <w:rPr>
          <w:rFonts w:hint="default" w:hAnsi="Times New Roman"/>
          <w:sz w:val="32"/>
        </w:rPr>
      </w:pPr>
      <w:r>
        <w:rPr>
          <w:rFonts w:hAnsi="Times New Roman"/>
          <w:sz w:val="32"/>
        </w:rPr>
        <w:t>六、《一般公共预算财政拨款支出决算表》</w:t>
      </w:r>
    </w:p>
    <w:p>
      <w:pPr>
        <w:pStyle w:val="3"/>
        <w:keepNext/>
        <w:keepLines/>
        <w:spacing w:line="800" w:lineRule="exact"/>
        <w:ind w:firstLine="600"/>
        <w:rPr>
          <w:rFonts w:hint="default" w:hAnsi="Times New Roman"/>
          <w:sz w:val="32"/>
        </w:rPr>
      </w:pPr>
      <w:r>
        <w:rPr>
          <w:rFonts w:hAnsi="Times New Roman"/>
          <w:sz w:val="32"/>
        </w:rPr>
        <w:t>七、《一般公共预算财政拨款基本支出决算表》</w:t>
      </w:r>
    </w:p>
    <w:p>
      <w:pPr>
        <w:pStyle w:val="3"/>
        <w:keepNext/>
        <w:keepLines/>
        <w:spacing w:line="800" w:lineRule="exact"/>
        <w:ind w:firstLine="600"/>
        <w:rPr>
          <w:rFonts w:hint="default" w:hAnsi="Times New Roman"/>
          <w:sz w:val="32"/>
        </w:rPr>
      </w:pPr>
      <w:r>
        <w:rPr>
          <w:rFonts w:hAnsi="Times New Roman"/>
          <w:sz w:val="32"/>
        </w:rPr>
        <w:t>八、《政府性基金预算财政拨款收入支出决算表》</w:t>
      </w:r>
    </w:p>
    <w:p>
      <w:pPr>
        <w:pStyle w:val="3"/>
        <w:keepNext/>
        <w:keepLines/>
        <w:spacing w:line="800" w:lineRule="exact"/>
        <w:ind w:firstLine="600"/>
        <w:rPr>
          <w:rFonts w:hint="default" w:hAnsi="Times New Roman"/>
          <w:sz w:val="32"/>
        </w:rPr>
      </w:pPr>
      <w:r>
        <w:rPr>
          <w:rFonts w:hAnsi="Times New Roman"/>
          <w:sz w:val="32"/>
        </w:rPr>
        <w:t>九、《国有资本经营预算财政拨款收入支出决算表》</w:t>
      </w:r>
    </w:p>
    <w:p>
      <w:pPr>
        <w:pStyle w:val="3"/>
        <w:keepNext/>
        <w:keepLines/>
        <w:spacing w:line="800" w:lineRule="exact"/>
        <w:ind w:firstLine="600"/>
        <w:rPr>
          <w:rFonts w:hint="default" w:hAnsi="Times New Roman"/>
          <w:sz w:val="32"/>
        </w:rPr>
      </w:pPr>
      <w:r>
        <w:rPr>
          <w:rFonts w:hAnsi="Times New Roman"/>
          <w:sz w:val="32"/>
        </w:rPr>
        <w:t>十、《一般公共预算财政拨款三公经费支出决算表》</w:t>
      </w:r>
    </w:p>
    <w:p>
      <w:pPr>
        <w:pStyle w:val="3"/>
        <w:keepNext/>
        <w:keepLines/>
        <w:spacing w:line="800" w:lineRule="exact"/>
        <w:ind w:firstLine="600"/>
        <w:rPr>
          <w:rFonts w:hint="default" w:hAnsi="Times New Roman"/>
          <w:sz w:val="32"/>
        </w:rPr>
      </w:pPr>
      <w:r>
        <w:rPr>
          <w:rFonts w:hAnsi="Times New Roman"/>
          <w:sz w:val="32"/>
        </w:rPr>
        <w:t>十一、《项目支出决算表》</w:t>
      </w:r>
    </w:p>
    <w:p>
      <w:pPr>
        <w:spacing w:line="800" w:lineRule="exact"/>
        <w:rPr>
          <w:rFonts w:hint="default" w:ascii="楷体" w:hAnsi="Times New Roman" w:eastAsia="楷体"/>
          <w:sz w:val="30"/>
        </w:rPr>
      </w:pPr>
      <w:r>
        <w:rPr>
          <w:rFonts w:ascii="楷体" w:hAnsi="Times New Roman" w:eastAsia="楷体"/>
          <w:sz w:val="30"/>
        </w:rPr>
        <w:t>注：以上决算公开表均作为附表，附于决算公开说明文档后。</w:t>
      </w:r>
    </w:p>
    <w:p>
      <w:pPr>
        <w:spacing w:line="600" w:lineRule="exact"/>
        <w:rPr>
          <w:rFonts w:hint="default" w:hAnsi="Times New Roman"/>
          <w:b/>
          <w:sz w:val="32"/>
        </w:rPr>
      </w:pPr>
      <w:r>
        <w:rPr>
          <w:rFonts w:hint="default" w:ascii="Times New Roman" w:hAnsi="Times New Roman" w:eastAsia="楷体"/>
        </w:rPr>
        <w:br w:type="page"/>
      </w:r>
      <w:r>
        <w:rPr>
          <w:rFonts w:hAnsi="Times New Roman"/>
          <w:b/>
          <w:sz w:val="32"/>
        </w:rPr>
        <w:t>十二、关于空表的说明</w:t>
      </w:r>
    </w:p>
    <w:p>
      <w:pPr>
        <w:spacing w:line="640" w:lineRule="exact"/>
        <w:ind w:firstLine="600"/>
        <w:rPr>
          <w:rFonts w:hint="default" w:ascii="楷体" w:hAnsi="Times New Roman" w:eastAsia="楷体"/>
          <w:sz w:val="30"/>
        </w:rPr>
      </w:pPr>
      <w:r>
        <w:rPr>
          <w:rFonts w:ascii="楷体" w:hAnsi="Times New Roman" w:eastAsia="楷体"/>
          <w:sz w:val="30"/>
        </w:rPr>
        <w:t>1.</w:t>
      </w:r>
      <w:r>
        <w:rPr>
          <w:rFonts w:ascii="仿宋_GB2312" w:hAnsi="宋体" w:eastAsia="仿宋_GB2312"/>
          <w:sz w:val="32"/>
        </w:rPr>
        <w:t>天津东疆综合保税区市场监督管理局（行政审批局、政务服务办公室）2022年度政府性基金预算财政拨款收入支出决算表为空表</w:t>
      </w:r>
      <w:r>
        <w:rPr>
          <w:rFonts w:ascii="楷体" w:hAnsi="Times New Roman" w:eastAsia="楷体"/>
          <w:sz w:val="30"/>
        </w:rPr>
        <w:t>。</w:t>
      </w:r>
    </w:p>
    <w:p>
      <w:pPr>
        <w:spacing w:line="640" w:lineRule="exact"/>
        <w:ind w:firstLine="600"/>
        <w:rPr>
          <w:rFonts w:hint="default" w:ascii="楷体" w:hAnsi="Times New Roman" w:eastAsia="楷体"/>
          <w:sz w:val="30"/>
        </w:rPr>
      </w:pPr>
      <w:r>
        <w:rPr>
          <w:rFonts w:ascii="楷体" w:hAnsi="Times New Roman" w:eastAsia="楷体"/>
          <w:sz w:val="30"/>
        </w:rPr>
        <w:t>2.</w:t>
      </w:r>
      <w:r>
        <w:rPr>
          <w:rFonts w:ascii="仿宋_GB2312" w:hAnsi="宋体" w:eastAsia="仿宋_GB2312"/>
          <w:sz w:val="32"/>
        </w:rPr>
        <w:t>天津东疆综合保税区市场监督管理局（行政审批局、政务服务办公室）2022年度国有资本经营预算财政拨款收入支出决算表为空表</w:t>
      </w:r>
      <w:r>
        <w:rPr>
          <w:rFonts w:ascii="楷体" w:hAnsi="Times New Roman" w:eastAsia="楷体"/>
          <w:sz w:val="30"/>
        </w:rPr>
        <w:t>。</w:t>
      </w: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spacing w:line="640" w:lineRule="exact"/>
        <w:ind w:firstLine="600"/>
        <w:rPr>
          <w:rFonts w:hint="default" w:ascii="楷体" w:hAnsi="Times New Roman" w:eastAsia="楷体"/>
          <w:sz w:val="30"/>
        </w:rPr>
      </w:pPr>
    </w:p>
    <w:p>
      <w:pPr>
        <w:pStyle w:val="2"/>
        <w:keepNext/>
        <w:keepLines/>
        <w:spacing w:line="600" w:lineRule="exact"/>
        <w:jc w:val="center"/>
        <w:rPr>
          <w:rFonts w:hint="default" w:ascii="方正小标宋简体" w:hAnsi="Times New Roman" w:eastAsia="方正小标宋简体"/>
          <w:kern w:val="44"/>
          <w:sz w:val="44"/>
        </w:rPr>
      </w:pPr>
      <w:r>
        <w:rPr>
          <w:rFonts w:ascii="方正小标宋简体" w:hAnsi="Times New Roman" w:eastAsia="方正小标宋简体"/>
          <w:kern w:val="44"/>
          <w:sz w:val="44"/>
        </w:rPr>
        <w:t>第三部分  2022年度部门决算情况说明</w:t>
      </w:r>
    </w:p>
    <w:p>
      <w:pPr>
        <w:spacing w:line="580" w:lineRule="exact"/>
        <w:rPr>
          <w:rFonts w:hint="default" w:hAnsi="Times New Roman"/>
          <w:kern w:val="2"/>
          <w:sz w:val="30"/>
        </w:rPr>
      </w:pPr>
    </w:p>
    <w:p>
      <w:pPr>
        <w:pStyle w:val="3"/>
        <w:keepNext/>
        <w:keepLines/>
        <w:spacing w:line="600" w:lineRule="exact"/>
        <w:ind w:firstLine="602"/>
        <w:rPr>
          <w:rFonts w:hint="default" w:hAnsi="Times New Roman"/>
          <w:b/>
          <w:sz w:val="32"/>
          <w:lang w:val="zh-CN"/>
        </w:rPr>
      </w:pPr>
      <w:r>
        <w:rPr>
          <w:rFonts w:hAnsi="Times New Roman"/>
          <w:b/>
          <w:sz w:val="32"/>
          <w:lang w:val="zh-CN"/>
        </w:rPr>
        <w:t>一、收入支出决算总体情况说明</w:t>
      </w:r>
    </w:p>
    <w:p>
      <w:pPr>
        <w:spacing w:line="580" w:lineRule="exact"/>
        <w:ind w:firstLine="602"/>
        <w:jc w:val="both"/>
        <w:rPr>
          <w:rFonts w:hint="default" w:ascii="仿宋_GB2312" w:hAnsi="Times New Roman" w:eastAsia="仿宋_GB2312"/>
          <w:sz w:val="32"/>
          <w:szCs w:val="32"/>
          <w:lang w:val="zh-CN"/>
        </w:rPr>
      </w:pPr>
      <w:r>
        <w:rPr>
          <w:rFonts w:ascii="仿宋_GB2312" w:hAnsi="Times New Roman" w:eastAsia="仿宋_GB2312"/>
          <w:sz w:val="32"/>
          <w:szCs w:val="32"/>
          <w:lang w:val="zh-CN"/>
        </w:rPr>
        <w:t>天津东疆综合保税区市场监督管理局（行政审批局、政务服务办公室）2022年度收入、支出决算总计</w:t>
      </w:r>
      <w:r>
        <w:rPr>
          <w:rFonts w:ascii="仿宋_GB2312" w:hAnsi="Times New Roman" w:eastAsia="仿宋_GB2312"/>
          <w:kern w:val="2"/>
          <w:sz w:val="32"/>
          <w:szCs w:val="32"/>
          <w:lang w:val="zh-CN"/>
        </w:rPr>
        <w:t>14,655,865.41</w:t>
      </w:r>
      <w:r>
        <w:rPr>
          <w:rFonts w:ascii="仿宋_GB2312" w:hAnsi="Times New Roman" w:eastAsia="仿宋_GB2312"/>
          <w:sz w:val="32"/>
          <w:szCs w:val="32"/>
        </w:rPr>
        <w:t>元，与2021年度相比，收、支总计各</w:t>
      </w:r>
      <w:r>
        <w:rPr>
          <w:rFonts w:ascii="仿宋_GB2312" w:hAnsi="Times New Roman" w:eastAsia="仿宋_GB2312"/>
          <w:kern w:val="2"/>
          <w:sz w:val="32"/>
          <w:szCs w:val="32"/>
        </w:rPr>
        <w:t>增加</w:t>
      </w:r>
      <w:r>
        <w:rPr>
          <w:rFonts w:ascii="仿宋_GB2312" w:hAnsi="Times New Roman" w:eastAsia="仿宋_GB2312"/>
          <w:kern w:val="2"/>
          <w:sz w:val="32"/>
          <w:szCs w:val="32"/>
          <w:lang w:val="zh-CN"/>
        </w:rPr>
        <w:t>14,655,865.41</w:t>
      </w:r>
      <w:r>
        <w:rPr>
          <w:rFonts w:ascii="仿宋_GB2312" w:hAnsi="Times New Roman" w:eastAsia="仿宋_GB2312"/>
          <w:sz w:val="32"/>
          <w:szCs w:val="32"/>
        </w:rPr>
        <w:t>元</w:t>
      </w:r>
      <w:r>
        <w:rPr>
          <w:rFonts w:ascii="仿宋_GB2312" w:hAnsi="Times New Roman" w:eastAsia="仿宋_GB2312"/>
          <w:kern w:val="2"/>
          <w:sz w:val="32"/>
          <w:szCs w:val="32"/>
        </w:rPr>
        <w:t>，增长100.00%，</w:t>
      </w:r>
      <w:r>
        <w:rPr>
          <w:rFonts w:ascii="仿宋_GB2312" w:hAnsi="Times New Roman" w:eastAsia="仿宋_GB2312"/>
          <w:sz w:val="32"/>
          <w:szCs w:val="32"/>
          <w:lang w:val="zh-CN"/>
        </w:rPr>
        <w:t>主要原因是：</w:t>
      </w:r>
      <w:r>
        <w:rPr>
          <w:rFonts w:ascii="仿宋_GB2312" w:hAnsi="仿宋_GB2312" w:eastAsia="仿宋_GB2312"/>
          <w:kern w:val="2"/>
          <w:sz w:val="32"/>
          <w:szCs w:val="32"/>
          <w:lang w:val="zh-CN"/>
        </w:rPr>
        <w:t>2021年我</w:t>
      </w:r>
      <w:r>
        <w:rPr>
          <w:rFonts w:ascii="仿宋_GB2312" w:hAnsi="仿宋_GB2312" w:eastAsia="仿宋_GB2312"/>
          <w:kern w:val="2"/>
          <w:sz w:val="32"/>
          <w:szCs w:val="32"/>
        </w:rPr>
        <w:t>部门</w:t>
      </w:r>
      <w:r>
        <w:rPr>
          <w:rFonts w:ascii="仿宋_GB2312" w:hAnsi="仿宋_GB2312" w:eastAsia="仿宋_GB2312"/>
          <w:kern w:val="2"/>
          <w:sz w:val="32"/>
          <w:szCs w:val="32"/>
          <w:lang w:val="zh-CN"/>
        </w:rPr>
        <w:t>相关收支决算纳入东疆管委会汇总填报，后为进一步加强部门管理，压实部门主体责任，于2022年开始，我</w:t>
      </w:r>
      <w:r>
        <w:rPr>
          <w:rFonts w:ascii="仿宋_GB2312" w:hAnsi="仿宋_GB2312" w:eastAsia="仿宋_GB2312"/>
          <w:kern w:val="2"/>
          <w:sz w:val="32"/>
          <w:szCs w:val="32"/>
        </w:rPr>
        <w:t>部门</w:t>
      </w:r>
      <w:r>
        <w:rPr>
          <w:rFonts w:ascii="仿宋_GB2312" w:hAnsi="仿宋_GB2312" w:eastAsia="仿宋_GB2312"/>
          <w:kern w:val="2"/>
          <w:sz w:val="32"/>
          <w:szCs w:val="32"/>
          <w:lang w:val="zh-CN"/>
        </w:rPr>
        <w:t>作为部门决算编报新增</w:t>
      </w:r>
      <w:r>
        <w:rPr>
          <w:rFonts w:ascii="仿宋_GB2312" w:hAnsi="仿宋_GB2312" w:eastAsia="仿宋_GB2312"/>
          <w:kern w:val="2"/>
          <w:sz w:val="32"/>
          <w:szCs w:val="32"/>
        </w:rPr>
        <w:t>部门</w:t>
      </w:r>
      <w:r>
        <w:rPr>
          <w:rFonts w:ascii="仿宋_GB2312" w:hAnsi="仿宋_GB2312" w:eastAsia="仿宋_GB2312"/>
          <w:kern w:val="2"/>
          <w:sz w:val="32"/>
          <w:szCs w:val="32"/>
          <w:lang w:val="zh-CN"/>
        </w:rPr>
        <w:t>独立编报2022年度部门决算，故2022年决算数据较2021年相比变动较大。</w:t>
      </w:r>
    </w:p>
    <w:p>
      <w:pPr>
        <w:pStyle w:val="3"/>
        <w:keepNext/>
        <w:keepLines/>
        <w:spacing w:line="600" w:lineRule="exact"/>
        <w:ind w:firstLine="602"/>
        <w:rPr>
          <w:rFonts w:hint="default" w:hAnsi="Times New Roman"/>
          <w:b/>
          <w:sz w:val="32"/>
          <w:lang w:val="zh-CN"/>
        </w:rPr>
      </w:pPr>
      <w:r>
        <w:rPr>
          <w:rFonts w:hAnsi="Times New Roman"/>
          <w:b/>
          <w:sz w:val="32"/>
          <w:lang w:val="zh-CN"/>
        </w:rPr>
        <w:t>二、</w:t>
      </w:r>
      <w:r>
        <w:rPr>
          <w:rFonts w:hAnsi="Times New Roman"/>
          <w:b/>
          <w:sz w:val="32"/>
        </w:rPr>
        <w:t>收入决算情况</w:t>
      </w:r>
      <w:r>
        <w:rPr>
          <w:rFonts w:hAnsi="Times New Roman"/>
          <w:b/>
          <w:sz w:val="32"/>
          <w:lang w:val="zh-CN"/>
        </w:rPr>
        <w:t>说明</w:t>
      </w:r>
    </w:p>
    <w:p>
      <w:pPr>
        <w:spacing w:line="600" w:lineRule="exact"/>
        <w:ind w:firstLine="600"/>
        <w:jc w:val="both"/>
        <w:rPr>
          <w:rFonts w:hint="default" w:ascii="仿宋_GB2312" w:hAnsi="Times New Roman" w:eastAsia="仿宋_GB2312"/>
          <w:kern w:val="2"/>
          <w:sz w:val="32"/>
          <w:szCs w:val="32"/>
        </w:rPr>
      </w:pPr>
      <w:r>
        <w:rPr>
          <w:rFonts w:ascii="仿宋_GB2312" w:hAnsi="Times New Roman" w:eastAsia="仿宋_GB2312"/>
          <w:kern w:val="2"/>
          <w:sz w:val="32"/>
          <w:szCs w:val="32"/>
          <w:lang w:val="zh-CN"/>
        </w:rPr>
        <w:t>天津东疆综合保税区市场监督管理局（行政审批局、政务服务办公室）2022年度本年收入合计14,655,865.41</w:t>
      </w:r>
      <w:r>
        <w:rPr>
          <w:rFonts w:ascii="仿宋_GB2312" w:hAnsi="Times New Roman" w:eastAsia="仿宋_GB2312"/>
          <w:kern w:val="2"/>
          <w:sz w:val="32"/>
          <w:szCs w:val="32"/>
        </w:rPr>
        <w:t>元，与2021年度相比增加</w:t>
      </w:r>
      <w:r>
        <w:rPr>
          <w:rFonts w:ascii="仿宋_GB2312" w:hAnsi="Times New Roman" w:eastAsia="仿宋_GB2312"/>
          <w:kern w:val="2"/>
          <w:sz w:val="32"/>
          <w:szCs w:val="32"/>
          <w:lang w:val="zh-CN"/>
        </w:rPr>
        <w:t>14,655,865.41</w:t>
      </w:r>
      <w:r>
        <w:rPr>
          <w:rFonts w:ascii="仿宋_GB2312" w:hAnsi="Times New Roman" w:eastAsia="仿宋_GB2312"/>
          <w:sz w:val="32"/>
          <w:szCs w:val="32"/>
        </w:rPr>
        <w:t>元</w:t>
      </w:r>
      <w:r>
        <w:rPr>
          <w:rFonts w:ascii="仿宋_GB2312" w:hAnsi="Times New Roman" w:eastAsia="仿宋_GB2312"/>
          <w:kern w:val="2"/>
          <w:sz w:val="32"/>
          <w:szCs w:val="32"/>
        </w:rPr>
        <w:t>，</w:t>
      </w:r>
      <w:r>
        <w:rPr>
          <w:rFonts w:ascii="仿宋_GB2312" w:hAnsi="Times New Roman" w:eastAsia="仿宋_GB2312"/>
          <w:sz w:val="32"/>
          <w:szCs w:val="32"/>
          <w:lang w:val="zh-CN"/>
        </w:rPr>
        <w:t>主要原因是：</w:t>
      </w:r>
      <w:r>
        <w:rPr>
          <w:rFonts w:ascii="仿宋_GB2312" w:hAnsi="仿宋_GB2312" w:eastAsia="仿宋_GB2312"/>
          <w:kern w:val="2"/>
          <w:sz w:val="32"/>
          <w:szCs w:val="32"/>
          <w:lang w:val="zh-CN"/>
        </w:rPr>
        <w:t>2021年我</w:t>
      </w:r>
      <w:r>
        <w:rPr>
          <w:rFonts w:ascii="仿宋_GB2312" w:hAnsi="仿宋_GB2312" w:eastAsia="仿宋_GB2312"/>
          <w:kern w:val="2"/>
          <w:sz w:val="32"/>
          <w:szCs w:val="32"/>
        </w:rPr>
        <w:t>部门</w:t>
      </w:r>
      <w:r>
        <w:rPr>
          <w:rFonts w:ascii="仿宋_GB2312" w:hAnsi="仿宋_GB2312" w:eastAsia="仿宋_GB2312"/>
          <w:kern w:val="2"/>
          <w:sz w:val="32"/>
          <w:szCs w:val="32"/>
          <w:lang w:val="zh-CN"/>
        </w:rPr>
        <w:t>相关收支决算纳入东疆管委会汇总填报，后为进一步加强部门管理，压实部门主体责任，于2022年开始，我</w:t>
      </w:r>
      <w:r>
        <w:rPr>
          <w:rFonts w:ascii="仿宋_GB2312" w:hAnsi="仿宋_GB2312" w:eastAsia="仿宋_GB2312"/>
          <w:kern w:val="2"/>
          <w:sz w:val="32"/>
          <w:szCs w:val="32"/>
        </w:rPr>
        <w:t>部门</w:t>
      </w:r>
      <w:r>
        <w:rPr>
          <w:rFonts w:ascii="仿宋_GB2312" w:hAnsi="仿宋_GB2312" w:eastAsia="仿宋_GB2312"/>
          <w:kern w:val="2"/>
          <w:sz w:val="32"/>
          <w:szCs w:val="32"/>
          <w:lang w:val="zh-CN"/>
        </w:rPr>
        <w:t>作为部门决算编报新增</w:t>
      </w:r>
      <w:r>
        <w:rPr>
          <w:rFonts w:ascii="仿宋_GB2312" w:hAnsi="仿宋_GB2312" w:eastAsia="仿宋_GB2312"/>
          <w:kern w:val="2"/>
          <w:sz w:val="32"/>
          <w:szCs w:val="32"/>
        </w:rPr>
        <w:t>部门</w:t>
      </w:r>
      <w:r>
        <w:rPr>
          <w:rFonts w:ascii="仿宋_GB2312" w:hAnsi="仿宋_GB2312" w:eastAsia="仿宋_GB2312"/>
          <w:kern w:val="2"/>
          <w:sz w:val="32"/>
          <w:szCs w:val="32"/>
          <w:lang w:val="zh-CN"/>
        </w:rPr>
        <w:t>独立编报2022年度部门决算，故2022年决算数据较2021年相比变动较大。</w:t>
      </w:r>
      <w:r>
        <w:rPr>
          <w:rFonts w:ascii="仿宋_GB2312" w:hAnsi="Times New Roman" w:eastAsia="仿宋_GB2312"/>
          <w:kern w:val="2"/>
          <w:sz w:val="32"/>
          <w:szCs w:val="32"/>
        </w:rPr>
        <w:t>其中：</w:t>
      </w:r>
      <w:r>
        <w:rPr>
          <w:rFonts w:ascii="仿宋_GB2312" w:hAnsi="Times New Roman" w:eastAsia="仿宋_GB2312"/>
          <w:kern w:val="2"/>
          <w:sz w:val="32"/>
          <w:szCs w:val="32"/>
          <w:lang w:val="zh-CN"/>
        </w:rPr>
        <w:t>一般公共预算财政拨款收入14,655,865.41元，占100.00%。</w:t>
      </w:r>
    </w:p>
    <w:p>
      <w:pPr>
        <w:pStyle w:val="3"/>
        <w:keepNext/>
        <w:keepLines/>
        <w:spacing w:line="600" w:lineRule="exact"/>
        <w:ind w:firstLine="602"/>
        <w:rPr>
          <w:rFonts w:hint="default" w:hAnsi="Times New Roman"/>
          <w:b/>
          <w:sz w:val="32"/>
        </w:rPr>
      </w:pPr>
      <w:r>
        <w:rPr>
          <w:rFonts w:hAnsi="Times New Roman"/>
          <w:b/>
          <w:sz w:val="32"/>
          <w:lang w:val="zh-CN"/>
        </w:rPr>
        <w:t>三、支出</w:t>
      </w:r>
      <w:r>
        <w:rPr>
          <w:rFonts w:hAnsi="Times New Roman"/>
          <w:b/>
          <w:sz w:val="32"/>
        </w:rPr>
        <w:t>决算情况说明</w:t>
      </w:r>
    </w:p>
    <w:p>
      <w:pPr>
        <w:spacing w:line="580" w:lineRule="exact"/>
        <w:ind w:firstLine="600"/>
        <w:jc w:val="both"/>
        <w:rPr>
          <w:rFonts w:hint="default" w:ascii="仿宋_GB2312" w:hAnsi="Times New Roman" w:eastAsia="仿宋_GB2312"/>
          <w:kern w:val="2"/>
          <w:sz w:val="32"/>
          <w:szCs w:val="32"/>
        </w:rPr>
      </w:pPr>
      <w:r>
        <w:rPr>
          <w:rFonts w:ascii="仿宋_GB2312" w:hAnsi="Times New Roman" w:eastAsia="仿宋_GB2312"/>
          <w:kern w:val="2"/>
          <w:sz w:val="32"/>
          <w:szCs w:val="32"/>
        </w:rPr>
        <w:t>天津东疆综合保税区市场监督管理局（行政审批局、政务服务办公室）2022年度本年支出合计14,655,865.41元，与2021年度相比增加</w:t>
      </w:r>
      <w:r>
        <w:rPr>
          <w:rFonts w:ascii="仿宋_GB2312" w:hAnsi="Times New Roman" w:eastAsia="仿宋_GB2312"/>
          <w:kern w:val="2"/>
          <w:sz w:val="32"/>
          <w:szCs w:val="32"/>
          <w:lang w:val="zh-CN"/>
        </w:rPr>
        <w:t>14,655,865.41</w:t>
      </w:r>
      <w:r>
        <w:rPr>
          <w:rFonts w:ascii="仿宋_GB2312" w:hAnsi="Times New Roman" w:eastAsia="仿宋_GB2312"/>
          <w:sz w:val="32"/>
          <w:szCs w:val="32"/>
        </w:rPr>
        <w:t>元</w:t>
      </w:r>
      <w:r>
        <w:rPr>
          <w:rFonts w:ascii="仿宋_GB2312" w:hAnsi="Times New Roman" w:eastAsia="仿宋_GB2312"/>
          <w:kern w:val="2"/>
          <w:sz w:val="32"/>
          <w:szCs w:val="32"/>
        </w:rPr>
        <w:t>，</w:t>
      </w:r>
      <w:r>
        <w:rPr>
          <w:rFonts w:ascii="仿宋_GB2312" w:hAnsi="Times New Roman" w:eastAsia="仿宋_GB2312"/>
          <w:sz w:val="32"/>
          <w:szCs w:val="32"/>
          <w:lang w:val="zh-CN"/>
        </w:rPr>
        <w:t>主要原因是：</w:t>
      </w:r>
      <w:r>
        <w:rPr>
          <w:rFonts w:ascii="仿宋_GB2312" w:hAnsi="仿宋_GB2312" w:eastAsia="仿宋_GB2312"/>
          <w:kern w:val="2"/>
          <w:sz w:val="32"/>
          <w:szCs w:val="32"/>
          <w:lang w:val="zh-CN"/>
        </w:rPr>
        <w:t>2021年我</w:t>
      </w:r>
      <w:r>
        <w:rPr>
          <w:rFonts w:ascii="仿宋_GB2312" w:hAnsi="仿宋_GB2312" w:eastAsia="仿宋_GB2312"/>
          <w:kern w:val="2"/>
          <w:sz w:val="32"/>
          <w:szCs w:val="32"/>
        </w:rPr>
        <w:t>部门</w:t>
      </w:r>
      <w:r>
        <w:rPr>
          <w:rFonts w:ascii="仿宋_GB2312" w:hAnsi="仿宋_GB2312" w:eastAsia="仿宋_GB2312"/>
          <w:kern w:val="2"/>
          <w:sz w:val="32"/>
          <w:szCs w:val="32"/>
          <w:lang w:val="zh-CN"/>
        </w:rPr>
        <w:t>相关收支决算纳入东疆管委会汇总填报，后为进一步加强部门管理，压实部门主体责任，于2022年开始，我</w:t>
      </w:r>
      <w:r>
        <w:rPr>
          <w:rFonts w:ascii="仿宋_GB2312" w:hAnsi="仿宋_GB2312" w:eastAsia="仿宋_GB2312"/>
          <w:kern w:val="2"/>
          <w:sz w:val="32"/>
          <w:szCs w:val="32"/>
        </w:rPr>
        <w:t>部门</w:t>
      </w:r>
      <w:r>
        <w:rPr>
          <w:rFonts w:ascii="仿宋_GB2312" w:hAnsi="仿宋_GB2312" w:eastAsia="仿宋_GB2312"/>
          <w:kern w:val="2"/>
          <w:sz w:val="32"/>
          <w:szCs w:val="32"/>
          <w:lang w:val="zh-CN"/>
        </w:rPr>
        <w:t>作为部门决算编报新增</w:t>
      </w:r>
      <w:r>
        <w:rPr>
          <w:rFonts w:ascii="仿宋_GB2312" w:hAnsi="仿宋_GB2312" w:eastAsia="仿宋_GB2312"/>
          <w:kern w:val="2"/>
          <w:sz w:val="32"/>
          <w:szCs w:val="32"/>
        </w:rPr>
        <w:t>部门</w:t>
      </w:r>
      <w:r>
        <w:rPr>
          <w:rFonts w:ascii="仿宋_GB2312" w:hAnsi="仿宋_GB2312" w:eastAsia="仿宋_GB2312"/>
          <w:kern w:val="2"/>
          <w:sz w:val="32"/>
          <w:szCs w:val="32"/>
          <w:lang w:val="zh-CN"/>
        </w:rPr>
        <w:t>独立编报2022年度部门决算，故2022年决算数据较2021年相比变动较大。</w:t>
      </w:r>
      <w:r>
        <w:rPr>
          <w:rFonts w:ascii="仿宋_GB2312" w:hAnsi="Times New Roman" w:eastAsia="仿宋_GB2312"/>
          <w:kern w:val="2"/>
          <w:sz w:val="32"/>
          <w:szCs w:val="32"/>
        </w:rPr>
        <w:t>其中：</w:t>
      </w:r>
      <w:r>
        <w:rPr>
          <w:rFonts w:ascii="仿宋_GB2312" w:hAnsi="Times New Roman" w:eastAsia="仿宋_GB2312"/>
          <w:kern w:val="2"/>
          <w:sz w:val="32"/>
          <w:szCs w:val="32"/>
          <w:lang w:val="zh-CN"/>
        </w:rPr>
        <w:t>基本支出8,941,564.82元，占61.01%；项目支出5,714,300.59元，占38.99%。</w:t>
      </w:r>
    </w:p>
    <w:p>
      <w:pPr>
        <w:pStyle w:val="3"/>
        <w:keepNext/>
        <w:keepLines/>
        <w:spacing w:line="600" w:lineRule="exact"/>
        <w:ind w:firstLine="602"/>
        <w:rPr>
          <w:rFonts w:hint="default" w:hAnsi="Times New Roman"/>
          <w:b/>
          <w:sz w:val="32"/>
          <w:lang w:val="zh-CN"/>
        </w:rPr>
      </w:pPr>
      <w:r>
        <w:rPr>
          <w:rFonts w:hAnsi="Times New Roman"/>
          <w:b/>
          <w:sz w:val="32"/>
          <w:lang w:val="zh-CN"/>
        </w:rPr>
        <w:t>四、财政拨款收支决算总体情况说明</w:t>
      </w:r>
    </w:p>
    <w:p>
      <w:pPr>
        <w:spacing w:line="580" w:lineRule="exact"/>
        <w:ind w:firstLine="600"/>
        <w:jc w:val="both"/>
        <w:rPr>
          <w:rFonts w:hint="default" w:ascii="仿宋_GB2312" w:hAnsi="Times New Roman" w:eastAsia="仿宋_GB2312"/>
          <w:kern w:val="2"/>
          <w:sz w:val="32"/>
          <w:szCs w:val="32"/>
        </w:rPr>
      </w:pPr>
      <w:r>
        <w:rPr>
          <w:rFonts w:ascii="仿宋_GB2312" w:hAnsi="Times New Roman" w:eastAsia="仿宋_GB2312"/>
          <w:kern w:val="2"/>
          <w:sz w:val="32"/>
          <w:szCs w:val="32"/>
        </w:rPr>
        <w:t>天津东疆综合保税区市场监督管理局（行政审批局、政务服务办公室）2022年度财政拨款收入、支出决算总计</w:t>
      </w:r>
      <w:r>
        <w:rPr>
          <w:rFonts w:ascii="仿宋_GB2312" w:hAnsi="Times New Roman" w:eastAsia="仿宋_GB2312"/>
          <w:kern w:val="2"/>
          <w:sz w:val="32"/>
          <w:szCs w:val="32"/>
          <w:lang w:val="zh-CN"/>
        </w:rPr>
        <w:t>14,655,865.41</w:t>
      </w:r>
      <w:r>
        <w:rPr>
          <w:rFonts w:ascii="仿宋_GB2312" w:hAnsi="Times New Roman" w:eastAsia="仿宋_GB2312"/>
          <w:kern w:val="2"/>
          <w:sz w:val="32"/>
          <w:szCs w:val="32"/>
        </w:rPr>
        <w:t>元，与2021年度相比，财政拨款收、支总计各增加</w:t>
      </w:r>
      <w:r>
        <w:rPr>
          <w:rFonts w:ascii="仿宋_GB2312" w:hAnsi="Times New Roman" w:eastAsia="仿宋_GB2312"/>
          <w:kern w:val="2"/>
          <w:sz w:val="32"/>
          <w:szCs w:val="32"/>
          <w:lang w:val="zh-CN"/>
        </w:rPr>
        <w:t>14,655,865.41</w:t>
      </w:r>
      <w:r>
        <w:rPr>
          <w:rFonts w:ascii="仿宋_GB2312" w:hAnsi="Times New Roman" w:eastAsia="仿宋_GB2312"/>
          <w:sz w:val="32"/>
          <w:szCs w:val="32"/>
        </w:rPr>
        <w:t>元</w:t>
      </w:r>
      <w:r>
        <w:rPr>
          <w:rFonts w:ascii="仿宋_GB2312" w:hAnsi="Times New Roman" w:eastAsia="仿宋_GB2312"/>
          <w:kern w:val="2"/>
          <w:sz w:val="32"/>
          <w:szCs w:val="32"/>
        </w:rPr>
        <w:t>，增长100.00%，</w:t>
      </w:r>
      <w:r>
        <w:rPr>
          <w:rFonts w:ascii="仿宋_GB2312" w:hAnsi="Times New Roman" w:eastAsia="仿宋_GB2312"/>
          <w:sz w:val="32"/>
          <w:szCs w:val="32"/>
          <w:lang w:val="zh-CN"/>
        </w:rPr>
        <w:t>主要原因是：</w:t>
      </w:r>
      <w:r>
        <w:rPr>
          <w:rFonts w:ascii="仿宋_GB2312" w:hAnsi="仿宋_GB2312" w:eastAsia="仿宋_GB2312"/>
          <w:kern w:val="2"/>
          <w:sz w:val="32"/>
          <w:szCs w:val="32"/>
          <w:lang w:val="zh-CN"/>
        </w:rPr>
        <w:t>2021年我</w:t>
      </w:r>
      <w:r>
        <w:rPr>
          <w:rFonts w:ascii="仿宋_GB2312" w:hAnsi="仿宋_GB2312" w:eastAsia="仿宋_GB2312"/>
          <w:kern w:val="2"/>
          <w:sz w:val="32"/>
          <w:szCs w:val="32"/>
        </w:rPr>
        <w:t>部门</w:t>
      </w:r>
      <w:r>
        <w:rPr>
          <w:rFonts w:ascii="仿宋_GB2312" w:hAnsi="仿宋_GB2312" w:eastAsia="仿宋_GB2312"/>
          <w:kern w:val="2"/>
          <w:sz w:val="32"/>
          <w:szCs w:val="32"/>
          <w:lang w:val="zh-CN"/>
        </w:rPr>
        <w:t>相关收支决算纳入东疆管委会汇总填报，后为进一步加强部门管理，压实部门主体责任，于2022年开始，我</w:t>
      </w:r>
      <w:r>
        <w:rPr>
          <w:rFonts w:ascii="仿宋_GB2312" w:hAnsi="仿宋_GB2312" w:eastAsia="仿宋_GB2312"/>
          <w:kern w:val="2"/>
          <w:sz w:val="32"/>
          <w:szCs w:val="32"/>
        </w:rPr>
        <w:t>部门</w:t>
      </w:r>
      <w:r>
        <w:rPr>
          <w:rFonts w:ascii="仿宋_GB2312" w:hAnsi="仿宋_GB2312" w:eastAsia="仿宋_GB2312"/>
          <w:kern w:val="2"/>
          <w:sz w:val="32"/>
          <w:szCs w:val="32"/>
          <w:lang w:val="zh-CN"/>
        </w:rPr>
        <w:t>作为部门决算编报新增</w:t>
      </w:r>
      <w:r>
        <w:rPr>
          <w:rFonts w:ascii="仿宋_GB2312" w:hAnsi="仿宋_GB2312" w:eastAsia="仿宋_GB2312"/>
          <w:kern w:val="2"/>
          <w:sz w:val="32"/>
          <w:szCs w:val="32"/>
        </w:rPr>
        <w:t>部门</w:t>
      </w:r>
      <w:r>
        <w:rPr>
          <w:rFonts w:ascii="仿宋_GB2312" w:hAnsi="仿宋_GB2312" w:eastAsia="仿宋_GB2312"/>
          <w:kern w:val="2"/>
          <w:sz w:val="32"/>
          <w:szCs w:val="32"/>
          <w:lang w:val="zh-CN"/>
        </w:rPr>
        <w:t>独立编报2022年度部门决算，故2022年决算数据较2021年相比变动较大。</w:t>
      </w:r>
    </w:p>
    <w:p>
      <w:pPr>
        <w:pStyle w:val="3"/>
        <w:keepNext/>
        <w:keepLines/>
        <w:spacing w:line="600" w:lineRule="exact"/>
        <w:ind w:firstLine="602"/>
        <w:rPr>
          <w:rFonts w:hint="default" w:hAnsi="Times New Roman"/>
          <w:b/>
          <w:sz w:val="32"/>
        </w:rPr>
      </w:pPr>
      <w:r>
        <w:rPr>
          <w:rFonts w:hAnsi="Times New Roman"/>
          <w:b/>
          <w:sz w:val="32"/>
        </w:rPr>
        <w:t>五、一般公共预算财政拨款支出决算情况说明</w:t>
      </w:r>
    </w:p>
    <w:p>
      <w:pPr>
        <w:spacing w:line="600" w:lineRule="exact"/>
        <w:ind w:left="480"/>
        <w:rPr>
          <w:rFonts w:hint="default" w:ascii="楷体" w:hAnsi="Times New Roman" w:eastAsia="楷体"/>
          <w:b/>
          <w:sz w:val="32"/>
        </w:rPr>
      </w:pPr>
      <w:r>
        <w:rPr>
          <w:rFonts w:ascii="楷体" w:hAnsi="Times New Roman" w:eastAsia="楷体"/>
          <w:b/>
          <w:sz w:val="32"/>
        </w:rPr>
        <w:t>（一）总体情况</w:t>
      </w:r>
    </w:p>
    <w:p>
      <w:pPr>
        <w:spacing w:line="580" w:lineRule="exact"/>
        <w:ind w:firstLine="600"/>
        <w:jc w:val="both"/>
        <w:rPr>
          <w:rFonts w:hint="default" w:ascii="仿宋_GB2312" w:hAnsi="Times New Roman" w:eastAsia="仿宋_GB2312"/>
          <w:sz w:val="32"/>
          <w:szCs w:val="32"/>
        </w:rPr>
      </w:pPr>
      <w:r>
        <w:rPr>
          <w:rFonts w:ascii="仿宋_GB2312" w:hAnsi="Times New Roman" w:eastAsia="仿宋_GB2312"/>
          <w:kern w:val="2"/>
          <w:sz w:val="32"/>
          <w:szCs w:val="32"/>
        </w:rPr>
        <w:t>天津东疆综合保税区市场监督管理局（行政审批局、政务服务办公室）2022年度部门决算一般公共预算财政拨款支出</w:t>
      </w:r>
      <w:r>
        <w:rPr>
          <w:rFonts w:ascii="仿宋_GB2312" w:hAnsi="Times New Roman" w:eastAsia="仿宋_GB2312"/>
          <w:kern w:val="2"/>
          <w:sz w:val="32"/>
          <w:szCs w:val="32"/>
          <w:lang w:val="zh-CN"/>
        </w:rPr>
        <w:t>合</w:t>
      </w:r>
      <w:r>
        <w:rPr>
          <w:rFonts w:ascii="仿宋_GB2312" w:hAnsi="Times New Roman" w:eastAsia="仿宋_GB2312"/>
          <w:kern w:val="2"/>
          <w:sz w:val="32"/>
          <w:szCs w:val="32"/>
        </w:rPr>
        <w:t>计14,655,865.41元，占本年支出合计的100.00%，与2021年度相比，增加</w:t>
      </w:r>
      <w:r>
        <w:rPr>
          <w:rFonts w:ascii="仿宋_GB2312" w:hAnsi="Times New Roman" w:eastAsia="仿宋_GB2312"/>
          <w:kern w:val="2"/>
          <w:sz w:val="32"/>
          <w:szCs w:val="32"/>
          <w:lang w:val="zh-CN"/>
        </w:rPr>
        <w:t>14,655,865.41</w:t>
      </w:r>
      <w:r>
        <w:rPr>
          <w:rFonts w:ascii="仿宋_GB2312" w:hAnsi="Times New Roman" w:eastAsia="仿宋_GB2312"/>
          <w:sz w:val="32"/>
          <w:szCs w:val="32"/>
        </w:rPr>
        <w:t>元</w:t>
      </w:r>
      <w:r>
        <w:rPr>
          <w:rFonts w:ascii="仿宋_GB2312" w:hAnsi="Times New Roman" w:eastAsia="仿宋_GB2312"/>
          <w:kern w:val="2"/>
          <w:sz w:val="32"/>
          <w:szCs w:val="32"/>
        </w:rPr>
        <w:t>，增长100.00%，</w:t>
      </w:r>
      <w:r>
        <w:rPr>
          <w:rFonts w:ascii="仿宋_GB2312" w:hAnsi="Times New Roman" w:eastAsia="仿宋_GB2312"/>
          <w:sz w:val="32"/>
          <w:szCs w:val="32"/>
          <w:lang w:val="zh-CN"/>
        </w:rPr>
        <w:t>主要原因是：</w:t>
      </w:r>
      <w:r>
        <w:rPr>
          <w:rFonts w:ascii="仿宋_GB2312" w:hAnsi="仿宋_GB2312" w:eastAsia="仿宋_GB2312"/>
          <w:kern w:val="2"/>
          <w:sz w:val="32"/>
          <w:szCs w:val="32"/>
          <w:lang w:val="zh-CN"/>
        </w:rPr>
        <w:t>2021年我</w:t>
      </w:r>
      <w:r>
        <w:rPr>
          <w:rFonts w:ascii="仿宋_GB2312" w:hAnsi="仿宋_GB2312" w:eastAsia="仿宋_GB2312"/>
          <w:kern w:val="2"/>
          <w:sz w:val="32"/>
          <w:szCs w:val="32"/>
        </w:rPr>
        <w:t>部门</w:t>
      </w:r>
      <w:r>
        <w:rPr>
          <w:rFonts w:ascii="仿宋_GB2312" w:hAnsi="仿宋_GB2312" w:eastAsia="仿宋_GB2312"/>
          <w:kern w:val="2"/>
          <w:sz w:val="32"/>
          <w:szCs w:val="32"/>
          <w:lang w:val="zh-CN"/>
        </w:rPr>
        <w:t>相关收支决算纳入东疆管委会汇总填报，后为进一步加强部门管理，压实部门主体责任，于2022年开始，我</w:t>
      </w:r>
      <w:r>
        <w:rPr>
          <w:rFonts w:ascii="仿宋_GB2312" w:hAnsi="仿宋_GB2312" w:eastAsia="仿宋_GB2312"/>
          <w:kern w:val="2"/>
          <w:sz w:val="32"/>
          <w:szCs w:val="32"/>
        </w:rPr>
        <w:t>部门</w:t>
      </w:r>
      <w:r>
        <w:rPr>
          <w:rFonts w:ascii="仿宋_GB2312" w:hAnsi="仿宋_GB2312" w:eastAsia="仿宋_GB2312"/>
          <w:kern w:val="2"/>
          <w:sz w:val="32"/>
          <w:szCs w:val="32"/>
          <w:lang w:val="zh-CN"/>
        </w:rPr>
        <w:t>作为部门决算编报新增</w:t>
      </w:r>
      <w:r>
        <w:rPr>
          <w:rFonts w:ascii="仿宋_GB2312" w:hAnsi="仿宋_GB2312" w:eastAsia="仿宋_GB2312"/>
          <w:kern w:val="2"/>
          <w:sz w:val="32"/>
          <w:szCs w:val="32"/>
        </w:rPr>
        <w:t>部门</w:t>
      </w:r>
      <w:r>
        <w:rPr>
          <w:rFonts w:ascii="仿宋_GB2312" w:hAnsi="仿宋_GB2312" w:eastAsia="仿宋_GB2312"/>
          <w:kern w:val="2"/>
          <w:sz w:val="32"/>
          <w:szCs w:val="32"/>
          <w:lang w:val="zh-CN"/>
        </w:rPr>
        <w:t>独立编报2022年度部门决算，故2022年决算数据较2021年相比变动较大。</w:t>
      </w:r>
    </w:p>
    <w:p>
      <w:pPr>
        <w:spacing w:line="600" w:lineRule="exact"/>
        <w:ind w:left="480"/>
        <w:rPr>
          <w:rFonts w:hint="default" w:ascii="楷体" w:hAnsi="Times New Roman" w:eastAsia="楷体"/>
          <w:b/>
          <w:sz w:val="32"/>
        </w:rPr>
      </w:pPr>
      <w:r>
        <w:rPr>
          <w:rFonts w:ascii="楷体" w:hAnsi="Times New Roman" w:eastAsia="楷体"/>
          <w:b/>
          <w:sz w:val="32"/>
        </w:rPr>
        <w:t>（二）</w:t>
      </w:r>
      <w:r>
        <w:rPr>
          <w:rFonts w:ascii="楷体" w:hAnsi="Times New Roman" w:eastAsia="楷体"/>
          <w:b/>
          <w:sz w:val="32"/>
          <w:lang w:val="zh-CN"/>
        </w:rPr>
        <w:t>支出结构</w:t>
      </w:r>
      <w:r>
        <w:rPr>
          <w:rFonts w:ascii="楷体" w:hAnsi="Times New Roman" w:eastAsia="楷体"/>
          <w:b/>
          <w:sz w:val="32"/>
        </w:rPr>
        <w:t>情况</w:t>
      </w:r>
    </w:p>
    <w:p>
      <w:pPr>
        <w:spacing w:line="600" w:lineRule="exact"/>
        <w:ind w:firstLine="720"/>
        <w:jc w:val="both"/>
        <w:rPr>
          <w:rFonts w:hint="default" w:ascii="仿宋_GB2312" w:hAnsi="Times New Roman" w:eastAsia="仿宋_GB2312"/>
          <w:kern w:val="2"/>
          <w:sz w:val="32"/>
          <w:lang w:val="zh-CN"/>
        </w:rPr>
      </w:pPr>
      <w:r>
        <w:rPr>
          <w:rFonts w:ascii="仿宋_GB2312" w:hAnsi="Times New Roman" w:eastAsia="仿宋_GB2312"/>
          <w:kern w:val="2"/>
          <w:sz w:val="32"/>
        </w:rPr>
        <w:t>2022年度一般公共预算财政拨款支出14,655,865.41元，</w:t>
      </w:r>
      <w:r>
        <w:rPr>
          <w:rFonts w:ascii="仿宋_GB2312" w:hAnsi="Times New Roman" w:eastAsia="仿宋_GB2312"/>
          <w:sz w:val="32"/>
        </w:rPr>
        <w:t>主要用于以下方面：</w:t>
      </w:r>
      <w:r>
        <w:rPr>
          <w:rFonts w:ascii="仿宋_GB2312" w:hAnsi="Times New Roman" w:eastAsia="仿宋_GB2312"/>
          <w:kern w:val="2"/>
          <w:sz w:val="32"/>
          <w:lang w:val="zh-CN"/>
        </w:rPr>
        <w:t>一般公共服务支出13,756,665.41元，占93.86%；商业服务业等支出899,200.00元，占6.14%。</w:t>
      </w:r>
    </w:p>
    <w:p>
      <w:pPr>
        <w:spacing w:line="600" w:lineRule="exact"/>
        <w:ind w:left="480"/>
        <w:rPr>
          <w:rFonts w:hint="default" w:ascii="楷体" w:hAnsi="Times New Roman" w:eastAsia="楷体"/>
          <w:b/>
          <w:sz w:val="32"/>
        </w:rPr>
      </w:pPr>
      <w:r>
        <w:rPr>
          <w:rFonts w:ascii="楷体" w:hAnsi="Times New Roman" w:eastAsia="楷体"/>
          <w:b/>
          <w:sz w:val="32"/>
        </w:rPr>
        <w:t>（三）具体情况</w:t>
      </w:r>
    </w:p>
    <w:p>
      <w:pPr>
        <w:spacing w:line="600" w:lineRule="exact"/>
        <w:ind w:firstLine="600"/>
        <w:jc w:val="both"/>
        <w:rPr>
          <w:rFonts w:hint="default" w:ascii="仿宋_GB2312" w:hAnsi="Times New Roman" w:eastAsia="仿宋_GB2312"/>
          <w:sz w:val="32"/>
        </w:rPr>
      </w:pPr>
      <w:r>
        <w:rPr>
          <w:rFonts w:ascii="仿宋_GB2312" w:hAnsi="Times New Roman" w:eastAsia="仿宋_GB2312"/>
          <w:sz w:val="32"/>
        </w:rPr>
        <w:t>2022年度一般公共预算财政拨款支出年初预算为</w:t>
      </w:r>
      <w:r>
        <w:rPr>
          <w:rFonts w:ascii="仿宋_GB2312" w:hAnsi="Times New Roman" w:eastAsia="仿宋_GB2312"/>
          <w:kern w:val="2"/>
          <w:sz w:val="32"/>
        </w:rPr>
        <w:t>17,284,701.56</w:t>
      </w:r>
      <w:r>
        <w:rPr>
          <w:rFonts w:ascii="仿宋_GB2312" w:hAnsi="Times New Roman" w:eastAsia="仿宋_GB2312"/>
          <w:sz w:val="32"/>
        </w:rPr>
        <w:t>元，支出决算为</w:t>
      </w:r>
      <w:r>
        <w:rPr>
          <w:rFonts w:ascii="仿宋_GB2312" w:hAnsi="Times New Roman" w:eastAsia="仿宋_GB2312"/>
          <w:kern w:val="2"/>
          <w:sz w:val="32"/>
        </w:rPr>
        <w:t>14,655,865.41</w:t>
      </w:r>
      <w:r>
        <w:rPr>
          <w:rFonts w:ascii="仿宋_GB2312" w:hAnsi="Times New Roman" w:eastAsia="仿宋_GB2312"/>
          <w:sz w:val="32"/>
        </w:rPr>
        <w:t>元，完成年初预算的</w:t>
      </w:r>
      <w:r>
        <w:rPr>
          <w:rFonts w:ascii="仿宋_GB2312" w:hAnsi="Times New Roman" w:eastAsia="仿宋_GB2312"/>
          <w:kern w:val="2"/>
          <w:sz w:val="32"/>
        </w:rPr>
        <w:t>84.79</w:t>
      </w:r>
      <w:r>
        <w:rPr>
          <w:rFonts w:ascii="仿宋_GB2312" w:hAnsi="Times New Roman" w:eastAsia="仿宋_GB2312"/>
          <w:sz w:val="32"/>
        </w:rPr>
        <w:t>%。其中：</w:t>
      </w:r>
    </w:p>
    <w:p>
      <w:pPr>
        <w:spacing w:line="600" w:lineRule="exact"/>
        <w:ind w:firstLine="600"/>
        <w:jc w:val="both"/>
        <w:rPr>
          <w:rFonts w:hint="default" w:ascii="仿宋_GB2312" w:hAnsi="Times New Roman" w:eastAsia="仿宋_GB2312"/>
          <w:sz w:val="32"/>
        </w:rPr>
      </w:pPr>
      <w:r>
        <w:rPr>
          <w:rFonts w:ascii="仿宋_GB2312" w:hAnsi="Times New Roman" w:eastAsia="仿宋_GB2312"/>
          <w:sz w:val="32"/>
        </w:rPr>
        <w:t>1.一般公共服务支出（类）市场监督管理事务（款）行政运行（项）年初预算为</w:t>
      </w:r>
      <w:r>
        <w:rPr>
          <w:rFonts w:ascii="仿宋_GB2312" w:hAnsi="Times New Roman" w:eastAsia="仿宋_GB2312"/>
          <w:kern w:val="2"/>
          <w:sz w:val="32"/>
        </w:rPr>
        <w:t>10,131,401.56</w:t>
      </w:r>
      <w:r>
        <w:rPr>
          <w:rFonts w:ascii="仿宋_GB2312" w:hAnsi="Times New Roman" w:eastAsia="仿宋_GB2312"/>
          <w:sz w:val="32"/>
        </w:rPr>
        <w:t>元，支出决算为9,182,503.82元，完成年初预算的90.63%，决算数小于年初预算数的主要原因是严格落实过紧日子的要求，精打细算，预算执行过程中进一步压实压细</w:t>
      </w:r>
      <w:r>
        <w:rPr>
          <w:rFonts w:ascii="仿宋_GB2312" w:eastAsia="仿宋_GB2312"/>
          <w:sz w:val="32"/>
        </w:rPr>
        <w:t>日常公用经费支出，</w:t>
      </w:r>
      <w:r>
        <w:rPr>
          <w:rFonts w:ascii="仿宋_GB2312" w:hAnsi="Times New Roman" w:eastAsia="仿宋_GB2312"/>
          <w:sz w:val="32"/>
        </w:rPr>
        <w:t>故</w:t>
      </w:r>
      <w:r>
        <w:rPr>
          <w:rFonts w:ascii="仿宋_GB2312" w:eastAsia="仿宋_GB2312"/>
          <w:sz w:val="32"/>
        </w:rPr>
        <w:t>实际支出略少于年初预算</w:t>
      </w:r>
      <w:r>
        <w:rPr>
          <w:rFonts w:ascii="仿宋_GB2312" w:hAnsi="Times New Roman" w:eastAsia="仿宋_GB2312"/>
          <w:sz w:val="32"/>
        </w:rPr>
        <w:t>。</w:t>
      </w:r>
    </w:p>
    <w:p>
      <w:pPr>
        <w:spacing w:line="600" w:lineRule="exact"/>
        <w:ind w:firstLine="600"/>
        <w:jc w:val="both"/>
        <w:rPr>
          <w:rFonts w:hint="default" w:ascii="仿宋_GB2312" w:hAnsi="Times New Roman" w:eastAsia="仿宋_GB2312"/>
          <w:sz w:val="32"/>
        </w:rPr>
      </w:pPr>
      <w:r>
        <w:rPr>
          <w:rFonts w:ascii="仿宋_GB2312" w:hAnsi="Times New Roman" w:eastAsia="仿宋_GB2312"/>
          <w:sz w:val="32"/>
        </w:rPr>
        <w:t>2.一般公共服务支出（类）市场监督管理事务（款）一般行政管理事务（项）年初预算为3,010,000.00元，支出决算为1,478,408.46元，完成年初预算的49.12 %，决算数小于年初预算数的主要原因是根据上级下达监管任务，结合东疆实际，两品一械抽检排查、产品质量抽检等项目进行预算调整，</w:t>
      </w:r>
      <w:r>
        <w:rPr>
          <w:rFonts w:ascii="仿宋_GB2312" w:hAnsi="仿宋_GB2312" w:eastAsia="仿宋_GB2312"/>
          <w:sz w:val="32"/>
        </w:rPr>
        <w:t>中期预算调整为1,790,100.00元，部分项目据实结算，</w:t>
      </w:r>
      <w:r>
        <w:rPr>
          <w:rFonts w:ascii="仿宋_GB2312" w:eastAsia="仿宋_GB2312"/>
          <w:sz w:val="32"/>
        </w:rPr>
        <w:t>实际支出少于预算</w:t>
      </w:r>
      <w:r>
        <w:rPr>
          <w:rFonts w:ascii="仿宋_GB2312" w:hAnsi="Times New Roman" w:eastAsia="仿宋_GB2312"/>
          <w:sz w:val="32"/>
        </w:rPr>
        <w:t>。</w:t>
      </w:r>
    </w:p>
    <w:p>
      <w:pPr>
        <w:spacing w:line="600" w:lineRule="exact"/>
        <w:ind w:firstLine="600"/>
        <w:jc w:val="both"/>
        <w:rPr>
          <w:rFonts w:hint="default" w:ascii="仿宋_GB2312" w:hAnsi="Times New Roman" w:eastAsia="仿宋_GB2312"/>
          <w:sz w:val="32"/>
        </w:rPr>
      </w:pPr>
      <w:r>
        <w:rPr>
          <w:rFonts w:ascii="仿宋_GB2312" w:hAnsi="Times New Roman" w:eastAsia="仿宋_GB2312"/>
          <w:sz w:val="32"/>
        </w:rPr>
        <w:t>3</w:t>
      </w:r>
      <w:r>
        <w:rPr>
          <w:rFonts w:hint="default" w:ascii="仿宋_GB2312" w:hAnsi="Times New Roman" w:eastAsia="仿宋_GB2312"/>
          <w:sz w:val="32"/>
        </w:rPr>
        <w:t>.</w:t>
      </w:r>
      <w:r>
        <w:rPr>
          <w:rFonts w:ascii="仿宋_GB2312" w:hAnsi="Times New Roman" w:eastAsia="仿宋_GB2312"/>
          <w:sz w:val="32"/>
        </w:rPr>
        <w:t>一般公共服务支出（类）市场监督管理事务（款）市场主体管理（项）年初预算为970,000.00元，支出决算为544,500.00元，完成年初预算的56.13 %，决算数小于年初预算数的主要原因是根据上级单位部署，放管服商事登记制度改革创新服务项目根据工作进度进行调减，</w:t>
      </w:r>
      <w:r>
        <w:rPr>
          <w:rFonts w:ascii="仿宋_GB2312" w:hAnsi="仿宋_GB2312" w:eastAsia="仿宋_GB2312"/>
          <w:sz w:val="32"/>
        </w:rPr>
        <w:t>中期预算调整为557,000.00元，</w:t>
      </w:r>
      <w:r>
        <w:rPr>
          <w:rFonts w:ascii="仿宋_GB2312" w:eastAsia="仿宋_GB2312"/>
          <w:sz w:val="32"/>
        </w:rPr>
        <w:t>实际支出少于预算</w:t>
      </w:r>
      <w:r>
        <w:rPr>
          <w:rFonts w:ascii="仿宋_GB2312" w:hAnsi="Times New Roman" w:eastAsia="仿宋_GB2312"/>
          <w:sz w:val="32"/>
        </w:rPr>
        <w:t>。</w:t>
      </w:r>
    </w:p>
    <w:p>
      <w:pPr>
        <w:spacing w:line="600" w:lineRule="exact"/>
        <w:ind w:firstLine="600"/>
        <w:jc w:val="both"/>
        <w:rPr>
          <w:rFonts w:hint="default" w:ascii="仿宋_GB2312" w:hAnsi="Times New Roman" w:eastAsia="仿宋_GB2312"/>
          <w:sz w:val="32"/>
        </w:rPr>
      </w:pPr>
      <w:r>
        <w:rPr>
          <w:rFonts w:ascii="仿宋_GB2312" w:hAnsi="Times New Roman" w:eastAsia="仿宋_GB2312"/>
          <w:sz w:val="32"/>
        </w:rPr>
        <w:t>4</w:t>
      </w:r>
      <w:r>
        <w:rPr>
          <w:rFonts w:hint="default" w:ascii="仿宋_GB2312" w:hAnsi="Times New Roman" w:eastAsia="仿宋_GB2312"/>
          <w:sz w:val="32"/>
        </w:rPr>
        <w:t>.</w:t>
      </w:r>
      <w:r>
        <w:rPr>
          <w:rFonts w:ascii="仿宋_GB2312" w:hAnsi="Times New Roman" w:eastAsia="仿宋_GB2312"/>
          <w:sz w:val="32"/>
        </w:rPr>
        <w:t>一般公共服务支出（类）市场监督管理事务（款）食品安全监管（项）年初预算为1,650,000.00元，支出决算为1,081,008.00元，完成年初预算的65.52%，决算数小于年初预算数的主要原因是严格落实过紧日子的要求，结合项目实际，进一步压缩预算，</w:t>
      </w:r>
      <w:r>
        <w:rPr>
          <w:rFonts w:ascii="仿宋_GB2312" w:hAnsi="仿宋_GB2312" w:eastAsia="仿宋_GB2312"/>
          <w:sz w:val="32"/>
        </w:rPr>
        <w:t>中期预算调整为</w:t>
      </w:r>
      <w:r>
        <w:rPr>
          <w:rFonts w:ascii="仿宋_GB2312" w:hAnsi="Times New Roman" w:eastAsia="仿宋_GB2312"/>
          <w:sz w:val="32"/>
        </w:rPr>
        <w:t>1,289,000.00元，</w:t>
      </w:r>
      <w:r>
        <w:rPr>
          <w:rFonts w:ascii="仿宋_GB2312" w:hAnsi="仿宋_GB2312" w:eastAsia="仿宋_GB2312"/>
          <w:sz w:val="32"/>
        </w:rPr>
        <w:t>部分项目据实结算，</w:t>
      </w:r>
      <w:r>
        <w:rPr>
          <w:rFonts w:ascii="仿宋_GB2312" w:eastAsia="仿宋_GB2312"/>
          <w:sz w:val="32"/>
        </w:rPr>
        <w:t>实际支出少于预算</w:t>
      </w:r>
      <w:r>
        <w:rPr>
          <w:rFonts w:ascii="仿宋_GB2312" w:hAnsi="Times New Roman" w:eastAsia="仿宋_GB2312"/>
          <w:sz w:val="32"/>
        </w:rPr>
        <w:t>。</w:t>
      </w:r>
    </w:p>
    <w:p>
      <w:pPr>
        <w:spacing w:line="600" w:lineRule="exact"/>
        <w:ind w:firstLine="600"/>
        <w:jc w:val="both"/>
        <w:rPr>
          <w:rFonts w:hint="default" w:ascii="仿宋_GB2312" w:hAnsi="Times New Roman" w:eastAsia="仿宋_GB2312"/>
          <w:sz w:val="32"/>
        </w:rPr>
      </w:pPr>
      <w:r>
        <w:rPr>
          <w:rFonts w:ascii="仿宋_GB2312" w:hAnsi="Times New Roman" w:eastAsia="仿宋_GB2312"/>
          <w:sz w:val="32"/>
        </w:rPr>
        <w:t>5</w:t>
      </w:r>
      <w:r>
        <w:rPr>
          <w:rFonts w:hint="default" w:ascii="仿宋_GB2312" w:hAnsi="Times New Roman" w:eastAsia="仿宋_GB2312"/>
          <w:sz w:val="32"/>
        </w:rPr>
        <w:t>.</w:t>
      </w:r>
      <w:r>
        <w:rPr>
          <w:rFonts w:ascii="仿宋_GB2312" w:hAnsi="Times New Roman" w:eastAsia="仿宋_GB2312"/>
          <w:sz w:val="32"/>
        </w:rPr>
        <w:t>一般公共服务支出（类）政府办公厅（室）及相关机构事务（款）一般行政管理事务（项）年初预算为1,523,300.00元，支出决算为1,470,245.13元，完成年初预算的96.52%，决算数小于年初预算数的主要原因是根据项目实际，</w:t>
      </w:r>
      <w:r>
        <w:rPr>
          <w:rFonts w:ascii="仿宋_GB2312" w:hAnsi="仿宋_GB2312" w:eastAsia="仿宋_GB2312"/>
          <w:sz w:val="32"/>
        </w:rPr>
        <w:t>中期预算调整后预算为1,625,720.00元，部分项目据实结算，</w:t>
      </w:r>
      <w:r>
        <w:rPr>
          <w:rFonts w:ascii="仿宋_GB2312" w:eastAsia="仿宋_GB2312"/>
          <w:sz w:val="32"/>
        </w:rPr>
        <w:t>实际支出略少于预算</w:t>
      </w:r>
      <w:r>
        <w:rPr>
          <w:rFonts w:ascii="仿宋_GB2312" w:hAnsi="Times New Roman" w:eastAsia="仿宋_GB2312"/>
          <w:sz w:val="32"/>
        </w:rPr>
        <w:t>。</w:t>
      </w:r>
    </w:p>
    <w:p>
      <w:pPr>
        <w:spacing w:line="600" w:lineRule="exact"/>
        <w:ind w:firstLine="600"/>
        <w:jc w:val="both"/>
        <w:rPr>
          <w:rFonts w:hint="default" w:ascii="仿宋_GB2312" w:hAnsi="Times New Roman" w:eastAsia="仿宋_GB2312"/>
          <w:sz w:val="32"/>
        </w:rPr>
      </w:pPr>
      <w:r>
        <w:rPr>
          <w:rFonts w:ascii="仿宋_GB2312" w:hAnsi="Times New Roman" w:eastAsia="仿宋_GB2312"/>
          <w:sz w:val="32"/>
        </w:rPr>
        <w:t>6</w:t>
      </w:r>
      <w:r>
        <w:rPr>
          <w:rFonts w:hint="default" w:ascii="仿宋_GB2312" w:hAnsi="Times New Roman" w:eastAsia="仿宋_GB2312"/>
          <w:sz w:val="32"/>
        </w:rPr>
        <w:t>.</w:t>
      </w:r>
      <w:r>
        <w:rPr>
          <w:rFonts w:ascii="仿宋_GB2312" w:hAnsi="Times New Roman" w:eastAsia="仿宋_GB2312"/>
          <w:sz w:val="32"/>
        </w:rPr>
        <w:t>商业服务业等支出（类）其他商业服务业等支出（款）其他商业服务业等支出（项）年初预算为</w:t>
      </w:r>
      <w:r>
        <w:rPr>
          <w:rFonts w:hint="default" w:ascii="仿宋_GB2312" w:hAnsi="Times New Roman" w:eastAsia="仿宋_GB2312"/>
          <w:sz w:val="32"/>
        </w:rPr>
        <w:t>0.00</w:t>
      </w:r>
      <w:r>
        <w:rPr>
          <w:rFonts w:ascii="仿宋_GB2312" w:hAnsi="Times New Roman" w:eastAsia="仿宋_GB2312"/>
          <w:sz w:val="32"/>
        </w:rPr>
        <w:t>元，支出决算为 899,200.00元，决算数大于年初预算数的主要原因是按照管委会工作部署，中期预算调整增加“知识产权融资租赁项目资金”项目；年初所列“知识产权服务业集聚园区经费”项目，根据《关于下达服务业发展资金（中央专款）预算指标的通知》（津滨财教指[2022]71号、104号）要求，项目预算金额增加区级匹配资金200,000.00元，功能科目由2013802调至2169999。</w:t>
      </w:r>
    </w:p>
    <w:p>
      <w:pPr>
        <w:pStyle w:val="3"/>
        <w:keepNext/>
        <w:keepLines/>
        <w:spacing w:line="600" w:lineRule="exact"/>
        <w:ind w:firstLine="602"/>
        <w:rPr>
          <w:rFonts w:hint="default" w:hAnsi="Times New Roman"/>
          <w:b/>
          <w:sz w:val="32"/>
        </w:rPr>
      </w:pPr>
      <w:r>
        <w:rPr>
          <w:rFonts w:hAnsi="Times New Roman"/>
          <w:b/>
          <w:sz w:val="32"/>
        </w:rPr>
        <w:t>六、一般公共预算财政拨款基本支出决算情况说明</w:t>
      </w:r>
    </w:p>
    <w:p>
      <w:pPr>
        <w:spacing w:line="580" w:lineRule="exact"/>
        <w:ind w:firstLine="600"/>
        <w:jc w:val="both"/>
        <w:rPr>
          <w:rFonts w:hint="default" w:ascii="仿宋_GB2312" w:hAnsi="Times New Roman" w:eastAsia="仿宋_GB2312"/>
          <w:kern w:val="2"/>
          <w:sz w:val="32"/>
          <w:szCs w:val="32"/>
        </w:rPr>
      </w:pPr>
      <w:r>
        <w:rPr>
          <w:rFonts w:ascii="仿宋_GB2312" w:hAnsi="Times New Roman" w:eastAsia="仿宋_GB2312"/>
          <w:kern w:val="2"/>
          <w:sz w:val="32"/>
          <w:szCs w:val="32"/>
        </w:rPr>
        <w:t>天津东疆综合保税区市场监督管理局（行政审批局、政务服务办公室）2022年度部门决算一般公共预算财政拨款基本支出合计8,941,564.82元，与2021年度相比增加8,941,564.82元，</w:t>
      </w:r>
      <w:r>
        <w:rPr>
          <w:rFonts w:ascii="仿宋_GB2312" w:hAnsi="Times New Roman" w:eastAsia="仿宋_GB2312"/>
          <w:sz w:val="32"/>
          <w:szCs w:val="32"/>
        </w:rPr>
        <w:t>主要原因是</w:t>
      </w:r>
      <w:r>
        <w:rPr>
          <w:rFonts w:ascii="仿宋_GB2312" w:hAnsi="Times New Roman" w:eastAsia="仿宋_GB2312"/>
          <w:kern w:val="2"/>
          <w:sz w:val="32"/>
          <w:szCs w:val="32"/>
          <w:lang w:val="zh-CN"/>
        </w:rPr>
        <w:t>：</w:t>
      </w:r>
      <w:r>
        <w:rPr>
          <w:rFonts w:ascii="仿宋_GB2312" w:hAnsi="仿宋_GB2312" w:eastAsia="仿宋_GB2312"/>
          <w:sz w:val="32"/>
          <w:szCs w:val="32"/>
        </w:rPr>
        <w:t>2022年我部门作为部门决算编报新增单位独立编报部门决算。</w:t>
      </w:r>
      <w:r>
        <w:rPr>
          <w:rFonts w:ascii="仿宋_GB2312" w:hAnsi="Times New Roman" w:eastAsia="仿宋_GB2312"/>
          <w:sz w:val="32"/>
          <w:szCs w:val="32"/>
        </w:rPr>
        <w:t>其中：人员经费</w:t>
      </w:r>
      <w:r>
        <w:rPr>
          <w:rFonts w:ascii="仿宋_GB2312" w:hAnsi="Times New Roman" w:eastAsia="仿宋_GB2312"/>
          <w:kern w:val="2"/>
          <w:sz w:val="32"/>
          <w:szCs w:val="32"/>
        </w:rPr>
        <w:t>8,727,113.30</w:t>
      </w:r>
      <w:r>
        <w:rPr>
          <w:rFonts w:ascii="仿宋_GB2312" w:hAnsi="Times New Roman" w:eastAsia="仿宋_GB2312"/>
          <w:sz w:val="32"/>
          <w:szCs w:val="32"/>
        </w:rPr>
        <w:t>元，主要包括基本工资、津贴补贴、奖金、机关事业单位基本养老保险缴费、职业年金缴费、职工基本医疗保险缴费、其他社会保障缴费、住房公积金；公用经费</w:t>
      </w:r>
      <w:r>
        <w:rPr>
          <w:rFonts w:ascii="仿宋_GB2312" w:hAnsi="Times New Roman" w:eastAsia="仿宋_GB2312"/>
          <w:kern w:val="2"/>
          <w:sz w:val="32"/>
          <w:szCs w:val="32"/>
        </w:rPr>
        <w:t>214,451.52</w:t>
      </w:r>
      <w:r>
        <w:rPr>
          <w:rFonts w:ascii="仿宋_GB2312" w:hAnsi="Times New Roman" w:eastAsia="仿宋_GB2312"/>
          <w:sz w:val="32"/>
          <w:szCs w:val="32"/>
        </w:rPr>
        <w:t>元，主要包括办公费、邮电费、差旅费、维修(护)费、公务用车运行维护费、其他交通费用、其他商品和服务支出。</w:t>
      </w:r>
    </w:p>
    <w:p>
      <w:pPr>
        <w:pStyle w:val="3"/>
        <w:keepNext/>
        <w:keepLines/>
        <w:spacing w:line="600" w:lineRule="exact"/>
        <w:ind w:firstLine="602"/>
        <w:rPr>
          <w:rFonts w:hint="default" w:hAnsi="Times New Roman"/>
          <w:b/>
          <w:sz w:val="32"/>
        </w:rPr>
      </w:pPr>
      <w:r>
        <w:rPr>
          <w:rFonts w:hAnsi="Times New Roman"/>
          <w:b/>
          <w:sz w:val="32"/>
        </w:rPr>
        <w:t>七、政府性基金预算财政拨款收支决算情况</w:t>
      </w:r>
    </w:p>
    <w:p>
      <w:pPr>
        <w:spacing w:line="580" w:lineRule="exact"/>
        <w:ind w:firstLine="600"/>
        <w:rPr>
          <w:rFonts w:hint="default" w:ascii="仿宋_GB2312" w:hAnsi="Times New Roman" w:eastAsia="仿宋_GB2312"/>
          <w:sz w:val="32"/>
        </w:rPr>
      </w:pPr>
      <w:r>
        <w:rPr>
          <w:rFonts w:ascii="仿宋_GB2312" w:hAnsi="Times New Roman" w:eastAsia="仿宋_GB2312"/>
          <w:kern w:val="2"/>
          <w:sz w:val="32"/>
        </w:rPr>
        <w:t>天津东疆综合保税区市场监督管理局（行政审批局、政务服务办公室）2022年度无政府性基金预算财政拨款收入、支出和结转结余。</w:t>
      </w:r>
    </w:p>
    <w:p>
      <w:pPr>
        <w:spacing w:line="600" w:lineRule="exact"/>
        <w:ind w:firstLine="600"/>
        <w:rPr>
          <w:rFonts w:hint="default" w:hAnsi="Times New Roman"/>
          <w:b/>
          <w:sz w:val="32"/>
        </w:rPr>
      </w:pPr>
      <w:r>
        <w:rPr>
          <w:rFonts w:hAnsi="Times New Roman"/>
          <w:b/>
          <w:sz w:val="32"/>
        </w:rPr>
        <w:t>八、国有资本经营预算财政拨款收支决算情况说明</w:t>
      </w:r>
    </w:p>
    <w:p>
      <w:pPr>
        <w:spacing w:line="600" w:lineRule="exact"/>
        <w:ind w:firstLine="600"/>
        <w:rPr>
          <w:rFonts w:hint="default" w:ascii="仿宋_GB2312" w:hAnsi="Times New Roman" w:eastAsia="仿宋_GB2312"/>
          <w:kern w:val="2"/>
          <w:sz w:val="32"/>
        </w:rPr>
      </w:pPr>
      <w:r>
        <w:rPr>
          <w:rFonts w:ascii="仿宋_GB2312" w:hAnsi="Times New Roman" w:eastAsia="仿宋_GB2312"/>
          <w:color w:val="000000"/>
          <w:sz w:val="32"/>
        </w:rPr>
        <w:t>天津东疆综合保税区市场监督管理局（行政审批局、政务服务办公室）2022</w:t>
      </w:r>
      <w:r>
        <w:rPr>
          <w:rFonts w:ascii="仿宋_GB2312" w:hAnsi="Times New Roman" w:eastAsia="仿宋_GB2312"/>
          <w:sz w:val="32"/>
        </w:rPr>
        <w:t>年度无国有资本经营预算财政拨款收入、支出和结转结余。</w:t>
      </w:r>
    </w:p>
    <w:p>
      <w:pPr>
        <w:pStyle w:val="3"/>
        <w:keepNext/>
        <w:keepLines/>
        <w:spacing w:line="600" w:lineRule="exact"/>
        <w:ind w:firstLine="602"/>
        <w:rPr>
          <w:rFonts w:hint="default" w:hAnsi="Times New Roman"/>
          <w:b/>
          <w:sz w:val="32"/>
        </w:rPr>
      </w:pPr>
      <w:r>
        <w:rPr>
          <w:rFonts w:hAnsi="Times New Roman"/>
          <w:b/>
          <w:sz w:val="32"/>
        </w:rPr>
        <w:t>九、一般公共预算财政拨款三公经费</w:t>
      </w:r>
      <w:r>
        <w:rPr>
          <w:rFonts w:hAnsi="Times New Roman"/>
          <w:b/>
          <w:sz w:val="32"/>
          <w:lang w:val="zh-CN"/>
        </w:rPr>
        <w:t>支出决算</w:t>
      </w:r>
      <w:r>
        <w:rPr>
          <w:rFonts w:hAnsi="Times New Roman"/>
          <w:b/>
          <w:sz w:val="32"/>
        </w:rPr>
        <w:t>情况</w:t>
      </w:r>
    </w:p>
    <w:p>
      <w:pPr>
        <w:spacing w:line="600" w:lineRule="exact"/>
        <w:ind w:firstLine="602"/>
        <w:rPr>
          <w:rFonts w:hint="default" w:ascii="楷体" w:hAnsi="Times New Roman" w:eastAsia="楷体"/>
          <w:b/>
          <w:sz w:val="32"/>
        </w:rPr>
      </w:pPr>
      <w:r>
        <w:rPr>
          <w:rFonts w:ascii="楷体" w:hAnsi="Times New Roman" w:eastAsia="楷体"/>
          <w:b/>
          <w:sz w:val="32"/>
        </w:rPr>
        <w:t>（一）总体情况</w:t>
      </w:r>
    </w:p>
    <w:p>
      <w:pPr>
        <w:spacing w:line="600" w:lineRule="exact"/>
        <w:ind w:firstLine="601"/>
        <w:jc w:val="both"/>
        <w:rPr>
          <w:rFonts w:hint="default" w:ascii="仿宋_GB2312" w:hAnsi="Times New Roman" w:eastAsia="仿宋_GB2312"/>
          <w:sz w:val="32"/>
          <w:szCs w:val="32"/>
        </w:rPr>
      </w:pPr>
      <w:r>
        <w:rPr>
          <w:rFonts w:ascii="仿宋_GB2312" w:hAnsi="Times New Roman" w:eastAsia="仿宋_GB2312"/>
          <w:sz w:val="32"/>
          <w:szCs w:val="32"/>
        </w:rPr>
        <w:t>2022年一般公共预算财政拨款“三公”经费预算40,000.00 元，支出决算3,021.40元，与2022年预算相比减少36,978.60元，完成预算的7.55%；较上年增加3,021.40元，</w:t>
      </w:r>
      <w:r>
        <w:rPr>
          <w:rFonts w:ascii="仿宋_GB2312" w:hAnsi="仿宋_GB2312" w:eastAsia="仿宋_GB2312"/>
          <w:sz w:val="32"/>
          <w:szCs w:val="32"/>
        </w:rPr>
        <w:t>增长100.00%。</w:t>
      </w:r>
      <w:r>
        <w:rPr>
          <w:rFonts w:ascii="仿宋_GB2312" w:hAnsi="Times New Roman" w:eastAsia="仿宋_GB2312"/>
          <w:sz w:val="32"/>
          <w:szCs w:val="32"/>
        </w:rPr>
        <w:t>决算数小于预算数的主要原因是受疫情影响及实际工作安排，本年未发生公务接待</w:t>
      </w:r>
      <w:r>
        <w:rPr>
          <w:rFonts w:hint="default" w:ascii="仿宋_GB2312" w:hAnsi="Times New Roman" w:eastAsia="仿宋_GB2312"/>
          <w:sz w:val="32"/>
          <w:szCs w:val="32"/>
        </w:rPr>
        <w:t>,</w:t>
      </w:r>
      <w:r>
        <w:rPr>
          <w:rFonts w:ascii="仿宋_GB2312" w:hAnsi="Times New Roman" w:eastAsia="仿宋_GB2312"/>
          <w:sz w:val="32"/>
          <w:szCs w:val="32"/>
        </w:rPr>
        <w:t>公务用车运行维护费用支出有所压减。</w:t>
      </w:r>
      <w:r>
        <w:rPr>
          <w:rFonts w:ascii="仿宋_GB2312" w:hAnsi="仿宋_GB2312" w:eastAsia="仿宋_GB2312"/>
          <w:sz w:val="32"/>
          <w:szCs w:val="32"/>
        </w:rPr>
        <w:t>决算数较上年增加的主要原因是2022年我部门作为部门决算编报新增单位独立编报部门决算。</w:t>
      </w:r>
    </w:p>
    <w:p>
      <w:pPr>
        <w:spacing w:line="600" w:lineRule="exact"/>
        <w:ind w:firstLine="602"/>
        <w:rPr>
          <w:rFonts w:hint="default" w:ascii="楷体" w:hAnsi="Times New Roman" w:eastAsia="楷体"/>
          <w:b/>
          <w:sz w:val="32"/>
        </w:rPr>
      </w:pPr>
      <w:r>
        <w:rPr>
          <w:rFonts w:ascii="楷体" w:hAnsi="Times New Roman" w:eastAsia="楷体"/>
          <w:b/>
          <w:sz w:val="32"/>
        </w:rPr>
        <w:t>（二）具体情况</w:t>
      </w:r>
    </w:p>
    <w:p>
      <w:pPr>
        <w:spacing w:line="600" w:lineRule="exact"/>
        <w:ind w:firstLine="600"/>
        <w:jc w:val="both"/>
        <w:rPr>
          <w:rFonts w:hint="default" w:ascii="仿宋_GB2312" w:hAnsi="Times New Roman" w:eastAsia="仿宋_GB2312"/>
          <w:sz w:val="32"/>
          <w:szCs w:val="32"/>
        </w:rPr>
      </w:pPr>
      <w:r>
        <w:rPr>
          <w:rFonts w:ascii="仿宋_GB2312" w:hAnsi="Times New Roman" w:eastAsia="仿宋_GB2312"/>
          <w:sz w:val="32"/>
          <w:szCs w:val="32"/>
        </w:rPr>
        <w:t>1.因公出国（境）费预算</w:t>
      </w:r>
      <w:r>
        <w:rPr>
          <w:rFonts w:hint="default" w:ascii="仿宋_GB2312" w:hAnsi="Times New Roman" w:eastAsia="仿宋_GB2312"/>
          <w:sz w:val="32"/>
          <w:szCs w:val="32"/>
        </w:rPr>
        <w:t>0.00</w:t>
      </w:r>
      <w:r>
        <w:rPr>
          <w:rFonts w:ascii="仿宋_GB2312" w:hAnsi="Times New Roman" w:eastAsia="仿宋_GB2312"/>
          <w:sz w:val="32"/>
          <w:szCs w:val="32"/>
        </w:rPr>
        <w:t>元，支出决算</w:t>
      </w:r>
      <w:r>
        <w:rPr>
          <w:rFonts w:hint="default" w:ascii="仿宋_GB2312" w:hAnsi="Times New Roman" w:eastAsia="仿宋_GB2312"/>
          <w:sz w:val="32"/>
          <w:szCs w:val="32"/>
        </w:rPr>
        <w:t>0.00</w:t>
      </w:r>
      <w:r>
        <w:rPr>
          <w:rFonts w:ascii="仿宋_GB2312" w:hAnsi="Times New Roman" w:eastAsia="仿宋_GB2312"/>
          <w:sz w:val="32"/>
          <w:szCs w:val="32"/>
        </w:rPr>
        <w:t>元，与预算相比持平；支出较上年持平。决算数等于预算数的主要原因是本年度未安排因公出国（境）经费预算。2022年本单位组织的出国团组</w:t>
      </w:r>
      <w:r>
        <w:rPr>
          <w:rFonts w:hint="default" w:ascii="仿宋_GB2312" w:hAnsi="Times New Roman" w:eastAsia="仿宋_GB2312"/>
          <w:sz w:val="32"/>
          <w:szCs w:val="32"/>
        </w:rPr>
        <w:t>0</w:t>
      </w:r>
      <w:r>
        <w:rPr>
          <w:rFonts w:ascii="仿宋_GB2312" w:hAnsi="Times New Roman" w:eastAsia="仿宋_GB2312"/>
          <w:sz w:val="32"/>
          <w:szCs w:val="32"/>
        </w:rPr>
        <w:t>个，出国</w:t>
      </w:r>
      <w:r>
        <w:rPr>
          <w:rFonts w:hint="default" w:ascii="仿宋_GB2312" w:hAnsi="Times New Roman" w:eastAsia="仿宋_GB2312"/>
          <w:sz w:val="32"/>
          <w:szCs w:val="32"/>
        </w:rPr>
        <w:t>0</w:t>
      </w:r>
      <w:r>
        <w:rPr>
          <w:rFonts w:ascii="仿宋_GB2312" w:hAnsi="Times New Roman" w:eastAsia="仿宋_GB2312"/>
          <w:sz w:val="32"/>
          <w:szCs w:val="32"/>
        </w:rPr>
        <w:t>人次。</w:t>
      </w:r>
    </w:p>
    <w:p>
      <w:pPr>
        <w:spacing w:line="600" w:lineRule="exact"/>
        <w:ind w:firstLine="600"/>
        <w:jc w:val="both"/>
        <w:rPr>
          <w:rFonts w:hint="default" w:ascii="仿宋_GB2312" w:hAnsi="Times New Roman" w:eastAsia="仿宋_GB2312"/>
          <w:sz w:val="32"/>
          <w:szCs w:val="32"/>
        </w:rPr>
      </w:pPr>
      <w:r>
        <w:rPr>
          <w:rFonts w:ascii="仿宋_GB2312" w:hAnsi="Times New Roman" w:eastAsia="仿宋_GB2312"/>
          <w:sz w:val="32"/>
          <w:szCs w:val="32"/>
        </w:rPr>
        <w:t>2.公务用车购置及运行维护费预算30,000.00元，支出决算3,021.40元，与预算相比减少26,978.60元，完成预算的10.07%；较上年增加3,021.40元，</w:t>
      </w:r>
      <w:r>
        <w:rPr>
          <w:rFonts w:ascii="仿宋_GB2312" w:hAnsi="仿宋_GB2312" w:eastAsia="仿宋_GB2312"/>
          <w:sz w:val="32"/>
          <w:szCs w:val="32"/>
        </w:rPr>
        <w:t>增长100.00%。</w:t>
      </w:r>
      <w:r>
        <w:rPr>
          <w:rFonts w:ascii="仿宋_GB2312" w:hAnsi="Times New Roman" w:eastAsia="仿宋_GB2312"/>
          <w:sz w:val="32"/>
          <w:szCs w:val="32"/>
        </w:rPr>
        <w:t>其中：</w:t>
      </w:r>
    </w:p>
    <w:p>
      <w:pPr>
        <w:spacing w:line="600" w:lineRule="exact"/>
        <w:ind w:firstLine="600"/>
        <w:jc w:val="both"/>
        <w:rPr>
          <w:rFonts w:hint="default" w:ascii="仿宋_GB2312" w:hAnsi="Times New Roman" w:eastAsia="仿宋_GB2312"/>
          <w:sz w:val="32"/>
          <w:szCs w:val="32"/>
        </w:rPr>
      </w:pPr>
      <w:r>
        <w:rPr>
          <w:rFonts w:ascii="仿宋_GB2312" w:hAnsi="Times New Roman" w:eastAsia="仿宋_GB2312"/>
          <w:sz w:val="32"/>
          <w:szCs w:val="32"/>
        </w:rPr>
        <w:t>公务用车运行维护费预算30,000.00元，支出决算3,021.40元，与预算相比减少26,978.60元，完成预算的10.07%；较上年增加3,021.40元，</w:t>
      </w:r>
      <w:r>
        <w:rPr>
          <w:rFonts w:ascii="仿宋_GB2312" w:hAnsi="仿宋_GB2312" w:eastAsia="仿宋_GB2312"/>
          <w:sz w:val="32"/>
          <w:szCs w:val="32"/>
        </w:rPr>
        <w:t>增长100.00%。</w:t>
      </w:r>
      <w:r>
        <w:rPr>
          <w:rFonts w:ascii="仿宋_GB2312" w:hAnsi="Times New Roman" w:eastAsia="仿宋_GB2312"/>
          <w:sz w:val="32"/>
          <w:szCs w:val="32"/>
        </w:rPr>
        <w:t>决算数小于预算数的主要原因是公务用车运行维护费用减少，</w:t>
      </w:r>
      <w:r>
        <w:rPr>
          <w:rFonts w:ascii="仿宋_GB2312" w:hAnsi="仿宋" w:eastAsia="仿宋_GB2312"/>
          <w:sz w:val="32"/>
          <w:szCs w:val="32"/>
        </w:rPr>
        <w:t>保险费用减少</w:t>
      </w:r>
      <w:r>
        <w:rPr>
          <w:rFonts w:ascii="仿宋_GB2312" w:hAnsi="Times New Roman" w:eastAsia="仿宋_GB2312"/>
          <w:sz w:val="32"/>
          <w:szCs w:val="32"/>
        </w:rPr>
        <w:t>。</w:t>
      </w:r>
      <w:r>
        <w:rPr>
          <w:rFonts w:ascii="仿宋_GB2312" w:hAnsi="仿宋_GB2312" w:eastAsia="仿宋_GB2312"/>
          <w:sz w:val="32"/>
          <w:szCs w:val="32"/>
        </w:rPr>
        <w:t>决算数较上年增加的主要原因是2022年我部门作为部门决算编报新增单位独立编报部门决算。</w:t>
      </w:r>
      <w:r>
        <w:rPr>
          <w:rFonts w:ascii="仿宋_GB2312" w:hAnsi="Times New Roman" w:eastAsia="仿宋_GB2312"/>
          <w:sz w:val="32"/>
          <w:szCs w:val="32"/>
        </w:rPr>
        <w:t>截至2022年12月31日，使用一般公共预算财政拨款开支运行维护费的公务用车保有量为1辆。</w:t>
      </w:r>
    </w:p>
    <w:p>
      <w:pPr>
        <w:spacing w:line="600" w:lineRule="exact"/>
        <w:ind w:firstLine="600"/>
        <w:jc w:val="both"/>
        <w:rPr>
          <w:rFonts w:hint="default" w:ascii="仿宋_GB2312" w:hAnsi="Times New Roman" w:eastAsia="仿宋_GB2312"/>
          <w:sz w:val="32"/>
          <w:szCs w:val="32"/>
        </w:rPr>
      </w:pPr>
      <w:r>
        <w:rPr>
          <w:rFonts w:ascii="仿宋_GB2312" w:hAnsi="Times New Roman" w:eastAsia="仿宋_GB2312"/>
          <w:sz w:val="32"/>
          <w:szCs w:val="32"/>
        </w:rPr>
        <w:t>公务用车购置费预算</w:t>
      </w:r>
      <w:r>
        <w:rPr>
          <w:rFonts w:hint="default" w:ascii="仿宋_GB2312" w:hAnsi="Times New Roman" w:eastAsia="仿宋_GB2312"/>
          <w:sz w:val="32"/>
          <w:szCs w:val="32"/>
        </w:rPr>
        <w:t>0.00</w:t>
      </w:r>
      <w:r>
        <w:rPr>
          <w:rFonts w:ascii="仿宋_GB2312" w:hAnsi="Times New Roman" w:eastAsia="仿宋_GB2312"/>
          <w:sz w:val="32"/>
          <w:szCs w:val="32"/>
        </w:rPr>
        <w:t>元，支出决算</w:t>
      </w:r>
      <w:r>
        <w:rPr>
          <w:rFonts w:hint="default" w:ascii="仿宋_GB2312" w:hAnsi="Times New Roman" w:eastAsia="仿宋_GB2312"/>
          <w:sz w:val="32"/>
          <w:szCs w:val="32"/>
        </w:rPr>
        <w:t>0.00</w:t>
      </w:r>
      <w:r>
        <w:rPr>
          <w:rFonts w:ascii="仿宋_GB2312" w:hAnsi="Times New Roman" w:eastAsia="仿宋_GB2312"/>
          <w:sz w:val="32"/>
          <w:szCs w:val="32"/>
        </w:rPr>
        <w:t>元，与预算相比持平；支出较上年持平。决算数等于预算数的主要原因是本年度未安排公务用车购置经费预算。2022年购置公务用车</w:t>
      </w:r>
      <w:r>
        <w:rPr>
          <w:rFonts w:hint="default" w:ascii="仿宋_GB2312" w:hAnsi="Times New Roman" w:eastAsia="仿宋_GB2312"/>
          <w:sz w:val="32"/>
          <w:szCs w:val="32"/>
        </w:rPr>
        <w:t>0</w:t>
      </w:r>
      <w:r>
        <w:rPr>
          <w:rFonts w:ascii="仿宋_GB2312" w:hAnsi="Times New Roman" w:eastAsia="仿宋_GB2312"/>
          <w:sz w:val="32"/>
          <w:szCs w:val="32"/>
        </w:rPr>
        <w:t>辆。</w:t>
      </w:r>
    </w:p>
    <w:p>
      <w:pPr>
        <w:spacing w:line="600" w:lineRule="exact"/>
        <w:ind w:firstLine="645"/>
        <w:jc w:val="both"/>
        <w:rPr>
          <w:rFonts w:hint="default" w:ascii="仿宋_GB2312" w:hAnsi="Times New Roman" w:eastAsia="仿宋_GB2312"/>
          <w:sz w:val="32"/>
          <w:szCs w:val="32"/>
        </w:rPr>
      </w:pPr>
      <w:r>
        <w:rPr>
          <w:rFonts w:ascii="仿宋_GB2312" w:hAnsi="Times New Roman" w:eastAsia="仿宋_GB2312"/>
          <w:sz w:val="32"/>
          <w:szCs w:val="32"/>
        </w:rPr>
        <w:t>3.公务接待费预算10,000.00元，支出决算</w:t>
      </w:r>
      <w:r>
        <w:rPr>
          <w:rFonts w:hint="default" w:ascii="仿宋_GB2312" w:hAnsi="Times New Roman" w:eastAsia="仿宋_GB2312"/>
          <w:sz w:val="32"/>
          <w:szCs w:val="32"/>
        </w:rPr>
        <w:t>0.00</w:t>
      </w:r>
      <w:r>
        <w:rPr>
          <w:rFonts w:ascii="仿宋_GB2312" w:hAnsi="Times New Roman" w:eastAsia="仿宋_GB2312"/>
          <w:sz w:val="32"/>
          <w:szCs w:val="32"/>
        </w:rPr>
        <w:t>元，与预算相比减少10,000.00元；支出较上年持平。决算数小于预算数的主要原因是本年未发生公务接待。决算数等于上年的主要原因是均未发生公务接待</w:t>
      </w:r>
      <w:r>
        <w:rPr>
          <w:rFonts w:ascii="仿宋_GB2312" w:hAnsi="仿宋" w:eastAsia="仿宋_GB2312"/>
          <w:sz w:val="32"/>
          <w:szCs w:val="32"/>
        </w:rPr>
        <w:t>。</w:t>
      </w:r>
      <w:r>
        <w:rPr>
          <w:rFonts w:ascii="仿宋_GB2312" w:hAnsi="Times New Roman" w:eastAsia="仿宋_GB2312"/>
          <w:sz w:val="32"/>
          <w:szCs w:val="32"/>
        </w:rPr>
        <w:t>2022年本单位国内公务接待</w:t>
      </w:r>
      <w:r>
        <w:rPr>
          <w:rFonts w:hint="default" w:ascii="仿宋_GB2312" w:hAnsi="Times New Roman" w:eastAsia="仿宋_GB2312"/>
          <w:sz w:val="32"/>
          <w:szCs w:val="32"/>
        </w:rPr>
        <w:t>0</w:t>
      </w:r>
      <w:r>
        <w:rPr>
          <w:rFonts w:ascii="仿宋_GB2312" w:hAnsi="Times New Roman" w:eastAsia="仿宋_GB2312"/>
          <w:sz w:val="32"/>
          <w:szCs w:val="32"/>
        </w:rPr>
        <w:t>批次，</w:t>
      </w:r>
      <w:r>
        <w:rPr>
          <w:rFonts w:hint="default" w:ascii="仿宋_GB2312" w:hAnsi="Times New Roman" w:eastAsia="仿宋_GB2312"/>
          <w:sz w:val="32"/>
          <w:szCs w:val="32"/>
        </w:rPr>
        <w:t>0</w:t>
      </w:r>
      <w:r>
        <w:rPr>
          <w:rFonts w:ascii="仿宋_GB2312" w:hAnsi="Times New Roman" w:eastAsia="仿宋_GB2312"/>
          <w:sz w:val="32"/>
          <w:szCs w:val="32"/>
        </w:rPr>
        <w:t>人次；其中，外事接待</w:t>
      </w:r>
      <w:r>
        <w:rPr>
          <w:rFonts w:hint="default" w:ascii="仿宋_GB2312" w:hAnsi="Times New Roman" w:eastAsia="仿宋_GB2312"/>
          <w:sz w:val="32"/>
          <w:szCs w:val="32"/>
        </w:rPr>
        <w:t>0</w:t>
      </w:r>
      <w:r>
        <w:rPr>
          <w:rFonts w:ascii="仿宋_GB2312" w:hAnsi="Times New Roman" w:eastAsia="仿宋_GB2312"/>
          <w:sz w:val="32"/>
          <w:szCs w:val="32"/>
        </w:rPr>
        <w:t>批次，</w:t>
      </w:r>
      <w:r>
        <w:rPr>
          <w:rFonts w:hint="default" w:ascii="仿宋_GB2312" w:hAnsi="Times New Roman" w:eastAsia="仿宋_GB2312"/>
          <w:sz w:val="32"/>
          <w:szCs w:val="32"/>
        </w:rPr>
        <w:t>0</w:t>
      </w:r>
      <w:r>
        <w:rPr>
          <w:rFonts w:ascii="仿宋_GB2312" w:hAnsi="Times New Roman" w:eastAsia="仿宋_GB2312"/>
          <w:sz w:val="32"/>
          <w:szCs w:val="32"/>
        </w:rPr>
        <w:t>人次。</w:t>
      </w:r>
    </w:p>
    <w:p>
      <w:pPr>
        <w:pStyle w:val="3"/>
        <w:keepNext/>
        <w:keepLines/>
        <w:spacing w:line="600" w:lineRule="exact"/>
        <w:ind w:firstLine="602"/>
        <w:rPr>
          <w:rFonts w:hint="default" w:hAnsi="Times New Roman"/>
          <w:b/>
          <w:sz w:val="32"/>
        </w:rPr>
      </w:pPr>
      <w:r>
        <w:rPr>
          <w:rFonts w:hAnsi="Times New Roman"/>
          <w:b/>
          <w:sz w:val="32"/>
        </w:rPr>
        <w:t>十、机关运行经费支出情况说明</w:t>
      </w:r>
    </w:p>
    <w:p>
      <w:pPr>
        <w:spacing w:line="580" w:lineRule="exact"/>
        <w:ind w:firstLine="600"/>
        <w:jc w:val="both"/>
        <w:rPr>
          <w:rFonts w:hint="default" w:ascii="仿宋_GB2312" w:hAnsi="Times New Roman" w:eastAsia="仿宋_GB2312"/>
          <w:sz w:val="32"/>
          <w:szCs w:val="32"/>
        </w:rPr>
      </w:pPr>
      <w:r>
        <w:rPr>
          <w:rFonts w:ascii="仿宋_GB2312" w:hAnsi="Times New Roman" w:eastAsia="仿宋_GB2312"/>
          <w:sz w:val="32"/>
          <w:szCs w:val="32"/>
        </w:rPr>
        <w:t>机关运行经费是指行政单位和参照公务员法管理的事业单位使用一般公共预算财政拨款安排的基本支出中的日常公用经费支出，天津东疆综合保税区市场监督管理局（行政审批局、政务服务办公室）2022年度机关运行经费决算数214,451.52元，比2021年增加214,451.52元，增长100%。主要原因是：</w:t>
      </w:r>
      <w:r>
        <w:rPr>
          <w:rFonts w:ascii="仿宋_GB2312" w:hAnsi="仿宋_GB2312" w:eastAsia="仿宋_GB2312"/>
          <w:sz w:val="32"/>
          <w:szCs w:val="32"/>
        </w:rPr>
        <w:t>2022年我部门作为部门决算编报新增单位独立编报部门决算。</w:t>
      </w:r>
    </w:p>
    <w:p>
      <w:pPr>
        <w:pStyle w:val="3"/>
        <w:keepNext/>
        <w:keepLines/>
        <w:spacing w:line="600" w:lineRule="exact"/>
        <w:ind w:firstLine="602"/>
        <w:rPr>
          <w:rFonts w:hint="default" w:hAnsi="Times New Roman"/>
          <w:b/>
          <w:sz w:val="32"/>
        </w:rPr>
      </w:pPr>
      <w:r>
        <w:rPr>
          <w:rFonts w:hAnsi="Times New Roman"/>
          <w:b/>
          <w:sz w:val="32"/>
        </w:rPr>
        <w:t>十一、政府采购支出情况说明</w:t>
      </w:r>
    </w:p>
    <w:p>
      <w:pPr>
        <w:spacing w:line="600" w:lineRule="exact"/>
        <w:ind w:firstLine="600"/>
        <w:jc w:val="both"/>
        <w:rPr>
          <w:rFonts w:hint="default" w:ascii="仿宋_GB2312" w:hAnsi="Times New Roman" w:eastAsia="仿宋_GB2312"/>
          <w:sz w:val="32"/>
          <w:highlight w:val="white"/>
        </w:rPr>
      </w:pPr>
      <w:r>
        <w:rPr>
          <w:rFonts w:ascii="仿宋_GB2312" w:hAnsi="Times New Roman" w:eastAsia="仿宋_GB2312"/>
          <w:color w:val="000000"/>
          <w:sz w:val="32"/>
        </w:rPr>
        <w:t>天津东疆综合保税区市场监督管理局（行政审批局、政务服务办公室）2022年</w:t>
      </w:r>
      <w:r>
        <w:rPr>
          <w:rFonts w:ascii="仿宋_GB2312" w:hAnsi="Times New Roman" w:eastAsia="仿宋_GB2312"/>
          <w:kern w:val="2"/>
          <w:sz w:val="32"/>
        </w:rPr>
        <w:t>政府</w:t>
      </w:r>
      <w:r>
        <w:rPr>
          <w:rFonts w:ascii="仿宋_GB2312" w:hAnsi="Times New Roman" w:eastAsia="仿宋_GB2312"/>
          <w:color w:val="000000"/>
          <w:sz w:val="32"/>
        </w:rPr>
        <w:t>采购支出总额</w:t>
      </w:r>
      <w:r>
        <w:rPr>
          <w:rFonts w:ascii="仿宋_GB2312" w:hAnsi="Times New Roman" w:eastAsia="仿宋_GB2312"/>
          <w:sz w:val="32"/>
        </w:rPr>
        <w:t>2,751,865.72</w:t>
      </w:r>
      <w:r>
        <w:rPr>
          <w:rFonts w:ascii="仿宋_GB2312" w:hAnsi="Times New Roman" w:eastAsia="仿宋_GB2312"/>
          <w:color w:val="000000"/>
          <w:sz w:val="32"/>
        </w:rPr>
        <w:t>元，其中：政府采购货物支出</w:t>
      </w:r>
      <w:r>
        <w:rPr>
          <w:rFonts w:ascii="仿宋_GB2312" w:hAnsi="Times New Roman" w:eastAsia="仿宋_GB2312"/>
          <w:sz w:val="32"/>
        </w:rPr>
        <w:t>135,511.00</w:t>
      </w:r>
      <w:r>
        <w:rPr>
          <w:rFonts w:ascii="仿宋_GB2312" w:hAnsi="Times New Roman" w:eastAsia="仿宋_GB2312"/>
          <w:color w:val="000000"/>
          <w:sz w:val="32"/>
        </w:rPr>
        <w:t>元、政府采购工程支出</w:t>
      </w:r>
      <w:r>
        <w:rPr>
          <w:rFonts w:hint="default" w:ascii="仿宋_GB2312" w:hAnsi="Times New Roman" w:eastAsia="仿宋_GB2312"/>
          <w:sz w:val="32"/>
        </w:rPr>
        <w:t>0.00</w:t>
      </w:r>
      <w:r>
        <w:rPr>
          <w:rFonts w:ascii="仿宋_GB2312" w:hAnsi="Times New Roman" w:eastAsia="仿宋_GB2312"/>
          <w:color w:val="000000"/>
          <w:sz w:val="32"/>
        </w:rPr>
        <w:t>元、政府采购服务支出</w:t>
      </w:r>
      <w:r>
        <w:rPr>
          <w:rFonts w:ascii="仿宋_GB2312" w:hAnsi="Times New Roman" w:eastAsia="仿宋_GB2312"/>
          <w:sz w:val="32"/>
        </w:rPr>
        <w:t>2,616,354.72</w:t>
      </w:r>
      <w:r>
        <w:rPr>
          <w:rFonts w:ascii="仿宋_GB2312" w:hAnsi="Times New Roman" w:eastAsia="仿宋_GB2312"/>
          <w:color w:val="000000"/>
          <w:sz w:val="32"/>
        </w:rPr>
        <w:t>元。授予中小企业合同金额</w:t>
      </w:r>
      <w:r>
        <w:rPr>
          <w:rFonts w:ascii="仿宋_GB2312" w:hAnsi="Times New Roman" w:eastAsia="仿宋_GB2312"/>
          <w:sz w:val="32"/>
        </w:rPr>
        <w:t>2,751,865.72</w:t>
      </w:r>
      <w:r>
        <w:rPr>
          <w:rFonts w:ascii="仿宋_GB2312" w:hAnsi="Times New Roman" w:eastAsia="仿宋_GB2312"/>
          <w:color w:val="000000"/>
          <w:sz w:val="32"/>
        </w:rPr>
        <w:t>元，占政府采购支出总额的</w:t>
      </w:r>
      <w:r>
        <w:rPr>
          <w:rFonts w:ascii="仿宋_GB2312" w:hAnsi="Times New Roman" w:eastAsia="仿宋_GB2312"/>
          <w:sz w:val="32"/>
        </w:rPr>
        <w:t>100.00</w:t>
      </w:r>
      <w:r>
        <w:rPr>
          <w:rFonts w:ascii="仿宋_GB2312" w:hAnsi="Times New Roman" w:eastAsia="仿宋_GB2312"/>
          <w:color w:val="000000"/>
          <w:sz w:val="32"/>
        </w:rPr>
        <w:t>%，其中：授予小微企业合同金额</w:t>
      </w:r>
      <w:r>
        <w:rPr>
          <w:rFonts w:ascii="仿宋_GB2312" w:hAnsi="Times New Roman" w:eastAsia="仿宋_GB2312"/>
          <w:sz w:val="32"/>
        </w:rPr>
        <w:t>1,818,262.00</w:t>
      </w:r>
      <w:r>
        <w:rPr>
          <w:rFonts w:ascii="仿宋_GB2312" w:hAnsi="Times New Roman" w:eastAsia="仿宋_GB2312"/>
          <w:color w:val="000000"/>
          <w:sz w:val="32"/>
        </w:rPr>
        <w:t>元，占政府采购支出总额的</w:t>
      </w:r>
      <w:r>
        <w:rPr>
          <w:rFonts w:ascii="仿宋_GB2312" w:hAnsi="Times New Roman" w:eastAsia="仿宋_GB2312"/>
          <w:sz w:val="32"/>
        </w:rPr>
        <w:t>66.07</w:t>
      </w:r>
      <w:r>
        <w:rPr>
          <w:rFonts w:ascii="仿宋_GB2312" w:hAnsi="Times New Roman" w:eastAsia="仿宋_GB2312"/>
          <w:color w:val="000000"/>
          <w:sz w:val="32"/>
        </w:rPr>
        <w:t>%；</w:t>
      </w:r>
      <w:r>
        <w:rPr>
          <w:rFonts w:ascii="仿宋_GB2312" w:hAnsi="Times New Roman" w:eastAsia="仿宋_GB2312"/>
          <w:sz w:val="32"/>
          <w:highlight w:val="white"/>
        </w:rPr>
        <w:t>货物采购授予中小企业合同金额占货物支出金额的100%，工程采购授予中小企业合同金额占工程支</w:t>
      </w:r>
      <w:r>
        <w:rPr>
          <w:rFonts w:ascii="仿宋_GB2312" w:hAnsi="Times New Roman" w:eastAsia="仿宋_GB2312"/>
          <w:sz w:val="32"/>
        </w:rPr>
        <w:t>出金额的0%，</w:t>
      </w:r>
      <w:r>
        <w:rPr>
          <w:rFonts w:ascii="仿宋_GB2312" w:hAnsi="Times New Roman" w:eastAsia="仿宋_GB2312"/>
          <w:sz w:val="32"/>
          <w:highlight w:val="white"/>
        </w:rPr>
        <w:t>服务采购授予中小企业合同金额占服务支出金额的100%。</w:t>
      </w:r>
    </w:p>
    <w:p>
      <w:pPr>
        <w:spacing w:line="600" w:lineRule="exact"/>
        <w:ind w:firstLine="600"/>
        <w:rPr>
          <w:rFonts w:hint="default" w:hAnsi="Times New Roman"/>
          <w:b/>
          <w:sz w:val="32"/>
        </w:rPr>
      </w:pPr>
      <w:r>
        <w:rPr>
          <w:rFonts w:hAnsi="Times New Roman"/>
          <w:b/>
          <w:sz w:val="32"/>
          <w:lang w:val="zh-CN"/>
        </w:rPr>
        <w:t>十二、</w:t>
      </w:r>
      <w:r>
        <w:rPr>
          <w:rFonts w:hAnsi="Times New Roman"/>
          <w:b/>
          <w:sz w:val="32"/>
        </w:rPr>
        <w:t>国有资产占有使用情况说明</w:t>
      </w:r>
    </w:p>
    <w:p>
      <w:pPr>
        <w:spacing w:line="600" w:lineRule="exact"/>
        <w:ind w:firstLine="720"/>
        <w:rPr>
          <w:rFonts w:hint="default" w:ascii="楷体" w:hAnsi="Times New Roman" w:eastAsia="楷体"/>
          <w:sz w:val="32"/>
        </w:rPr>
      </w:pPr>
      <w:r>
        <w:rPr>
          <w:rFonts w:ascii="仿宋_GB2312" w:hAnsi="Times New Roman" w:eastAsia="仿宋_GB2312"/>
          <w:color w:val="000000"/>
          <w:sz w:val="32"/>
        </w:rPr>
        <w:t>天津东疆综合保税区市场监督管理局（行政审批局、政务服务办公室）无国有资产占有使用情况。</w:t>
      </w:r>
    </w:p>
    <w:p>
      <w:pPr>
        <w:spacing w:line="600" w:lineRule="exact"/>
        <w:ind w:firstLine="600"/>
        <w:rPr>
          <w:rFonts w:hint="default" w:hAnsi="Times New Roman"/>
          <w:b/>
          <w:sz w:val="32"/>
        </w:rPr>
      </w:pPr>
      <w:r>
        <w:rPr>
          <w:rFonts w:hAnsi="Times New Roman"/>
          <w:b/>
          <w:sz w:val="32"/>
          <w:lang w:val="zh-CN"/>
        </w:rPr>
        <w:t>十三、</w:t>
      </w:r>
      <w:r>
        <w:rPr>
          <w:rFonts w:hAnsi="Times New Roman"/>
          <w:b/>
          <w:sz w:val="32"/>
        </w:rPr>
        <w:t>预算绩效情况说明</w:t>
      </w:r>
    </w:p>
    <w:p>
      <w:pPr>
        <w:keepNext/>
        <w:keepLines/>
        <w:spacing w:line="600" w:lineRule="exact"/>
        <w:ind w:firstLine="600"/>
        <w:jc w:val="both"/>
        <w:rPr>
          <w:rFonts w:hint="default" w:ascii="仿宋_GB2312" w:hAnsi="Times New Roman" w:eastAsia="仿宋_GB2312"/>
          <w:sz w:val="32"/>
          <w:highlight w:val="white"/>
        </w:rPr>
      </w:pPr>
      <w:r>
        <w:rPr>
          <w:rFonts w:ascii="仿宋_GB2312" w:hAnsi="Times New Roman" w:eastAsia="仿宋_GB2312"/>
          <w:sz w:val="32"/>
          <w:highlight w:val="white"/>
        </w:rPr>
        <w:t>根据预算绩效管理要求，</w:t>
      </w:r>
      <w:r>
        <w:rPr>
          <w:rFonts w:ascii="仿宋_GB2312" w:hAnsi="Times New Roman" w:eastAsia="仿宋_GB2312"/>
          <w:color w:val="000000"/>
          <w:sz w:val="32"/>
        </w:rPr>
        <w:t>天津东疆综合保税区市场监督管理局（行政审批局、政务服务办公室）</w:t>
      </w:r>
      <w:r>
        <w:rPr>
          <w:rFonts w:ascii="仿宋_GB2312" w:hAnsi="Times New Roman" w:eastAsia="仿宋_GB2312"/>
          <w:sz w:val="32"/>
        </w:rPr>
        <w:t>2022年度已对10个项目开展绩效自评，涉及金额6,061,820.00元，自评结果已随部门决算一并公开。</w:t>
      </w:r>
    </w:p>
    <w:p>
      <w:pPr>
        <w:spacing w:line="600" w:lineRule="exact"/>
        <w:ind w:firstLine="600"/>
        <w:rPr>
          <w:rFonts w:hint="default" w:hAnsi="Times New Roman"/>
          <w:b/>
          <w:sz w:val="32"/>
        </w:rPr>
      </w:pPr>
      <w:r>
        <w:rPr>
          <w:rFonts w:hAnsi="Times New Roman"/>
          <w:b/>
          <w:sz w:val="32"/>
          <w:lang w:val="zh-CN"/>
        </w:rPr>
        <w:t>十四、</w:t>
      </w:r>
      <w:r>
        <w:rPr>
          <w:rFonts w:hAnsi="Times New Roman"/>
          <w:b/>
          <w:sz w:val="32"/>
        </w:rPr>
        <w:t>教育、医疗卫生、社会保障和就业、住房保障、涉农补贴等民生支出情况说明</w:t>
      </w:r>
    </w:p>
    <w:p>
      <w:pPr>
        <w:spacing w:line="600" w:lineRule="exact"/>
        <w:ind w:firstLine="600"/>
        <w:jc w:val="both"/>
        <w:rPr>
          <w:rFonts w:hint="default" w:ascii="仿宋_GB2312" w:hAnsi="Times New Roman" w:eastAsia="仿宋_GB2312"/>
          <w:color w:val="000000"/>
          <w:sz w:val="32"/>
        </w:rPr>
      </w:pPr>
      <w:r>
        <w:rPr>
          <w:rFonts w:ascii="仿宋_GB2312" w:hAnsi="Times New Roman" w:eastAsia="仿宋_GB2312"/>
          <w:color w:val="000000"/>
          <w:sz w:val="32"/>
        </w:rPr>
        <w:t>天津东疆综合保税区市场监督管理局（行政审批局、政务服务办公室）不属于乡、镇、街级单位，不涉及公开2022年度教育、医疗卫生、社会保障和就业、住房保障、涉农补贴等民生支出情况。</w:t>
      </w:r>
    </w:p>
    <w:p>
      <w:pPr>
        <w:rPr>
          <w:rFonts w:hint="default" w:ascii="仿宋_GB2312" w:hAnsi="Times New Roman" w:eastAsia="仿宋_GB2312"/>
          <w:color w:val="000000"/>
          <w:sz w:val="32"/>
        </w:rPr>
      </w:pPr>
      <w:r>
        <w:rPr>
          <w:rFonts w:hint="default" w:ascii="仿宋_GB2312" w:hAnsi="Times New Roman" w:eastAsia="仿宋_GB2312"/>
          <w:color w:val="000000"/>
          <w:sz w:val="32"/>
        </w:rPr>
        <w:br w:type="page"/>
      </w:r>
    </w:p>
    <w:p>
      <w:pPr>
        <w:pStyle w:val="2"/>
        <w:keepNext/>
        <w:keepLines/>
        <w:spacing w:line="600" w:lineRule="exact"/>
        <w:jc w:val="center"/>
        <w:rPr>
          <w:rFonts w:hint="default" w:ascii="方正小标宋简体" w:hAnsi="Times New Roman" w:eastAsia="方正小标宋简体"/>
          <w:kern w:val="44"/>
          <w:sz w:val="44"/>
        </w:rPr>
      </w:pPr>
      <w:r>
        <w:rPr>
          <w:rFonts w:ascii="方正小标宋简体" w:hAnsi="Times New Roman" w:eastAsia="方正小标宋简体"/>
          <w:kern w:val="44"/>
          <w:sz w:val="44"/>
        </w:rPr>
        <w:t>第四部分  名词解释</w:t>
      </w:r>
    </w:p>
    <w:p>
      <w:pPr>
        <w:spacing w:line="600" w:lineRule="exact"/>
        <w:ind w:firstLine="600"/>
        <w:rPr>
          <w:rFonts w:hint="default" w:ascii="仿宋_GB2312" w:hAnsi="Times New Roman" w:eastAsia="仿宋_GB2312"/>
          <w:sz w:val="30"/>
        </w:rPr>
      </w:pPr>
    </w:p>
    <w:p>
      <w:pPr>
        <w:spacing w:line="600" w:lineRule="exact"/>
        <w:ind w:firstLine="600"/>
        <w:rPr>
          <w:rFonts w:hint="default" w:ascii="仿宋_GB2312" w:hAnsi="Times New Roman" w:eastAsia="仿宋_GB2312"/>
          <w:sz w:val="32"/>
        </w:rPr>
      </w:pPr>
      <w:r>
        <w:rPr>
          <w:rFonts w:ascii="仿宋_GB2312" w:hAnsi="Times New Roman" w:eastAsia="仿宋_GB2312"/>
          <w:sz w:val="32"/>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default" w:ascii="仿宋_GB2312" w:hAnsi="Times New Roman" w:eastAsia="仿宋_GB2312"/>
          <w:sz w:val="32"/>
        </w:rPr>
      </w:pPr>
      <w:r>
        <w:rPr>
          <w:rFonts w:ascii="仿宋_GB2312" w:hAnsi="Times New Roman" w:eastAsia="仿宋_GB2312"/>
          <w:sz w:val="32"/>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default" w:ascii="仿宋_GB2312" w:hAnsi="Times New Roman" w:eastAsia="仿宋_GB2312"/>
          <w:sz w:val="32"/>
        </w:rPr>
      </w:pPr>
      <w:r>
        <w:rPr>
          <w:rFonts w:ascii="仿宋_GB2312" w:hAnsi="Times New Roman" w:eastAsia="仿宋_GB2312"/>
          <w:sz w:val="32"/>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default" w:ascii="楷体" w:hAnsi="Times New Roman" w:eastAsia="楷体"/>
          <w:sz w:val="30"/>
        </w:rPr>
      </w:pPr>
    </w:p>
    <w:sectPr>
      <w:footerReference r:id="rId3"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rPr>
    </w:pPr>
    <w:r>
      <w:fldChar w:fldCharType="begin"/>
    </w:r>
    <w:r>
      <w:instrText xml:space="preserve"> PAGE   \* MERGEFORMAT </w:instrText>
    </w:r>
    <w:r>
      <w:fldChar w:fldCharType="separate"/>
    </w:r>
    <w:r>
      <w:rPr>
        <w:rFonts w:hint="default"/>
        <w:lang w:val="zh-CN"/>
      </w:rPr>
      <w:t>11</w:t>
    </w:r>
    <w:r>
      <w:rPr>
        <w:lang w:val="zh-CN"/>
      </w:rPr>
      <w:fldChar w:fldCharType="end"/>
    </w:r>
  </w:p>
  <w:p>
    <w:pPr>
      <w:pStyle w:val="6"/>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drawingGridHorizontalSpacing w:val="120"/>
  <w:drawingGridVerticalSpacing w:val="120"/>
  <w:displayHorizontalDrawingGridEvery w:val="0"/>
  <w:displayVerticalDrawingGridEvery w:val="3"/>
  <w:doNotUseMarginsForDrawingGridOrigin w:val="true"/>
  <w:drawingGridHorizontalOrigin w:val="1800"/>
  <w:drawingGridVerticalOrigin w:val="1440"/>
  <w:doNotShadeFormData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2Q0NmY0OWEzODFmMjAwYmU5NzU2Nzk1ZDIwMzUifQ=="/>
  </w:docVars>
  <w:rsids>
    <w:rsidRoot w:val="00172A27"/>
    <w:rsid w:val="00086CC0"/>
    <w:rsid w:val="00172A27"/>
    <w:rsid w:val="00F078ED"/>
    <w:rsid w:val="30AC4F74"/>
    <w:rsid w:val="7ADF49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uiPriority="9" w:name="heading 3"/>
    <w:lsdException w:uiPriority="9" w:name="heading 4"/>
    <w:lsdException w:uiPriority="9" w:name="heading 5"/>
    <w:lsdException w:uiPriority="9" w:name="heading 6"/>
    <w:lsdException w:uiPriority="9" w:name="heading 7"/>
    <w:lsdException w:uiPriority="9" w:name="heading 8"/>
    <w:lsdException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uiPriority="35"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uiPriority="1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uiPriority="11"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uiPriority="22" w:name="Strong"/>
    <w:lsdException w:uiPriority="2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iPriority="99" w:semiHidden="0" w:name="Balloon Text"/>
    <w:lsdException w:uiPriority="59"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autoSpaceDE w:val="0"/>
      <w:autoSpaceDN w:val="0"/>
      <w:adjustRightInd w:val="0"/>
    </w:pPr>
    <w:rPr>
      <w:rFonts w:hint="eastAsia" w:ascii="黑体" w:hAnsi="Calibri" w:eastAsia="黑体" w:cs="Times New Roman"/>
      <w:sz w:val="24"/>
      <w:szCs w:val="24"/>
      <w:lang w:val="en-US" w:eastAsia="zh-CN" w:bidi="ar-SA"/>
    </w:rPr>
  </w:style>
  <w:style w:type="paragraph" w:styleId="2">
    <w:name w:val="heading 1"/>
    <w:basedOn w:val="1"/>
    <w:next w:val="1"/>
    <w:link w:val="13"/>
    <w:unhideWhenUsed/>
    <w:qFormat/>
    <w:uiPriority w:val="99"/>
    <w:pPr>
      <w:outlineLvl w:val="0"/>
    </w:pPr>
  </w:style>
  <w:style w:type="paragraph" w:styleId="3">
    <w:name w:val="heading 2"/>
    <w:basedOn w:val="1"/>
    <w:next w:val="1"/>
    <w:link w:val="14"/>
    <w:unhideWhenUsed/>
    <w:qFormat/>
    <w:uiPriority w:val="99"/>
    <w:pPr>
      <w:outlineLvl w:val="1"/>
    </w:p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style>
  <w:style w:type="paragraph" w:styleId="5">
    <w:name w:val="Balloon Text"/>
    <w:basedOn w:val="1"/>
    <w:link w:val="18"/>
    <w:unhideWhenUsed/>
    <w:qFormat/>
    <w:uiPriority w:val="99"/>
    <w:rPr>
      <w:sz w:val="18"/>
    </w:rPr>
  </w:style>
  <w:style w:type="paragraph" w:styleId="6">
    <w:name w:val="footer"/>
    <w:basedOn w:val="1"/>
    <w:link w:val="20"/>
    <w:unhideWhenUsed/>
    <w:qFormat/>
    <w:uiPriority w:val="99"/>
    <w:pPr>
      <w:tabs>
        <w:tab w:val="center" w:pos="4153"/>
        <w:tab w:val="right" w:pos="8306"/>
      </w:tabs>
      <w:snapToGrid w:val="0"/>
    </w:pPr>
    <w:rPr>
      <w:sz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rPr>
  </w:style>
  <w:style w:type="paragraph" w:styleId="8">
    <w:name w:val="annotation subject"/>
    <w:basedOn w:val="1"/>
    <w:next w:val="4"/>
    <w:link w:val="17"/>
    <w:unhideWhenUsed/>
    <w:qFormat/>
    <w:uiPriority w:val="99"/>
    <w:rPr>
      <w:b/>
    </w:rPr>
  </w:style>
  <w:style w:type="character" w:styleId="11">
    <w:name w:val="annotation reference"/>
    <w:basedOn w:val="10"/>
    <w:unhideWhenUsed/>
    <w:qFormat/>
    <w:uiPriority w:val="99"/>
    <w:rPr>
      <w:rFonts w:hint="default" w:cs="Times New Roman"/>
      <w:sz w:val="21"/>
      <w:szCs w:val="24"/>
    </w:rPr>
  </w:style>
  <w:style w:type="paragraph" w:customStyle="1" w:styleId="12">
    <w:name w:val="修订1"/>
    <w:basedOn w:val="1"/>
    <w:unhideWhenUsed/>
    <w:qFormat/>
    <w:uiPriority w:val="99"/>
    <w:pPr>
      <w:widowControl/>
      <w:autoSpaceDE/>
      <w:autoSpaceDN/>
      <w:adjustRightInd/>
    </w:pPr>
  </w:style>
  <w:style w:type="character" w:customStyle="1" w:styleId="13">
    <w:name w:val="标题 1 Char"/>
    <w:basedOn w:val="10"/>
    <w:link w:val="2"/>
    <w:unhideWhenUsed/>
    <w:qFormat/>
    <w:locked/>
    <w:uiPriority w:val="9"/>
    <w:rPr>
      <w:rFonts w:hint="eastAsia" w:ascii="黑体" w:hAnsi="Wingdings" w:eastAsia="黑体" w:cs="Times New Roman"/>
      <w:b/>
      <w:kern w:val="44"/>
      <w:sz w:val="44"/>
      <w:szCs w:val="24"/>
    </w:rPr>
  </w:style>
  <w:style w:type="character" w:customStyle="1" w:styleId="14">
    <w:name w:val="标题 2 Char"/>
    <w:basedOn w:val="10"/>
    <w:link w:val="3"/>
    <w:unhideWhenUsed/>
    <w:qFormat/>
    <w:locked/>
    <w:uiPriority w:val="9"/>
    <w:rPr>
      <w:rFonts w:hint="eastAsia" w:ascii="Cambria" w:hAnsi="Wingdings" w:cs="Times New Roman"/>
      <w:b/>
      <w:sz w:val="32"/>
      <w:szCs w:val="24"/>
    </w:rPr>
  </w:style>
  <w:style w:type="character" w:customStyle="1" w:styleId="15">
    <w:name w:val="批注主题 Char"/>
    <w:basedOn w:val="10"/>
    <w:link w:val="8"/>
    <w:unhideWhenUsed/>
    <w:qFormat/>
    <w:locked/>
    <w:uiPriority w:val="99"/>
    <w:rPr>
      <w:rFonts w:hint="eastAsia" w:ascii="黑体" w:hAnsi="Calibri" w:eastAsia="黑体" w:cs="Times New Roman"/>
      <w:b/>
      <w:sz w:val="24"/>
      <w:szCs w:val="24"/>
    </w:rPr>
  </w:style>
  <w:style w:type="character" w:customStyle="1" w:styleId="16">
    <w:name w:val="页眉 Char"/>
    <w:basedOn w:val="10"/>
    <w:link w:val="7"/>
    <w:unhideWhenUsed/>
    <w:qFormat/>
    <w:locked/>
    <w:uiPriority w:val="99"/>
    <w:rPr>
      <w:rFonts w:hint="eastAsia" w:ascii="黑体" w:hAnsi="Calibri" w:eastAsia="黑体" w:cs="Times New Roman"/>
      <w:sz w:val="24"/>
      <w:szCs w:val="24"/>
    </w:rPr>
  </w:style>
  <w:style w:type="character" w:customStyle="1" w:styleId="17">
    <w:name w:val="批注主题 Char1"/>
    <w:basedOn w:val="10"/>
    <w:link w:val="8"/>
    <w:unhideWhenUsed/>
    <w:qFormat/>
    <w:locked/>
    <w:uiPriority w:val="99"/>
    <w:rPr>
      <w:rFonts w:hint="eastAsia" w:ascii="黑体" w:hAnsi="Calibri" w:eastAsia="黑体" w:cs="Times New Roman"/>
      <w:b/>
      <w:sz w:val="24"/>
      <w:szCs w:val="24"/>
    </w:rPr>
  </w:style>
  <w:style w:type="character" w:customStyle="1" w:styleId="18">
    <w:name w:val="批注框文本 Char"/>
    <w:basedOn w:val="10"/>
    <w:link w:val="5"/>
    <w:unhideWhenUsed/>
    <w:qFormat/>
    <w:locked/>
    <w:uiPriority w:val="99"/>
    <w:rPr>
      <w:rFonts w:hint="eastAsia" w:ascii="黑体" w:hAnsi="Calibri" w:eastAsia="黑体" w:cs="Times New Roman"/>
      <w:sz w:val="18"/>
      <w:szCs w:val="18"/>
    </w:rPr>
  </w:style>
  <w:style w:type="character" w:customStyle="1" w:styleId="19">
    <w:name w:val="正文 CharProp Char"/>
    <w:unhideWhenUsed/>
    <w:qFormat/>
    <w:uiPriority w:val="0"/>
    <w:rPr>
      <w:rFonts w:hint="default"/>
      <w:kern w:val="2"/>
      <w:sz w:val="24"/>
      <w:szCs w:val="24"/>
    </w:rPr>
  </w:style>
  <w:style w:type="character" w:customStyle="1" w:styleId="20">
    <w:name w:val="页脚 Char"/>
    <w:basedOn w:val="10"/>
    <w:link w:val="6"/>
    <w:unhideWhenUsed/>
    <w:qFormat/>
    <w:locked/>
    <w:uiPriority w:val="99"/>
    <w:rPr>
      <w:rFonts w:hint="eastAsia" w:ascii="黑体" w:hAnsi="Calibri" w:eastAsia="黑体" w:cs="Times New Roman"/>
      <w:sz w:val="18"/>
      <w:szCs w:val="18"/>
    </w:rPr>
  </w:style>
  <w:style w:type="character" w:customStyle="1" w:styleId="21">
    <w:name w:val="页眉 Char1"/>
    <w:basedOn w:val="10"/>
    <w:link w:val="7"/>
    <w:unhideWhenUsed/>
    <w:qFormat/>
    <w:locked/>
    <w:uiPriority w:val="99"/>
    <w:rPr>
      <w:rFonts w:hint="eastAsia" w:ascii="黑体" w:hAnsi="Calibri" w:eastAsia="黑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5639</Words>
  <Characters>1206</Characters>
  <Lines>10</Lines>
  <Paragraphs>13</Paragraphs>
  <TotalTime>24</TotalTime>
  <ScaleCrop>false</ScaleCrop>
  <LinksUpToDate>false</LinksUpToDate>
  <CharactersWithSpaces>6832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2023-09-19T11:30:00Z</dcterms:created>
  <dc:creator>dell</dc:creator>
  <cp:lastModifiedBy>greatwall</cp:lastModifiedBy>
  <dcterms:modified xsi:type="dcterms:W3CDTF">2023-09-19T17:51:35Z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1AE9D12D1AFB4AE1B8948A2D76D65ADC_13</vt:lpwstr>
  </property>
</Properties>
</file>