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Style w:val="5"/>
          <w:rFonts w:hint="eastAsia" w:ascii="方正小标宋简体" w:hAnsi="方正小标宋简体" w:eastAsia="方正小标宋简体" w:cs="方正小标宋简体"/>
          <w:i w:val="0"/>
          <w:iCs w:val="0"/>
          <w:caps w:val="0"/>
          <w:color w:val="4D4F53"/>
          <w:spacing w:val="0"/>
          <w:sz w:val="48"/>
          <w:szCs w:val="48"/>
          <w:shd w:val="clear" w:fill="FFFFFF"/>
        </w:rPr>
      </w:pPr>
      <w:r>
        <w:rPr>
          <w:rStyle w:val="5"/>
          <w:rFonts w:hint="eastAsia" w:ascii="方正小标宋简体" w:hAnsi="方正小标宋简体" w:eastAsia="方正小标宋简体" w:cs="方正小标宋简体"/>
          <w:i w:val="0"/>
          <w:iCs w:val="0"/>
          <w:caps w:val="0"/>
          <w:color w:val="4D4F53"/>
          <w:spacing w:val="0"/>
          <w:sz w:val="48"/>
          <w:szCs w:val="48"/>
          <w:shd w:val="clear" w:fill="FFFFFF"/>
          <w:lang w:val="en-US" w:eastAsia="zh-CN"/>
        </w:rPr>
        <w:t>天津东疆保税港区自贸片区工作局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方正小标宋简体" w:hAnsi="方正小标宋简体" w:eastAsia="方正小标宋简体" w:cs="方正小标宋简体"/>
          <w:i w:val="0"/>
          <w:iCs w:val="0"/>
          <w:caps w:val="0"/>
          <w:color w:val="4D4F53"/>
          <w:spacing w:val="0"/>
          <w:sz w:val="48"/>
          <w:szCs w:val="48"/>
        </w:rPr>
      </w:pPr>
      <w:r>
        <w:rPr>
          <w:rStyle w:val="5"/>
          <w:rFonts w:hint="eastAsia" w:ascii="方正小标宋简体" w:hAnsi="方正小标宋简体" w:eastAsia="方正小标宋简体" w:cs="方正小标宋简体"/>
          <w:i w:val="0"/>
          <w:iCs w:val="0"/>
          <w:caps w:val="0"/>
          <w:color w:val="4D4F53"/>
          <w:spacing w:val="0"/>
          <w:sz w:val="48"/>
          <w:szCs w:val="48"/>
          <w:shd w:val="clear" w:fill="FFFFFF"/>
        </w:rPr>
        <w:t>202</w:t>
      </w:r>
      <w:r>
        <w:rPr>
          <w:rStyle w:val="5"/>
          <w:rFonts w:hint="eastAsia" w:ascii="方正小标宋简体" w:hAnsi="方正小标宋简体" w:eastAsia="方正小标宋简体" w:cs="方正小标宋简体"/>
          <w:i w:val="0"/>
          <w:iCs w:val="0"/>
          <w:caps w:val="0"/>
          <w:color w:val="4D4F53"/>
          <w:spacing w:val="0"/>
          <w:sz w:val="48"/>
          <w:szCs w:val="48"/>
          <w:shd w:val="clear" w:fill="FFFFFF"/>
          <w:lang w:val="en-US" w:eastAsia="zh-CN"/>
        </w:rPr>
        <w:t>2</w:t>
      </w:r>
      <w:r>
        <w:rPr>
          <w:rStyle w:val="5"/>
          <w:rFonts w:hint="eastAsia" w:ascii="方正小标宋简体" w:hAnsi="方正小标宋简体" w:eastAsia="方正小标宋简体" w:cs="方正小标宋简体"/>
          <w:i w:val="0"/>
          <w:iCs w:val="0"/>
          <w:caps w:val="0"/>
          <w:color w:val="4D4F53"/>
          <w:spacing w:val="0"/>
          <w:sz w:val="48"/>
          <w:szCs w:val="48"/>
          <w:shd w:val="clear" w:fill="FFFFFF"/>
        </w:rPr>
        <w:t>年部门预算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微软雅黑" w:hAnsi="微软雅黑" w:eastAsia="微软雅黑" w:cs="微软雅黑"/>
          <w:i w:val="0"/>
          <w:iCs w:val="0"/>
          <w:caps w:val="0"/>
          <w:color w:val="4D4F5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4D4F53"/>
          <w:spacing w:val="0"/>
          <w:sz w:val="44"/>
          <w:szCs w:val="44"/>
        </w:rPr>
      </w:pPr>
      <w:r>
        <w:rPr>
          <w:rFonts w:hint="eastAsia" w:ascii="黑体" w:hAnsi="黑体" w:eastAsia="黑体" w:cs="黑体"/>
          <w:i w:val="0"/>
          <w:iCs w:val="0"/>
          <w:caps w:val="0"/>
          <w:color w:val="4D4F53"/>
          <w:spacing w:val="0"/>
          <w:sz w:val="44"/>
          <w:szCs w:val="44"/>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rPr>
          <w:rFonts w:hint="eastAsia" w:ascii="仿宋_GB2312" w:hAnsi="仿宋_GB2312" w:eastAsia="仿宋_GB2312" w:cs="仿宋_GB2312"/>
          <w:b/>
          <w:bCs w:val="0"/>
          <w:i w:val="0"/>
          <w:iCs w:val="0"/>
          <w:caps w:val="0"/>
          <w:color w:val="323232"/>
          <w:spacing w:val="0"/>
          <w:sz w:val="30"/>
          <w:szCs w:val="30"/>
        </w:rPr>
      </w:pPr>
      <w:r>
        <w:rPr>
          <w:rStyle w:val="5"/>
          <w:rFonts w:hint="eastAsia" w:ascii="仿宋_GB2312" w:hAnsi="仿宋_GB2312" w:eastAsia="仿宋_GB2312" w:cs="仿宋_GB2312"/>
          <w:b/>
          <w:bCs w:val="0"/>
          <w:i w:val="0"/>
          <w:iCs w:val="0"/>
          <w:caps w:val="0"/>
          <w:color w:val="323232"/>
          <w:spacing w:val="0"/>
          <w:sz w:val="30"/>
          <w:szCs w:val="30"/>
          <w:shd w:val="clear" w:fill="FFFFFF"/>
        </w:rPr>
        <w:t>一、部门主要职责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仿宋_GB2312" w:hAnsi="仿宋_GB2312" w:eastAsia="仿宋_GB2312" w:cs="仿宋_GB2312"/>
          <w:b/>
          <w:bCs w:val="0"/>
          <w:i w:val="0"/>
          <w:iCs w:val="0"/>
          <w:caps w:val="0"/>
          <w:color w:val="323232"/>
          <w:spacing w:val="0"/>
          <w:sz w:val="30"/>
          <w:szCs w:val="30"/>
        </w:rPr>
      </w:pPr>
      <w:r>
        <w:rPr>
          <w:rStyle w:val="5"/>
          <w:rFonts w:hint="eastAsia" w:ascii="仿宋_GB2312" w:hAnsi="仿宋_GB2312" w:eastAsia="仿宋_GB2312" w:cs="仿宋_GB2312"/>
          <w:b/>
          <w:bCs w:val="0"/>
          <w:i w:val="0"/>
          <w:iCs w:val="0"/>
          <w:caps w:val="0"/>
          <w:color w:val="323232"/>
          <w:spacing w:val="0"/>
          <w:sz w:val="30"/>
          <w:szCs w:val="30"/>
          <w:shd w:val="clear" w:fill="FFFFFF"/>
        </w:rPr>
        <w:t>二、部门机构设置情况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rPr>
          <w:rStyle w:val="5"/>
          <w:rFonts w:hint="eastAsia" w:ascii="仿宋_GB2312" w:hAnsi="仿宋_GB2312" w:eastAsia="仿宋_GB2312" w:cs="仿宋_GB2312"/>
          <w:b/>
          <w:bCs w:val="0"/>
          <w:i w:val="0"/>
          <w:iCs w:val="0"/>
          <w:caps w:val="0"/>
          <w:color w:val="323232"/>
          <w:spacing w:val="0"/>
          <w:sz w:val="30"/>
          <w:szCs w:val="30"/>
          <w:shd w:val="clear" w:fill="FFFFFF"/>
        </w:rPr>
      </w:pPr>
      <w:r>
        <w:rPr>
          <w:rStyle w:val="5"/>
          <w:rFonts w:hint="eastAsia" w:ascii="仿宋_GB2312" w:hAnsi="仿宋_GB2312" w:eastAsia="仿宋_GB2312" w:cs="仿宋_GB2312"/>
          <w:b/>
          <w:bCs w:val="0"/>
          <w:i w:val="0"/>
          <w:iCs w:val="0"/>
          <w:caps w:val="0"/>
          <w:color w:val="323232"/>
          <w:spacing w:val="0"/>
          <w:sz w:val="30"/>
          <w:szCs w:val="30"/>
          <w:shd w:val="clear" w:fill="FFFFFF"/>
        </w:rPr>
        <w:t>三、部门预算草案编制情况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Style w:val="5"/>
          <w:rFonts w:hint="eastAsia" w:ascii="仿宋_GB2312" w:hAnsi="仿宋_GB2312" w:eastAsia="仿宋_GB2312" w:cs="仿宋_GB2312"/>
          <w:b/>
          <w:bCs w:val="0"/>
          <w:i w:val="0"/>
          <w:iCs w:val="0"/>
          <w:caps w:val="0"/>
          <w:color w:val="323232"/>
          <w:spacing w:val="0"/>
          <w:sz w:val="30"/>
          <w:szCs w:val="30"/>
          <w:shd w:val="clear" w:fill="FFFFFF"/>
        </w:rPr>
      </w:pPr>
      <w:r>
        <w:rPr>
          <w:rStyle w:val="5"/>
          <w:rFonts w:hint="eastAsia" w:ascii="仿宋_GB2312" w:hAnsi="仿宋_GB2312" w:eastAsia="仿宋_GB2312" w:cs="仿宋_GB2312"/>
          <w:b/>
          <w:bCs w:val="0"/>
          <w:i w:val="0"/>
          <w:iCs w:val="0"/>
          <w:caps w:val="0"/>
          <w:color w:val="323232"/>
          <w:spacing w:val="0"/>
          <w:sz w:val="30"/>
          <w:szCs w:val="30"/>
          <w:shd w:val="clear" w:fill="FFFFFF"/>
        </w:rPr>
        <w:t>四、其他重要事项的情况说明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Style w:val="5"/>
          <w:rFonts w:hint="eastAsia" w:ascii="微软雅黑" w:hAnsi="微软雅黑" w:eastAsia="微软雅黑" w:cs="微软雅黑"/>
          <w:i w:val="0"/>
          <w:iCs w:val="0"/>
          <w:caps w:val="0"/>
          <w:color w:val="323232"/>
          <w:spacing w:val="0"/>
          <w:sz w:val="21"/>
          <w:szCs w:val="21"/>
          <w:shd w:val="clear" w:fill="FFFFFF"/>
          <w:lang w:val="en-US" w:eastAsia="zh-CN"/>
        </w:rPr>
      </w:pPr>
      <w:r>
        <w:rPr>
          <w:rStyle w:val="5"/>
          <w:rFonts w:hint="eastAsia" w:ascii="仿宋_GB2312" w:hAnsi="仿宋_GB2312" w:eastAsia="仿宋_GB2312" w:cs="仿宋_GB2312"/>
          <w:b/>
          <w:bCs w:val="0"/>
          <w:i w:val="0"/>
          <w:iCs w:val="0"/>
          <w:caps w:val="0"/>
          <w:color w:val="323232"/>
          <w:spacing w:val="0"/>
          <w:sz w:val="30"/>
          <w:szCs w:val="30"/>
          <w:shd w:val="clear" w:fill="FFFFFF"/>
          <w:lang w:val="en-US" w:eastAsia="zh-CN"/>
        </w:rPr>
        <w:t>五、</w:t>
      </w:r>
      <w:r>
        <w:rPr>
          <w:rStyle w:val="5"/>
          <w:rFonts w:hint="eastAsia" w:ascii="仿宋_GB2312" w:hAnsi="仿宋_GB2312" w:eastAsia="仿宋_GB2312" w:cs="仿宋_GB2312"/>
          <w:b/>
          <w:bCs w:val="0"/>
          <w:i w:val="0"/>
          <w:iCs w:val="0"/>
          <w:caps w:val="0"/>
          <w:color w:val="323232"/>
          <w:spacing w:val="0"/>
          <w:sz w:val="30"/>
          <w:szCs w:val="30"/>
          <w:shd w:val="clear" w:fill="FFFFFF"/>
        </w:rPr>
        <w:t>202</w:t>
      </w:r>
      <w:r>
        <w:rPr>
          <w:rStyle w:val="5"/>
          <w:rFonts w:hint="eastAsia" w:ascii="仿宋_GB2312" w:hAnsi="仿宋_GB2312" w:eastAsia="仿宋_GB2312" w:cs="仿宋_GB2312"/>
          <w:b/>
          <w:bCs w:val="0"/>
          <w:i w:val="0"/>
          <w:iCs w:val="0"/>
          <w:caps w:val="0"/>
          <w:color w:val="323232"/>
          <w:spacing w:val="0"/>
          <w:sz w:val="30"/>
          <w:szCs w:val="30"/>
          <w:shd w:val="clear" w:fill="FFFFFF"/>
          <w:lang w:val="en-US" w:eastAsia="zh-CN"/>
        </w:rPr>
        <w:t>2</w:t>
      </w:r>
      <w:r>
        <w:rPr>
          <w:rStyle w:val="5"/>
          <w:rFonts w:hint="eastAsia" w:ascii="仿宋_GB2312" w:hAnsi="仿宋_GB2312" w:eastAsia="仿宋_GB2312" w:cs="仿宋_GB2312"/>
          <w:b/>
          <w:bCs w:val="0"/>
          <w:i w:val="0"/>
          <w:iCs w:val="0"/>
          <w:caps w:val="0"/>
          <w:color w:val="323232"/>
          <w:spacing w:val="0"/>
          <w:sz w:val="30"/>
          <w:szCs w:val="30"/>
          <w:shd w:val="clear" w:fill="FFFFFF"/>
        </w:rPr>
        <w:t>年部门预算表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420" w:leftChars="0" w:right="0" w:rightChars="0"/>
        <w:jc w:val="both"/>
        <w:rPr>
          <w:rStyle w:val="5"/>
          <w:rFonts w:hint="eastAsia" w:ascii="仿宋_GB2312" w:hAnsi="仿宋_GB2312" w:eastAsia="仿宋_GB2312" w:cs="仿宋_GB2312"/>
          <w:b/>
          <w:bCs w:val="0"/>
          <w:i w:val="0"/>
          <w:iCs w:val="0"/>
          <w:caps w:val="0"/>
          <w:color w:val="323232"/>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rPr>
          <w:rFonts w:ascii="微软雅黑" w:hAnsi="微软雅黑" w:eastAsia="微软雅黑" w:cs="微软雅黑"/>
          <w:i w:val="0"/>
          <w:iCs w:val="0"/>
          <w:caps w:val="0"/>
          <w:color w:val="323232"/>
          <w:spacing w:val="0"/>
          <w:sz w:val="21"/>
          <w:szCs w:val="21"/>
        </w:rPr>
      </w:pPr>
      <w:r>
        <w:rPr>
          <w:rStyle w:val="5"/>
          <w:rFonts w:hint="eastAsia" w:ascii="黑体" w:hAnsi="黑体" w:eastAsia="黑体" w:cs="黑体"/>
          <w:b/>
          <w:bCs w:val="0"/>
          <w:i w:val="0"/>
          <w:iCs w:val="0"/>
          <w:caps w:val="0"/>
          <w:color w:val="323232"/>
          <w:spacing w:val="0"/>
          <w:sz w:val="30"/>
          <w:szCs w:val="30"/>
          <w:shd w:val="clear" w:fill="FFFFFF"/>
        </w:rPr>
        <w:t>一、部门主要职责</w:t>
      </w:r>
    </w:p>
    <w:p>
      <w:pPr>
        <w:pStyle w:val="2"/>
        <w:keepNext w:val="0"/>
        <w:keepLines w:val="0"/>
        <w:widowControl/>
        <w:suppressLineNumbers w:val="0"/>
        <w:spacing w:before="0" w:beforeAutospacing="0" w:after="0" w:afterAutospacing="0" w:line="588" w:lineRule="atLeast"/>
        <w:ind w:left="0" w:right="0" w:firstLine="420"/>
        <w:jc w:val="both"/>
        <w:rPr>
          <w:rFonts w:hint="eastAsia" w:ascii="仿宋_GB2312" w:hAnsi="仿宋_GB2312" w:eastAsia="仿宋_GB2312" w:cs="仿宋_GB2312"/>
          <w:color w:val="323232"/>
          <w:sz w:val="30"/>
          <w:szCs w:val="30"/>
        </w:rPr>
      </w:pPr>
      <w:r>
        <w:rPr>
          <w:rFonts w:hint="eastAsia" w:ascii="仿宋_GB2312" w:hAnsi="仿宋_GB2312" w:eastAsia="仿宋_GB2312" w:cs="仿宋_GB2312"/>
          <w:color w:val="323232"/>
          <w:sz w:val="30"/>
          <w:szCs w:val="30"/>
          <w:shd w:val="clear" w:fill="FFFFFF"/>
        </w:rPr>
        <w:t>自贸片区工作局负责推动自贸区制度、政策、功能和产业的创新发展与落地实施；负责区域发展战略、产业、招商引资政策及管理体制改革的研究；承担本部门主管行业、业务的安全生产工作。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rPr>
          <w:rStyle w:val="5"/>
          <w:rFonts w:hint="eastAsia" w:ascii="黑体" w:hAnsi="黑体" w:eastAsia="黑体" w:cs="黑体"/>
          <w:b/>
          <w:bCs w:val="0"/>
          <w:i w:val="0"/>
          <w:iCs w:val="0"/>
          <w:caps w:val="0"/>
          <w:color w:val="323232"/>
          <w:spacing w:val="0"/>
          <w:sz w:val="30"/>
          <w:szCs w:val="30"/>
          <w:shd w:val="clear" w:fill="FFFFFF"/>
        </w:rPr>
      </w:pPr>
      <w:r>
        <w:rPr>
          <w:rStyle w:val="5"/>
          <w:rFonts w:hint="eastAsia" w:ascii="黑体" w:hAnsi="黑体" w:eastAsia="黑体" w:cs="黑体"/>
          <w:b/>
          <w:bCs w:val="0"/>
          <w:i w:val="0"/>
          <w:iCs w:val="0"/>
          <w:caps w:val="0"/>
          <w:color w:val="323232"/>
          <w:spacing w:val="0"/>
          <w:sz w:val="30"/>
          <w:szCs w:val="30"/>
          <w:shd w:val="clear" w:fill="FFFFFF"/>
        </w:rPr>
        <w:t>二、部门机构设置情况</w:t>
      </w:r>
    </w:p>
    <w:p>
      <w:pPr>
        <w:pStyle w:val="2"/>
        <w:keepNext w:val="0"/>
        <w:keepLines w:val="0"/>
        <w:widowControl/>
        <w:suppressLineNumbers w:val="0"/>
        <w:spacing w:before="0" w:beforeAutospacing="0" w:after="0" w:afterAutospacing="0" w:line="588" w:lineRule="atLeast"/>
        <w:ind w:left="0" w:right="0" w:firstLine="420"/>
        <w:jc w:val="both"/>
        <w:rPr>
          <w:rFonts w:hint="eastAsia" w:ascii="仿宋_GB2312" w:hAnsi="仿宋_GB2312" w:eastAsia="仿宋_GB2312" w:cs="仿宋_GB2312"/>
          <w:color w:val="323232"/>
          <w:sz w:val="30"/>
          <w:szCs w:val="30"/>
          <w:shd w:val="clear" w:fill="FFFFFF"/>
        </w:rPr>
      </w:pPr>
      <w:r>
        <w:rPr>
          <w:rFonts w:hint="eastAsia" w:ascii="仿宋_GB2312" w:hAnsi="仿宋_GB2312" w:eastAsia="仿宋_GB2312" w:cs="仿宋_GB2312"/>
          <w:color w:val="323232"/>
          <w:sz w:val="30"/>
          <w:szCs w:val="30"/>
          <w:shd w:val="clear" w:fill="FFFFFF"/>
        </w:rPr>
        <w:t>自贸片区工作局内设5个职能处室；下辖1个预算单位。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rPr>
          <w:rStyle w:val="5"/>
          <w:rFonts w:hint="eastAsia" w:ascii="黑体" w:hAnsi="黑体" w:eastAsia="黑体" w:cs="黑体"/>
          <w:b/>
          <w:bCs w:val="0"/>
          <w:i w:val="0"/>
          <w:iCs w:val="0"/>
          <w:caps w:val="0"/>
          <w:color w:val="323232"/>
          <w:spacing w:val="0"/>
          <w:sz w:val="30"/>
          <w:szCs w:val="30"/>
          <w:shd w:val="clear" w:fill="FFFFFF"/>
        </w:rPr>
      </w:pPr>
      <w:r>
        <w:rPr>
          <w:rStyle w:val="5"/>
          <w:rFonts w:hint="eastAsia" w:ascii="黑体" w:hAnsi="黑体" w:eastAsia="黑体" w:cs="黑体"/>
          <w:b/>
          <w:bCs w:val="0"/>
          <w:i w:val="0"/>
          <w:iCs w:val="0"/>
          <w:caps w:val="0"/>
          <w:color w:val="323232"/>
          <w:spacing w:val="0"/>
          <w:sz w:val="30"/>
          <w:szCs w:val="30"/>
          <w:shd w:val="clear" w:fill="FFFFFF"/>
        </w:rPr>
        <w:t>三、部门预算草案编制情况</w:t>
      </w:r>
    </w:p>
    <w:p>
      <w:pPr>
        <w:pStyle w:val="2"/>
        <w:keepNext w:val="0"/>
        <w:keepLines w:val="0"/>
        <w:widowControl/>
        <w:suppressLineNumbers w:val="0"/>
        <w:ind w:left="0" w:firstLine="420"/>
        <w:jc w:val="both"/>
        <w:rPr>
          <w:rStyle w:val="5"/>
          <w:rFonts w:hint="eastAsia" w:ascii="楷体" w:hAnsi="楷体" w:eastAsia="楷体" w:cs="楷体"/>
          <w:sz w:val="30"/>
          <w:szCs w:val="30"/>
          <w:lang w:val="en-US" w:eastAsia="zh-CN"/>
        </w:rPr>
      </w:pPr>
      <w:r>
        <w:rPr>
          <w:rStyle w:val="5"/>
          <w:rFonts w:hint="eastAsia" w:ascii="楷体" w:hAnsi="楷体" w:eastAsia="楷体" w:cs="楷体"/>
          <w:sz w:val="30"/>
          <w:szCs w:val="30"/>
          <w:lang w:val="en-US" w:eastAsia="zh-CN"/>
        </w:rPr>
        <w:t>（一）部门收入预算情况说明</w:t>
      </w:r>
    </w:p>
    <w:p>
      <w:pPr>
        <w:pStyle w:val="2"/>
        <w:keepNext w:val="0"/>
        <w:keepLines w:val="0"/>
        <w:widowControl/>
        <w:suppressLineNumbers w:val="0"/>
        <w:spacing w:before="0" w:beforeAutospacing="0" w:after="0" w:afterAutospacing="0" w:line="588" w:lineRule="atLeast"/>
        <w:ind w:left="0" w:right="0" w:firstLine="420"/>
        <w:jc w:val="both"/>
        <w:rPr>
          <w:rFonts w:hint="eastAsia" w:ascii="仿宋_GB2312" w:hAnsi="仿宋_GB2312" w:eastAsia="仿宋_GB2312" w:cs="仿宋_GB2312"/>
          <w:color w:val="323232"/>
          <w:sz w:val="30"/>
          <w:szCs w:val="30"/>
          <w:shd w:val="clear" w:fill="FFFFFF"/>
        </w:rPr>
      </w:pPr>
      <w:r>
        <w:rPr>
          <w:rFonts w:hint="eastAsia" w:ascii="仿宋_GB2312" w:hAnsi="仿宋_GB2312" w:eastAsia="仿宋_GB2312" w:cs="仿宋_GB2312"/>
          <w:color w:val="323232"/>
          <w:sz w:val="30"/>
          <w:szCs w:val="30"/>
          <w:shd w:val="clear" w:fill="FFFFFF"/>
        </w:rPr>
        <w:t>部门收入预算1824.85万元，与2021年预算相比增加1681.37万元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 xml:space="preserve">主要原因 </w:t>
      </w:r>
      <w:r>
        <w:rPr>
          <w:rFonts w:hint="eastAsia" w:ascii="仿宋_GB2312" w:hAnsi="仿宋_GB2312" w:eastAsia="仿宋_GB2312" w:cs="仿宋_GB2312"/>
          <w:sz w:val="30"/>
          <w:szCs w:val="30"/>
          <w:u w:val="single"/>
          <w:lang w:val="en-US" w:eastAsia="zh-CN"/>
        </w:rPr>
        <w:t xml:space="preserve">项目支出预算增加 </w:t>
      </w:r>
      <w:r>
        <w:rPr>
          <w:rFonts w:hint="eastAsia" w:ascii="仿宋_GB2312" w:hAnsi="仿宋_GB2312" w:eastAsia="仿宋_GB2312" w:cs="仿宋_GB2312"/>
          <w:color w:val="323232"/>
          <w:sz w:val="30"/>
          <w:szCs w:val="30"/>
          <w:shd w:val="clear" w:fill="FFFFFF"/>
        </w:rPr>
        <w:t>。其中，本年收入合计1824.85万元，与2021年预算相比增加1681.37万元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 xml:space="preserve">主要原因 </w:t>
      </w:r>
      <w:r>
        <w:rPr>
          <w:rFonts w:hint="eastAsia" w:ascii="仿宋_GB2312" w:hAnsi="仿宋_GB2312" w:eastAsia="仿宋_GB2312" w:cs="仿宋_GB2312"/>
          <w:sz w:val="30"/>
          <w:szCs w:val="30"/>
          <w:u w:val="single"/>
          <w:lang w:val="en-US" w:eastAsia="zh-CN"/>
        </w:rPr>
        <w:t xml:space="preserve">项目支出预算增加 </w:t>
      </w:r>
      <w:r>
        <w:rPr>
          <w:rFonts w:hint="eastAsia" w:ascii="仿宋_GB2312" w:hAnsi="仿宋_GB2312" w:eastAsia="仿宋_GB2312" w:cs="仿宋_GB2312"/>
          <w:color w:val="323232"/>
          <w:sz w:val="30"/>
          <w:szCs w:val="30"/>
          <w:shd w:val="clear" w:fill="FFFFFF"/>
        </w:rPr>
        <w:t>，包括一般公共预算拨款收入1824.85万元、政府性基金预算拨款收入0万元、国有资本经营预算拨款收入0万元、非同级财政拨款收入0万元、纳入财政专户的教育收费拨款0万元、其他事业收入0万元、经营收入0万元、上级补助收入0万元、附属单位上缴收入0万元、其他收入0万元；上年结转和结余0万元。</w:t>
      </w:r>
    </w:p>
    <w:p>
      <w:pPr>
        <w:pStyle w:val="2"/>
        <w:keepNext w:val="0"/>
        <w:keepLines w:val="0"/>
        <w:widowControl/>
        <w:suppressLineNumbers w:val="0"/>
        <w:ind w:left="0" w:firstLine="420"/>
        <w:jc w:val="both"/>
        <w:rPr>
          <w:rStyle w:val="5"/>
          <w:rFonts w:hint="eastAsia" w:ascii="楷体" w:hAnsi="楷体" w:eastAsia="楷体" w:cs="楷体"/>
          <w:sz w:val="30"/>
          <w:szCs w:val="30"/>
          <w:lang w:val="en-US" w:eastAsia="zh-CN"/>
        </w:rPr>
      </w:pPr>
      <w:r>
        <w:rPr>
          <w:rStyle w:val="5"/>
          <w:rFonts w:hint="eastAsia" w:ascii="楷体" w:hAnsi="楷体" w:eastAsia="楷体" w:cs="楷体"/>
          <w:sz w:val="30"/>
          <w:szCs w:val="30"/>
          <w:lang w:val="en-US" w:eastAsia="zh-CN"/>
        </w:rPr>
        <w:t>（二）部门支出预算情况说明</w:t>
      </w:r>
    </w:p>
    <w:p>
      <w:pPr>
        <w:pStyle w:val="2"/>
        <w:keepNext w:val="0"/>
        <w:keepLines w:val="0"/>
        <w:widowControl/>
        <w:suppressLineNumbers w:val="0"/>
        <w:spacing w:before="0" w:beforeAutospacing="0" w:after="0" w:afterAutospacing="0" w:line="588" w:lineRule="atLeast"/>
        <w:ind w:left="0" w:right="0" w:firstLine="420"/>
        <w:jc w:val="both"/>
        <w:rPr>
          <w:rFonts w:hint="eastAsia" w:ascii="仿宋_GB2312" w:hAnsi="仿宋_GB2312" w:eastAsia="仿宋_GB2312" w:cs="仿宋_GB2312"/>
          <w:color w:val="323232"/>
          <w:sz w:val="30"/>
          <w:szCs w:val="30"/>
          <w:shd w:val="clear" w:fill="FFFFFF"/>
        </w:rPr>
      </w:pPr>
      <w:r>
        <w:rPr>
          <w:rFonts w:hint="eastAsia" w:ascii="仿宋_GB2312" w:hAnsi="仿宋_GB2312" w:eastAsia="仿宋_GB2312" w:cs="仿宋_GB2312"/>
          <w:color w:val="323232"/>
          <w:sz w:val="30"/>
          <w:szCs w:val="30"/>
          <w:shd w:val="clear" w:fill="FFFFFF"/>
        </w:rPr>
        <w:t>部门支出预算1824.85万元，与2021年预算相比增加1681.37万元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 xml:space="preserve">主要原因 </w:t>
      </w:r>
      <w:r>
        <w:rPr>
          <w:rFonts w:hint="eastAsia" w:ascii="仿宋_GB2312" w:hAnsi="仿宋_GB2312" w:eastAsia="仿宋_GB2312" w:cs="仿宋_GB2312"/>
          <w:sz w:val="30"/>
          <w:szCs w:val="30"/>
          <w:u w:val="single"/>
          <w:lang w:val="en-US" w:eastAsia="zh-CN"/>
        </w:rPr>
        <w:t xml:space="preserve">项目支出预算增加 </w:t>
      </w:r>
      <w:r>
        <w:rPr>
          <w:rFonts w:hint="eastAsia" w:ascii="仿宋_GB2312" w:hAnsi="仿宋_GB2312" w:eastAsia="仿宋_GB2312" w:cs="仿宋_GB2312"/>
          <w:color w:val="323232"/>
          <w:sz w:val="30"/>
          <w:szCs w:val="30"/>
          <w:shd w:val="clear" w:fill="FFFFFF"/>
        </w:rPr>
        <w:t>，其中：</w:t>
      </w:r>
    </w:p>
    <w:p>
      <w:pPr>
        <w:pStyle w:val="2"/>
        <w:keepNext w:val="0"/>
        <w:keepLines w:val="0"/>
        <w:widowControl/>
        <w:suppressLineNumbers w:val="0"/>
        <w:spacing w:before="0" w:beforeAutospacing="0" w:after="0" w:afterAutospacing="0" w:line="588" w:lineRule="atLeast"/>
        <w:ind w:left="0" w:right="0" w:firstLine="420"/>
        <w:jc w:val="both"/>
        <w:rPr>
          <w:rFonts w:hint="eastAsia" w:ascii="仿宋_GB2312" w:hAnsi="仿宋_GB2312" w:eastAsia="仿宋_GB2312" w:cs="仿宋_GB2312"/>
          <w:color w:val="323232"/>
          <w:sz w:val="30"/>
          <w:szCs w:val="30"/>
          <w:shd w:val="clear" w:fill="FFFFFF"/>
        </w:rPr>
      </w:pPr>
      <w:r>
        <w:rPr>
          <w:rFonts w:hint="eastAsia" w:ascii="仿宋_GB2312" w:hAnsi="仿宋_GB2312" w:eastAsia="仿宋_GB2312" w:cs="仿宋_GB2312"/>
          <w:color w:val="323232"/>
          <w:sz w:val="30"/>
          <w:szCs w:val="30"/>
          <w:shd w:val="clear" w:fill="FFFFFF"/>
        </w:rPr>
        <w:t>2010301行政运行科目支出619.85万元，主要用于人员支出、公用支出及办公设备购置支出；</w:t>
      </w:r>
    </w:p>
    <w:p>
      <w:pPr>
        <w:pStyle w:val="2"/>
        <w:keepNext w:val="0"/>
        <w:keepLines w:val="0"/>
        <w:widowControl/>
        <w:suppressLineNumbers w:val="0"/>
        <w:spacing w:before="0" w:beforeAutospacing="0" w:after="0" w:afterAutospacing="0" w:line="588" w:lineRule="atLeast"/>
        <w:ind w:left="0" w:right="0" w:firstLine="420"/>
        <w:jc w:val="both"/>
        <w:rPr>
          <w:rFonts w:hint="eastAsia" w:ascii="仿宋_GB2312" w:hAnsi="仿宋_GB2312" w:eastAsia="仿宋_GB2312" w:cs="仿宋_GB2312"/>
          <w:color w:val="323232"/>
          <w:sz w:val="30"/>
          <w:szCs w:val="30"/>
          <w:shd w:val="clear" w:fill="FFFFFF"/>
        </w:rPr>
      </w:pPr>
      <w:r>
        <w:rPr>
          <w:rFonts w:hint="eastAsia" w:ascii="仿宋_GB2312" w:hAnsi="仿宋_GB2312" w:eastAsia="仿宋_GB2312" w:cs="仿宋_GB2312"/>
          <w:color w:val="323232"/>
          <w:sz w:val="30"/>
          <w:szCs w:val="30"/>
          <w:shd w:val="clear" w:fill="FFFFFF"/>
        </w:rPr>
        <w:t>2011308招商引资科目支出1145万元，主要用于设立天津东疆保税港区创新融资担保基金（第二批）、设立天津东疆保税港区创新融资担保基金（托管及担保费）及招商专项经费支出；</w:t>
      </w:r>
    </w:p>
    <w:p>
      <w:pPr>
        <w:pStyle w:val="2"/>
        <w:keepNext w:val="0"/>
        <w:keepLines w:val="0"/>
        <w:widowControl/>
        <w:suppressLineNumbers w:val="0"/>
        <w:spacing w:before="0" w:beforeAutospacing="0" w:after="0" w:afterAutospacing="0" w:line="588" w:lineRule="atLeast"/>
        <w:ind w:left="0" w:right="0" w:firstLine="420"/>
        <w:jc w:val="both"/>
        <w:rPr>
          <w:rFonts w:hint="eastAsia" w:ascii="仿宋_GB2312" w:hAnsi="仿宋_GB2312" w:eastAsia="仿宋_GB2312" w:cs="仿宋_GB2312"/>
          <w:color w:val="323232"/>
          <w:sz w:val="30"/>
          <w:szCs w:val="30"/>
          <w:shd w:val="clear" w:fill="FFFFFF"/>
        </w:rPr>
      </w:pPr>
      <w:r>
        <w:rPr>
          <w:rFonts w:hint="eastAsia" w:ascii="仿宋_GB2312" w:hAnsi="仿宋_GB2312" w:eastAsia="仿宋_GB2312" w:cs="仿宋_GB2312"/>
          <w:color w:val="323232"/>
          <w:sz w:val="30"/>
          <w:szCs w:val="30"/>
          <w:shd w:val="clear" w:fill="FFFFFF"/>
        </w:rPr>
        <w:t>2010302一般行政管理事务科目支出60万元，主要用于东疆租赁指数编制项目经费和智能网联汽车测试道路标示牌制作安装费用支出；</w:t>
      </w:r>
    </w:p>
    <w:p>
      <w:pPr>
        <w:pStyle w:val="2"/>
        <w:keepNext w:val="0"/>
        <w:keepLines w:val="0"/>
        <w:widowControl/>
        <w:suppressLineNumbers w:val="0"/>
        <w:ind w:left="0" w:firstLine="420"/>
        <w:jc w:val="both"/>
        <w:rPr>
          <w:rStyle w:val="5"/>
          <w:rFonts w:hint="eastAsia" w:ascii="楷体" w:hAnsi="楷体" w:eastAsia="楷体" w:cs="楷体"/>
          <w:sz w:val="30"/>
          <w:szCs w:val="30"/>
          <w:lang w:val="en-US" w:eastAsia="zh-CN"/>
        </w:rPr>
      </w:pPr>
      <w:r>
        <w:rPr>
          <w:rStyle w:val="5"/>
          <w:rFonts w:hint="eastAsia" w:ascii="楷体" w:hAnsi="楷体" w:eastAsia="楷体" w:cs="楷体"/>
          <w:sz w:val="30"/>
          <w:szCs w:val="30"/>
          <w:lang w:val="en-US" w:eastAsia="zh-CN"/>
        </w:rPr>
        <w:t>（三）部门三公经费预算情况说明</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2022年一般公共预算“三公”经费安排</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2.5</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万元，与2021年预算相比增加（减少）</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万元，主要原因是</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保障部门正常运行</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。具体情况：</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一、2022年因公出国（境）费预算</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万元，与2021年预算相比增加（减少）</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万元，主要原因是</w:t>
      </w:r>
      <w:r>
        <w:rPr>
          <w:rFonts w:hint="eastAsia" w:ascii="仿宋_GB2312" w:hAnsi="仿宋_GB2312" w:eastAsia="仿宋_GB2312" w:cs="仿宋_GB2312"/>
          <w:sz w:val="30"/>
          <w:szCs w:val="30"/>
          <w:u w:val="single"/>
        </w:rPr>
        <w:t xml:space="preserve">   本部门一般公共预算未安排“三公”经费     </w:t>
      </w:r>
      <w:r>
        <w:rPr>
          <w:rFonts w:hint="eastAsia" w:ascii="仿宋_GB2312" w:hAnsi="仿宋_GB2312" w:eastAsia="仿宋_GB2312" w:cs="仿宋_GB2312"/>
          <w:sz w:val="30"/>
          <w:szCs w:val="30"/>
        </w:rPr>
        <w:t>。</w:t>
      </w:r>
    </w:p>
    <w:p>
      <w:pPr>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二、2022年公务用车购置及运行费预算</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万元，其中公务用车运行费</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万元，与2021年预算相比增加（减少）</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万元，主要原因是</w:t>
      </w:r>
      <w:r>
        <w:rPr>
          <w:rFonts w:hint="eastAsia" w:ascii="仿宋_GB2312" w:hAnsi="仿宋_GB2312" w:eastAsia="仿宋_GB2312" w:cs="仿宋_GB2312"/>
          <w:sz w:val="30"/>
          <w:szCs w:val="30"/>
          <w:u w:val="single"/>
        </w:rPr>
        <w:t xml:space="preserve"> 本部门一般公共预算未安排“三公”经费      </w:t>
      </w:r>
      <w:r>
        <w:rPr>
          <w:rFonts w:hint="eastAsia" w:ascii="仿宋_GB2312" w:hAnsi="仿宋_GB2312" w:eastAsia="仿宋_GB2312" w:cs="仿宋_GB2312"/>
          <w:sz w:val="30"/>
          <w:szCs w:val="30"/>
        </w:rPr>
        <w:t>；公务用车购置费</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万元，与2021年预算相比增加（减少）</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万元，主要原因是</w:t>
      </w:r>
      <w:r>
        <w:rPr>
          <w:rFonts w:hint="eastAsia" w:ascii="仿宋_GB2312" w:hAnsi="仿宋_GB2312" w:eastAsia="仿宋_GB2312" w:cs="仿宋_GB2312"/>
          <w:sz w:val="30"/>
          <w:szCs w:val="30"/>
          <w:u w:val="single"/>
        </w:rPr>
        <w:t xml:space="preserve"> 本部门一般公共预算未安排“三公”经费       </w:t>
      </w:r>
      <w:r>
        <w:rPr>
          <w:rFonts w:hint="eastAsia" w:ascii="仿宋_GB2312" w:hAnsi="仿宋_GB2312" w:eastAsia="仿宋_GB2312" w:cs="仿宋_GB2312"/>
          <w:sz w:val="30"/>
          <w:szCs w:val="30"/>
        </w:rPr>
        <w:t>。</w:t>
      </w:r>
    </w:p>
    <w:p>
      <w:pPr>
        <w:spacing w:line="560" w:lineRule="exact"/>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三、2022年公务接待费预算</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2.5</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万元，与2021年预算相比增加（减少）</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万元，主要原因是</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保障部门正常运行</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rPr>
          <w:rStyle w:val="5"/>
          <w:rFonts w:hint="eastAsia" w:ascii="黑体" w:hAnsi="黑体" w:eastAsia="黑体" w:cs="黑体"/>
          <w:b/>
          <w:bCs w:val="0"/>
          <w:i w:val="0"/>
          <w:iCs w:val="0"/>
          <w:caps w:val="0"/>
          <w:color w:val="323232"/>
          <w:spacing w:val="0"/>
          <w:sz w:val="30"/>
          <w:szCs w:val="30"/>
          <w:shd w:val="clear" w:fill="FFFFFF"/>
        </w:rPr>
      </w:pPr>
      <w:r>
        <w:rPr>
          <w:rStyle w:val="5"/>
          <w:rFonts w:hint="eastAsia" w:ascii="黑体" w:hAnsi="黑体" w:eastAsia="黑体" w:cs="黑体"/>
          <w:b/>
          <w:bCs w:val="0"/>
          <w:i w:val="0"/>
          <w:iCs w:val="0"/>
          <w:caps w:val="0"/>
          <w:color w:val="323232"/>
          <w:spacing w:val="0"/>
          <w:sz w:val="30"/>
          <w:szCs w:val="30"/>
          <w:shd w:val="clear" w:fill="FFFFFF"/>
        </w:rPr>
        <w:t>四、其他重要事项的情况说明</w:t>
      </w:r>
    </w:p>
    <w:p>
      <w:pPr>
        <w:pStyle w:val="2"/>
        <w:keepNext w:val="0"/>
        <w:keepLines w:val="0"/>
        <w:widowControl/>
        <w:suppressLineNumbers w:val="0"/>
        <w:ind w:left="0" w:firstLine="420"/>
        <w:jc w:val="both"/>
        <w:rPr>
          <w:rStyle w:val="5"/>
          <w:rFonts w:hint="eastAsia" w:ascii="楷体" w:hAnsi="楷体" w:eastAsia="楷体" w:cs="楷体"/>
          <w:sz w:val="30"/>
          <w:szCs w:val="30"/>
        </w:rPr>
      </w:pPr>
      <w:r>
        <w:rPr>
          <w:rStyle w:val="5"/>
          <w:rFonts w:hint="eastAsia" w:ascii="楷体" w:hAnsi="楷体" w:eastAsia="楷体" w:cs="楷体"/>
          <w:sz w:val="30"/>
          <w:szCs w:val="30"/>
        </w:rPr>
        <w:t>（一）机关运行经费</w:t>
      </w:r>
    </w:p>
    <w:p>
      <w:pPr>
        <w:pStyle w:val="2"/>
        <w:keepNext w:val="0"/>
        <w:keepLines w:val="0"/>
        <w:widowControl/>
        <w:suppressLineNumbers w:val="0"/>
        <w:spacing w:before="0" w:beforeAutospacing="0" w:after="0" w:afterAutospacing="0" w:line="588" w:lineRule="atLeast"/>
        <w:ind w:left="0" w:right="0" w:firstLine="42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本部门2022年安排机关运行经费预算52.1万元，其中日常办公经费46,4万元，办公设备购置费3.2万元“三公”经费2.5万元。日常办公费48.90万元，包括办公费24.15万元、印刷费0.437万元、咨询费0.476万元、手续费0.025万元、水费0.278万元、邮电费2.96万元、差旅费15.6万元、维修（护）费0.139万元、租赁费0.107万元、会议费0.485万元、培训费0.437万元、被装购置费0.132万元、劳务费0.041万元、委托业务费0.722万元、其他交通费用0.14万元、其他商品和服务支出0.264万元。办公设备购置未细化金额3.2万元。“三公”经费中公务接待费2.5万元。</w:t>
      </w:r>
    </w:p>
    <w:p>
      <w:pPr>
        <w:pStyle w:val="2"/>
        <w:keepNext w:val="0"/>
        <w:keepLines w:val="0"/>
        <w:widowControl/>
        <w:suppressLineNumbers w:val="0"/>
        <w:ind w:left="0" w:firstLine="420"/>
        <w:jc w:val="both"/>
        <w:rPr>
          <w:rStyle w:val="5"/>
          <w:rFonts w:hint="eastAsia" w:ascii="楷体" w:hAnsi="楷体" w:eastAsia="楷体" w:cs="楷体"/>
          <w:sz w:val="30"/>
          <w:szCs w:val="30"/>
          <w:lang w:val="en-US" w:eastAsia="zh-CN"/>
        </w:rPr>
      </w:pPr>
      <w:r>
        <w:rPr>
          <w:rStyle w:val="5"/>
          <w:rFonts w:hint="eastAsia" w:ascii="楷体" w:hAnsi="楷体" w:eastAsia="楷体" w:cs="楷体"/>
          <w:sz w:val="30"/>
          <w:szCs w:val="30"/>
          <w:lang w:val="en-US" w:eastAsia="zh-CN"/>
        </w:rPr>
        <w:t>（二）政府采购情况</w:t>
      </w:r>
    </w:p>
    <w:p>
      <w:pPr>
        <w:pStyle w:val="2"/>
        <w:keepNext w:val="0"/>
        <w:keepLines w:val="0"/>
        <w:widowControl/>
        <w:suppressLineNumbers w:val="0"/>
        <w:spacing w:before="0" w:beforeAutospacing="0" w:after="0" w:afterAutospacing="0" w:line="588" w:lineRule="atLeast"/>
        <w:ind w:left="0" w:right="0" w:firstLine="42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本部门2022年安排政府采购预算5.7万元，其中：政府采购货物支出5.7万元，主要项目是：办公设备购置3.2万元，日常办公费2.5万元；政府采购工程支出0万元、政府采购服务支出0万元。</w:t>
      </w:r>
    </w:p>
    <w:p>
      <w:pPr>
        <w:pStyle w:val="2"/>
        <w:keepNext w:val="0"/>
        <w:keepLines w:val="0"/>
        <w:widowControl/>
        <w:suppressLineNumbers w:val="0"/>
        <w:ind w:left="0" w:firstLine="420"/>
        <w:jc w:val="both"/>
        <w:rPr>
          <w:rStyle w:val="5"/>
          <w:rFonts w:hint="eastAsia" w:ascii="楷体" w:hAnsi="楷体" w:eastAsia="楷体" w:cs="楷体"/>
          <w:sz w:val="30"/>
          <w:szCs w:val="30"/>
          <w:lang w:val="en-US" w:eastAsia="zh-CN"/>
        </w:rPr>
      </w:pPr>
      <w:r>
        <w:rPr>
          <w:rStyle w:val="5"/>
          <w:rFonts w:hint="eastAsia" w:ascii="楷体" w:hAnsi="楷体" w:eastAsia="楷体" w:cs="楷体"/>
          <w:sz w:val="30"/>
          <w:szCs w:val="30"/>
          <w:lang w:val="en-US" w:eastAsia="zh-CN"/>
        </w:rPr>
        <w:t>（三）国有资产占用情况</w:t>
      </w:r>
    </w:p>
    <w:p>
      <w:pPr>
        <w:pStyle w:val="2"/>
        <w:keepNext w:val="0"/>
        <w:keepLines w:val="0"/>
        <w:widowControl/>
        <w:suppressLineNumbers w:val="0"/>
        <w:spacing w:before="0" w:beforeAutospacing="0" w:after="0" w:afterAutospacing="0" w:line="588" w:lineRule="atLeast"/>
        <w:ind w:left="0" w:right="0" w:firstLine="42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本部门各单位共有车辆0辆，其中：主要领导干部用车辆、应急保障用车0辆、执法执勤用车0辆、特种专业技术用车0辆、其他用车0辆，其他用车主要包括0。单价50万元以上的通用设备0台（套），单价100万元以上的专用设备0台（套）。</w:t>
      </w:r>
    </w:p>
    <w:p>
      <w:pPr>
        <w:pStyle w:val="2"/>
        <w:keepNext w:val="0"/>
        <w:keepLines w:val="0"/>
        <w:widowControl/>
        <w:suppressLineNumbers w:val="0"/>
        <w:ind w:left="0" w:firstLine="420"/>
        <w:jc w:val="both"/>
        <w:rPr>
          <w:rStyle w:val="5"/>
          <w:rFonts w:hint="eastAsia" w:ascii="楷体" w:hAnsi="楷体" w:eastAsia="楷体" w:cs="楷体"/>
          <w:sz w:val="30"/>
          <w:szCs w:val="30"/>
          <w:lang w:val="en-US" w:eastAsia="zh-CN"/>
        </w:rPr>
      </w:pPr>
      <w:r>
        <w:rPr>
          <w:rStyle w:val="5"/>
          <w:rFonts w:hint="eastAsia" w:ascii="楷体" w:hAnsi="楷体" w:eastAsia="楷体" w:cs="楷体"/>
          <w:sz w:val="30"/>
          <w:szCs w:val="30"/>
          <w:lang w:val="en-US" w:eastAsia="zh-CN"/>
        </w:rPr>
        <w:t>（四）绩效目标设置情况</w:t>
      </w:r>
    </w:p>
    <w:p>
      <w:pPr>
        <w:pStyle w:val="2"/>
        <w:keepNext w:val="0"/>
        <w:keepLines w:val="0"/>
        <w:widowControl/>
        <w:suppressLineNumbers w:val="0"/>
        <w:spacing w:before="0" w:beforeAutospacing="0" w:after="0" w:afterAutospacing="0" w:line="588" w:lineRule="atLeast"/>
        <w:ind w:left="0" w:right="0" w:firstLine="42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2022年，本部门实行绩效目标管理的项目5个，涉及预算金额1205万元。</w:t>
      </w:r>
    </w:p>
    <w:p>
      <w:pPr>
        <w:pStyle w:val="2"/>
        <w:keepNext w:val="0"/>
        <w:keepLines w:val="0"/>
        <w:widowControl/>
        <w:suppressLineNumbers w:val="0"/>
        <w:ind w:left="0" w:firstLine="420"/>
        <w:jc w:val="both"/>
        <w:rPr>
          <w:rStyle w:val="5"/>
          <w:rFonts w:hint="eastAsia" w:ascii="楷体" w:hAnsi="楷体" w:eastAsia="楷体" w:cs="楷体"/>
          <w:sz w:val="30"/>
          <w:szCs w:val="30"/>
          <w:lang w:val="en-US" w:eastAsia="zh-CN"/>
        </w:rPr>
      </w:pPr>
      <w:r>
        <w:rPr>
          <w:rStyle w:val="5"/>
          <w:rFonts w:hint="eastAsia" w:ascii="楷体" w:hAnsi="楷体" w:eastAsia="楷体" w:cs="楷体"/>
          <w:sz w:val="30"/>
          <w:szCs w:val="30"/>
          <w:lang w:val="en-US" w:eastAsia="zh-CN"/>
        </w:rPr>
        <w:t>（五）专业性名词解释</w:t>
      </w:r>
    </w:p>
    <w:p>
      <w:pPr>
        <w:pStyle w:val="2"/>
        <w:keepNext w:val="0"/>
        <w:keepLines w:val="0"/>
        <w:widowControl/>
        <w:suppressLineNumbers w:val="0"/>
        <w:spacing w:before="0" w:beforeAutospacing="0" w:after="0" w:afterAutospacing="0" w:line="588" w:lineRule="atLeast"/>
        <w:ind w:left="0" w:right="0" w:firstLine="42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部门预算。是指主管预算部门依据相关法律、法规和政策规定及其行使职能需要，组织所属预算单位编制并逐级上报、审核、汇总，经财政部门审核后按程序依法批准的部门综合收支计划。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rPr>
          <w:rStyle w:val="5"/>
          <w:rFonts w:hint="eastAsia" w:ascii="黑体" w:hAnsi="黑体" w:eastAsia="黑体" w:cs="黑体"/>
          <w:b/>
          <w:bCs w:val="0"/>
          <w:i w:val="0"/>
          <w:iCs w:val="0"/>
          <w:caps w:val="0"/>
          <w:color w:val="323232"/>
          <w:spacing w:val="0"/>
          <w:sz w:val="30"/>
          <w:szCs w:val="30"/>
          <w:shd w:val="clear" w:fill="FFFFFF"/>
          <w:lang w:val="en-US" w:eastAsia="zh-CN"/>
        </w:rPr>
      </w:pPr>
      <w:r>
        <w:rPr>
          <w:rStyle w:val="5"/>
          <w:rFonts w:hint="eastAsia" w:ascii="黑体" w:hAnsi="黑体" w:eastAsia="黑体" w:cs="黑体"/>
          <w:b/>
          <w:bCs w:val="0"/>
          <w:i w:val="0"/>
          <w:iCs w:val="0"/>
          <w:caps w:val="0"/>
          <w:color w:val="323232"/>
          <w:spacing w:val="0"/>
          <w:sz w:val="30"/>
          <w:szCs w:val="30"/>
          <w:shd w:val="clear" w:fill="FFFFFF"/>
          <w:lang w:val="en-US" w:eastAsia="zh-CN"/>
        </w:rPr>
        <w:t>五、</w:t>
      </w:r>
      <w:r>
        <w:rPr>
          <w:rStyle w:val="5"/>
          <w:rFonts w:hint="eastAsia" w:ascii="黑体" w:hAnsi="黑体" w:eastAsia="黑体" w:cs="黑体"/>
          <w:b/>
          <w:bCs w:val="0"/>
          <w:i w:val="0"/>
          <w:iCs w:val="0"/>
          <w:caps w:val="0"/>
          <w:color w:val="323232"/>
          <w:spacing w:val="0"/>
          <w:sz w:val="30"/>
          <w:szCs w:val="30"/>
          <w:shd w:val="clear" w:fill="FFFFFF"/>
        </w:rPr>
        <w:t>202</w:t>
      </w:r>
      <w:r>
        <w:rPr>
          <w:rStyle w:val="5"/>
          <w:rFonts w:hint="eastAsia" w:ascii="黑体" w:hAnsi="黑体" w:eastAsia="黑体" w:cs="黑体"/>
          <w:b/>
          <w:bCs w:val="0"/>
          <w:i w:val="0"/>
          <w:iCs w:val="0"/>
          <w:caps w:val="0"/>
          <w:color w:val="323232"/>
          <w:spacing w:val="0"/>
          <w:sz w:val="30"/>
          <w:szCs w:val="30"/>
          <w:shd w:val="clear" w:fill="FFFFFF"/>
          <w:lang w:val="en-US" w:eastAsia="zh-CN"/>
        </w:rPr>
        <w:t>2</w:t>
      </w:r>
      <w:r>
        <w:rPr>
          <w:rStyle w:val="5"/>
          <w:rFonts w:hint="eastAsia" w:ascii="黑体" w:hAnsi="黑体" w:eastAsia="黑体" w:cs="黑体"/>
          <w:b/>
          <w:bCs w:val="0"/>
          <w:i w:val="0"/>
          <w:iCs w:val="0"/>
          <w:caps w:val="0"/>
          <w:color w:val="323232"/>
          <w:spacing w:val="0"/>
          <w:sz w:val="30"/>
          <w:szCs w:val="30"/>
          <w:shd w:val="clear" w:fill="FFFFFF"/>
        </w:rPr>
        <w:t>年部门预算表</w:t>
      </w:r>
    </w:p>
    <w:p>
      <w:pP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（一） 2022年收支预算总表</w:t>
      </w:r>
    </w:p>
    <w:p>
      <w:pP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（二） 2022年收入预算总表</w:t>
      </w:r>
    </w:p>
    <w:p>
      <w:pP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（三） 2022年支出预算总表</w:t>
      </w:r>
    </w:p>
    <w:p>
      <w:pP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（四） 2022年财政拨款收支预算总表</w:t>
      </w:r>
    </w:p>
    <w:p>
      <w:pP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（五） 2022年一般公共预算支出预算表</w:t>
      </w:r>
    </w:p>
    <w:p>
      <w:pP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（六） 2022年一般公共预算基本支出预算表</w:t>
      </w:r>
    </w:p>
    <w:p>
      <w:pP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（七） 2022年一般公共预算“三公”经费支出预算表</w:t>
      </w:r>
    </w:p>
    <w:p>
      <w:pP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（八） 2022年政府性基金预算支出预算表</w:t>
      </w:r>
    </w:p>
    <w:p>
      <w:pP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（九） 2022年国有资本经营预算支出情况表</w:t>
      </w:r>
    </w:p>
    <w:p>
      <w:pP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（十） 2022年项目支出预算表</w:t>
      </w:r>
    </w:p>
    <w:p>
      <w:pP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（十一）2022年政府采购预算表</w:t>
      </w:r>
    </w:p>
    <w:p>
      <w:pP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（十二）2022年项目支出绩效目标表</w:t>
      </w:r>
    </w:p>
    <w:p>
      <w:pPr>
        <w:rPr>
          <w:rFonts w:hint="eastAsia" w:ascii="仿宋_GB2312" w:hAnsi="仿宋_GB2312" w:eastAsia="仿宋_GB2312" w:cs="仿宋_GB2312"/>
          <w:kern w:val="0"/>
          <w:sz w:val="30"/>
          <w:szCs w:val="30"/>
          <w:lang w:val="en-US" w:eastAsia="zh-CN" w:bidi="ar"/>
        </w:rPr>
      </w:pPr>
      <w:bookmarkStart w:id="0" w:name="_GoBack"/>
      <w:bookmarkEnd w:id="0"/>
      <w:r>
        <w:rPr>
          <w:rFonts w:hint="eastAsia" w:ascii="仿宋_GB2312" w:hAnsi="仿宋_GB2312" w:eastAsia="仿宋_GB2312" w:cs="仿宋_GB2312"/>
          <w:kern w:val="0"/>
          <w:sz w:val="30"/>
          <w:szCs w:val="30"/>
          <w:lang w:val="en-US" w:eastAsia="zh-CN" w:bidi="ar"/>
        </w:rPr>
        <w:t>关于空表的说明</w:t>
      </w:r>
    </w:p>
    <w:p>
      <w:pP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1、 “本部门2022年财政拨款政府性基金预算支出预算表为空表”。</w:t>
      </w:r>
    </w:p>
    <w:p>
      <w:pPr>
        <w:rPr>
          <w:rFonts w:hint="default"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2、 “本部门2022年国有资本经营预算支出情况表为空表”。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OGY5YWFkZDBmMmJmMGM0ZWExMjFjMTc1MWU3YmYifQ=="/>
  </w:docVars>
  <w:rsids>
    <w:rsidRoot w:val="00000000"/>
    <w:rsid w:val="42700DA6"/>
    <w:rsid w:val="5169229F"/>
    <w:rsid w:val="5D3A34ED"/>
    <w:rsid w:val="67F947FD"/>
    <w:rsid w:val="6F935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rFonts w:ascii="微软雅黑" w:hAnsi="微软雅黑" w:eastAsia="微软雅黑" w:cs="微软雅黑"/>
      <w:color w:val="333333"/>
      <w:u w:val="none"/>
    </w:rPr>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rFonts w:hint="eastAsia" w:ascii="微软雅黑" w:hAnsi="微软雅黑" w:eastAsia="微软雅黑" w:cs="微软雅黑"/>
      <w:color w:val="333333"/>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 w:type="character" w:customStyle="1" w:styleId="12">
    <w:name w:val="bsharetext"/>
    <w:basedOn w:val="4"/>
    <w:qFormat/>
    <w:uiPriority w:val="0"/>
  </w:style>
  <w:style w:type="character" w:customStyle="1" w:styleId="13">
    <w:name w:val="layui-laypage-curr"/>
    <w:basedOn w:val="4"/>
    <w:qFormat/>
    <w:uiPriority w:val="0"/>
  </w:style>
  <w:style w:type="character" w:customStyle="1" w:styleId="14">
    <w:name w:val="layui-laypage-skip2"/>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2023-09-23T16:40:00Z</dcterms:created>
  <dc:creator>Administrator</dc:creator>
  <cp:lastModifiedBy>企业用户_1414997373</cp:lastModifiedBy>
  <dcterms:modified xsi:type="dcterms:W3CDTF">2023-09-24T09:16:36Z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022186CE719E4870A295248502B1FEF0_12</vt:lpwstr>
  </property>
</Properties>
</file>