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bookmarkStart w:id="3" w:name="_GoBack"/>
      <w:bookmarkEnd w:id="3"/>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en-US" w:eastAsia="zh-CN"/>
        </w:rPr>
        <w:t>天津</w:t>
      </w:r>
      <w:r>
        <w:rPr>
          <w:rFonts w:hint="eastAsia" w:ascii="方正小标宋简体" w:hAnsi="方正小标宋简体" w:eastAsia="方正小标宋简体"/>
          <w:sz w:val="48"/>
          <w:szCs w:val="24"/>
          <w:lang w:val="zh-CN"/>
        </w:rPr>
        <w:t>东疆</w:t>
      </w:r>
      <w:r>
        <w:rPr>
          <w:rFonts w:hint="eastAsia" w:ascii="方正小标宋简体" w:hAnsi="方正小标宋简体" w:eastAsia="方正小标宋简体"/>
          <w:sz w:val="48"/>
          <w:szCs w:val="24"/>
          <w:lang w:val="en-US" w:eastAsia="zh-CN"/>
        </w:rPr>
        <w:t>综合</w:t>
      </w:r>
      <w:r>
        <w:rPr>
          <w:rFonts w:hint="eastAsia" w:ascii="方正小标宋简体" w:hAnsi="方正小标宋简体" w:eastAsia="方正小标宋简体"/>
          <w:sz w:val="48"/>
          <w:szCs w:val="24"/>
          <w:lang w:val="zh-CN"/>
        </w:rPr>
        <w:t>保税区管理委员会2021年度</w:t>
      </w:r>
    </w:p>
    <w:p>
      <w:pPr>
        <w:spacing w:beforeLines="0" w:afterLines="0"/>
        <w:jc w:val="center"/>
        <w:rPr>
          <w:rFonts w:hint="eastAsia" w:ascii="方正小标宋简体" w:hAnsi="方正小标宋简体" w:eastAsia="方正小标宋简体"/>
          <w:sz w:val="48"/>
          <w:szCs w:val="24"/>
          <w:lang w:val="en-US" w:eastAsia="zh-CN"/>
        </w:rPr>
      </w:pPr>
      <w:r>
        <w:rPr>
          <w:rFonts w:hint="eastAsia" w:ascii="方正小标宋简体" w:hAnsi="方正小标宋简体" w:eastAsia="方正小标宋简体"/>
          <w:sz w:val="48"/>
          <w:szCs w:val="24"/>
          <w:lang w:val="zh-CN"/>
        </w:rPr>
        <w:t>部门决算</w:t>
      </w:r>
      <w:r>
        <w:rPr>
          <w:rFonts w:hint="eastAsia" w:ascii="方正小标宋简体" w:hAnsi="方正小标宋简体" w:eastAsia="方正小标宋简体"/>
          <w:sz w:val="48"/>
          <w:szCs w:val="24"/>
          <w:lang w:val="en-US" w:eastAsia="zh-CN"/>
        </w:rPr>
        <w:t>说明</w:t>
      </w:r>
    </w:p>
    <w:p>
      <w:pPr>
        <w:spacing w:beforeLines="0" w:afterLines="0"/>
        <w:rPr>
          <w:rFonts w:hint="eastAsia" w:ascii="黑体" w:hAnsi="黑体" w:eastAsia="黑体"/>
          <w:kern w:val="2"/>
          <w:sz w:val="30"/>
          <w:szCs w:val="24"/>
          <w:lang w:val="en-US"/>
        </w:rPr>
        <w:sectPr>
          <w:footerReference r:id="rId3" w:type="default"/>
          <w:pgSz w:w="12240" w:h="15840"/>
          <w:pgMar w:top="1440" w:right="1800" w:bottom="1440" w:left="1800" w:header="720" w:footer="720" w:gutter="0"/>
          <w:lnNumType w:countBy="0" w:distance="360"/>
          <w:cols w:space="720" w:num="1"/>
        </w:sectPr>
      </w:pPr>
    </w:p>
    <w:p>
      <w:pPr>
        <w:spacing w:beforeLines="0" w:afterLines="0"/>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pPr>
        <w:spacing w:beforeLines="0" w:afterLines="0" w:line="600" w:lineRule="exact"/>
        <w:rPr>
          <w:rFonts w:hint="eastAsia" w:ascii="黑体" w:hAnsi="黑体" w:eastAsia="黑体"/>
          <w:sz w:val="30"/>
          <w:szCs w:val="24"/>
          <w:lang w:val="zh-CN"/>
        </w:rPr>
      </w:pP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一、主要职责</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二、机构设置</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一、收入支出决算总表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二、收入决算表（按功能分类列示）</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三、收入决算表（按单位列示）</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四、支出决算表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五、财政拨款收入支出决算总表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六、一般公共预算财政拨款支出决算表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七、一般公共预算财政拨款基本支出决算表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八、一般公共预算财政拨款“三公”经费支出决算表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九、政府性基金预算财政拨款收入支出决算表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十、国有资本经营预算财政拨款收入支出决算表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十一、项目支出决算表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十二、关于空表的说明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3</w:t>
      </w:r>
    </w:p>
    <w:p>
      <w:pPr>
        <w:tabs>
          <w:tab w:val="right" w:leader="dot" w:pos="8306"/>
        </w:tabs>
        <w:spacing w:beforeLines="0" w:afterLines="0" w:line="700" w:lineRule="exact"/>
        <w:rPr>
          <w:rFonts w:hint="eastAsia" w:ascii="方正小标宋简体" w:hAnsi="方正小标宋简体" w:eastAsia="方正小标宋简体"/>
          <w:sz w:val="30"/>
          <w:szCs w:val="24"/>
          <w:lang w:val="zh-CN"/>
        </w:rPr>
        <w:sectPr>
          <w:footerReference r:id="rId4" w:type="default"/>
          <w:pgSz w:w="12240" w:h="15840"/>
          <w:pgMar w:top="1440" w:right="1800" w:bottom="1440" w:left="1800" w:header="720" w:footer="720" w:gutter="0"/>
          <w:lnNumType w:countBy="0" w:distance="360"/>
          <w:pgNumType w:start="1"/>
          <w:cols w:space="720" w:num="1"/>
        </w:sectPr>
      </w:pP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lang w:val="zh-CN"/>
        </w:rPr>
        <w:t>第三部分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一、收支决算总体情况说明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三、支出决算情况说明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四、财政拨款收支决算总体情况说明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五、一般公共预算财政拨款支出决算情况说明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六、一般公共预算财政拨款基本支出决算情况说明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25</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七、一般公共预算财政拨款“三公”经费支出决算情况说明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26</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八、政府性基金预算财政拨款收支决算情况说明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九、国有资本经营预算财政拨款收支决算情况说明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十、机关运行经费支出情况说明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十一、政府采购支出情况说明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十二、国有资产占有使用情况说明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十三、预算绩效情况说明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28</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十四、教育、医疗卫生、社会保障和就业、住房保障、涉农补贴等民生支出情况说明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28</w:t>
      </w:r>
    </w:p>
    <w:p>
      <w:pPr>
        <w:tabs>
          <w:tab w:val="right" w:leader="dot" w:pos="8306"/>
        </w:tabs>
        <w:spacing w:beforeLines="0" w:afterLines="0" w:line="700" w:lineRule="exact"/>
        <w:rPr>
          <w:rFonts w:hint="default" w:ascii="Times New Roman" w:hAnsi="Times New Roman" w:eastAsia="宋体"/>
          <w:sz w:val="30"/>
          <w:szCs w:val="24"/>
          <w:lang w:val="en-US" w:eastAsia="zh-CN"/>
        </w:rPr>
      </w:pPr>
      <w:r>
        <w:rPr>
          <w:rFonts w:hint="eastAsia" w:ascii="方正小标宋简体" w:hAnsi="方正小标宋简体" w:eastAsia="方正小标宋简体"/>
          <w:sz w:val="30"/>
          <w:szCs w:val="24"/>
          <w:lang w:val="zh-CN"/>
        </w:rPr>
        <w:t>第四部分  名词解释</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29</w:t>
      </w:r>
    </w:p>
    <w:p>
      <w:pPr>
        <w:spacing w:beforeLines="0" w:afterLines="0" w:line="700" w:lineRule="exact"/>
        <w:rPr>
          <w:rFonts w:hint="eastAsia" w:ascii="黑体" w:hAnsi="黑体" w:eastAsia="黑体"/>
          <w:kern w:val="2"/>
          <w:sz w:val="30"/>
          <w:szCs w:val="24"/>
          <w:lang w:val="zh-CN"/>
        </w:rPr>
        <w:sectPr>
          <w:footerReference r:id="rId5" w:type="default"/>
          <w:pgSz w:w="12240" w:h="15840"/>
          <w:pgMar w:top="1440" w:right="1800" w:bottom="1440" w:left="1800" w:header="720" w:footer="720" w:gutter="0"/>
          <w:lnNumType w:countBy="0" w:distance="360"/>
          <w:pgNumType w:start="1"/>
          <w:cols w:space="720" w:num="1"/>
        </w:sectPr>
      </w:pPr>
    </w:p>
    <w:p>
      <w:pPr>
        <w:spacing w:beforeLines="0" w:afterLines="0" w:line="700" w:lineRule="exact"/>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pPr>
        <w:spacing w:beforeLines="0" w:afterLines="0" w:line="580" w:lineRule="exact"/>
        <w:rPr>
          <w:rFonts w:hint="default" w:ascii="Times New Roman" w:hAnsi="Times New Roman" w:eastAsia="Times New Roman"/>
          <w:kern w:val="2"/>
          <w:sz w:val="24"/>
          <w:szCs w:val="24"/>
          <w:lang w:val="zh-CN"/>
        </w:rPr>
      </w:pPr>
    </w:p>
    <w:p>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pPr>
        <w:pStyle w:val="4"/>
        <w:tabs>
          <w:tab w:val="left" w:pos="8241"/>
        </w:tabs>
        <w:spacing w:beforeLines="0" w:afterLines="0" w:line="560" w:lineRule="exact"/>
        <w:ind w:firstLine="600" w:firstLineChars="200"/>
        <w:rPr>
          <w:rFonts w:hint="eastAsia" w:ascii="仿宋_GB2312" w:hAnsi="仿宋_GB2312" w:eastAsia="仿宋_GB2312"/>
          <w:kern w:val="0"/>
          <w:sz w:val="30"/>
          <w:szCs w:val="24"/>
          <w:lang w:val="zh-CN"/>
        </w:rPr>
      </w:pPr>
      <w:r>
        <w:rPr>
          <w:rFonts w:hint="eastAsia" w:ascii="仿宋_GB2312" w:hAnsi="仿宋_GB2312" w:eastAsia="仿宋_GB2312"/>
          <w:kern w:val="0"/>
          <w:sz w:val="30"/>
          <w:szCs w:val="24"/>
          <w:lang w:val="zh-CN" w:eastAsia="zh-CN"/>
        </w:rPr>
        <w:t>天津东疆综合保税区管理委员会履行下列职责：</w:t>
      </w:r>
      <w:r>
        <w:rPr>
          <w:rFonts w:hint="eastAsia" w:ascii="仿宋_GB2312" w:hAnsi="仿宋_GB2312" w:eastAsia="仿宋_GB2312"/>
          <w:kern w:val="0"/>
          <w:sz w:val="30"/>
          <w:szCs w:val="24"/>
          <w:lang w:val="en-US" w:eastAsia="zh-CN"/>
        </w:rPr>
        <w:t>组织编制保税港区及其毗邻区规划，经批准后组织实施；在行政管理体制和运行机制创新上先行先试，并制定相应的行政管理规定；根据市人民政府授权或者接受有关部门委托，集中统一行使行政许可权、行政处罚权等行政管理职权；统一管理保税港区及其毗邻区土地、规划、建设、财政、人力资源和社会保障、环保、应急等工作；负责投资项目的审批、核准和备案；市人民政府赋予的其他职责。</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pPr>
        <w:spacing w:beforeLines="0" w:afterLines="0" w:line="580" w:lineRule="exact"/>
        <w:ind w:firstLine="600"/>
        <w:rPr>
          <w:rFonts w:hint="eastAsia" w:ascii="仿宋" w:hAnsi="仿宋" w:eastAsia="仿宋"/>
          <w:kern w:val="2"/>
          <w:sz w:val="30"/>
          <w:szCs w:val="24"/>
          <w:lang w:val="en-US" w:eastAsia="zh-CN"/>
        </w:rPr>
      </w:pPr>
      <w:r>
        <w:rPr>
          <w:rFonts w:hint="eastAsia" w:ascii="仿宋_GB2312" w:hAnsi="Times New Roman" w:eastAsia="仿宋_GB2312"/>
          <w:sz w:val="30"/>
          <w:szCs w:val="24"/>
          <w:lang w:val="zh-CN"/>
        </w:rPr>
        <w:t>根据上述职责，</w:t>
      </w:r>
      <w:r>
        <w:rPr>
          <w:rFonts w:hint="eastAsia" w:ascii="仿宋" w:hAnsi="仿宋" w:eastAsia="仿宋"/>
          <w:kern w:val="2"/>
          <w:sz w:val="30"/>
          <w:szCs w:val="24"/>
          <w:lang w:val="en-US" w:eastAsia="zh-CN"/>
        </w:rPr>
        <w:t>天津</w:t>
      </w:r>
      <w:r>
        <w:rPr>
          <w:rFonts w:hint="eastAsia" w:ascii="仿宋" w:hAnsi="仿宋" w:eastAsia="仿宋"/>
          <w:kern w:val="2"/>
          <w:sz w:val="30"/>
          <w:szCs w:val="24"/>
          <w:lang w:val="zh-CN"/>
        </w:rPr>
        <w:t>东疆综合保税区管理委员会内设</w:t>
      </w:r>
      <w:r>
        <w:rPr>
          <w:rFonts w:hint="eastAsia" w:ascii="仿宋" w:hAnsi="仿宋" w:eastAsia="仿宋"/>
          <w:kern w:val="2"/>
          <w:sz w:val="30"/>
          <w:szCs w:val="24"/>
          <w:lang w:val="en-US" w:eastAsia="zh-CN"/>
        </w:rPr>
        <w:t>16</w:t>
      </w:r>
      <w:r>
        <w:rPr>
          <w:rFonts w:hint="eastAsia" w:ascii="仿宋" w:hAnsi="仿宋" w:eastAsia="仿宋"/>
          <w:kern w:val="2"/>
          <w:sz w:val="30"/>
          <w:szCs w:val="24"/>
          <w:lang w:val="zh-CN"/>
        </w:rPr>
        <w:t>个职能处室，</w:t>
      </w:r>
      <w:r>
        <w:rPr>
          <w:rFonts w:hint="eastAsia" w:ascii="仿宋" w:hAnsi="仿宋" w:eastAsia="仿宋"/>
          <w:kern w:val="2"/>
          <w:sz w:val="30"/>
          <w:szCs w:val="24"/>
          <w:lang w:val="en-US"/>
        </w:rPr>
        <w:t>根据决算编报要求，纳入202</w:t>
      </w:r>
      <w:r>
        <w:rPr>
          <w:rFonts w:hint="eastAsia" w:ascii="仿宋" w:hAnsi="仿宋" w:eastAsia="仿宋"/>
          <w:kern w:val="2"/>
          <w:sz w:val="30"/>
          <w:szCs w:val="24"/>
          <w:lang w:val="en-US" w:eastAsia="zh-CN"/>
        </w:rPr>
        <w:t>1</w:t>
      </w:r>
      <w:r>
        <w:rPr>
          <w:rFonts w:hint="eastAsia" w:ascii="仿宋" w:hAnsi="仿宋" w:eastAsia="仿宋"/>
          <w:kern w:val="2"/>
          <w:sz w:val="30"/>
          <w:szCs w:val="24"/>
          <w:lang w:val="en-US"/>
        </w:rPr>
        <w:t>年部门决算编报范围有</w:t>
      </w:r>
      <w:r>
        <w:rPr>
          <w:rFonts w:hint="eastAsia" w:ascii="仿宋" w:hAnsi="仿宋" w:eastAsia="仿宋"/>
          <w:kern w:val="2"/>
          <w:sz w:val="30"/>
          <w:szCs w:val="24"/>
          <w:lang w:val="zh-CN"/>
        </w:rPr>
        <w:t>天津东疆综合保税区管理委员会</w:t>
      </w:r>
      <w:r>
        <w:rPr>
          <w:rFonts w:hint="eastAsia" w:ascii="仿宋" w:hAnsi="仿宋" w:eastAsia="仿宋"/>
          <w:kern w:val="2"/>
          <w:sz w:val="30"/>
          <w:szCs w:val="24"/>
          <w:lang w:val="en-US"/>
        </w:rPr>
        <w:t>（本级）</w:t>
      </w:r>
      <w:r>
        <w:rPr>
          <w:rFonts w:hint="eastAsia" w:ascii="仿宋" w:hAnsi="仿宋" w:eastAsia="仿宋"/>
          <w:kern w:val="2"/>
          <w:sz w:val="30"/>
          <w:szCs w:val="24"/>
          <w:lang w:val="zh-CN" w:eastAsia="zh-CN"/>
        </w:rPr>
        <w:t>。</w:t>
      </w: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2021年度部门决算表</w:t>
      </w:r>
    </w:p>
    <w:p>
      <w:pPr>
        <w:spacing w:beforeLines="0" w:afterLines="0"/>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八、《一般公共预算财政拨款“三公”经费支出决算表》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default" w:ascii="Times New Roman" w:hAnsi="Times New Roman" w:eastAsia="Times New Roman"/>
          <w:sz w:val="24"/>
          <w:szCs w:val="24"/>
          <w:lang w:val="en-US"/>
        </w:rPr>
      </w:pP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40" w:lineRule="exact"/>
        <w:ind w:firstLine="600"/>
        <w:rPr>
          <w:rFonts w:hint="eastAsia" w:ascii="黑体" w:hAnsi="黑体" w:eastAsia="黑体"/>
          <w:sz w:val="30"/>
          <w:szCs w:val="24"/>
          <w:lang w:val="en-US"/>
        </w:rPr>
      </w:pPr>
      <w:r>
        <w:rPr>
          <w:rFonts w:hint="eastAsia" w:ascii="黑体" w:hAnsi="黑体" w:eastAsia="黑体"/>
          <w:sz w:val="30"/>
          <w:szCs w:val="24"/>
          <w:lang w:val="en-US"/>
        </w:rPr>
        <w:t>十二、关于空表的说明</w:t>
      </w:r>
    </w:p>
    <w:p>
      <w:pPr>
        <w:spacing w:beforeLines="0" w:afterLines="0" w:line="580" w:lineRule="exact"/>
        <w:ind w:firstLine="602"/>
        <w:rPr>
          <w:rFonts w:hint="eastAsia" w:ascii="仿宋" w:hAnsi="仿宋" w:eastAsia="仿宋"/>
          <w:sz w:val="30"/>
          <w:szCs w:val="24"/>
          <w:lang w:val="en-US"/>
        </w:rPr>
      </w:pPr>
      <w:r>
        <w:rPr>
          <w:rFonts w:hint="eastAsia" w:ascii="仿宋" w:hAnsi="仿宋" w:eastAsia="仿宋"/>
          <w:sz w:val="30"/>
          <w:szCs w:val="24"/>
          <w:lang w:val="en-US" w:eastAsia="zh-CN"/>
        </w:rPr>
        <w:t>1</w:t>
      </w:r>
      <w:r>
        <w:rPr>
          <w:rFonts w:hint="eastAsia" w:ascii="仿宋" w:hAnsi="仿宋" w:eastAsia="仿宋"/>
          <w:sz w:val="30"/>
          <w:szCs w:val="24"/>
          <w:lang w:val="en-US"/>
        </w:rPr>
        <w:t>.天津</w:t>
      </w:r>
      <w:r>
        <w:rPr>
          <w:rFonts w:hint="eastAsia" w:ascii="仿宋" w:hAnsi="仿宋" w:eastAsia="仿宋"/>
          <w:sz w:val="30"/>
          <w:szCs w:val="24"/>
          <w:lang w:val="en-US" w:eastAsia="zh-CN"/>
        </w:rPr>
        <w:t>东疆综合保税</w:t>
      </w:r>
      <w:r>
        <w:rPr>
          <w:rFonts w:hint="eastAsia" w:ascii="仿宋" w:hAnsi="仿宋" w:eastAsia="仿宋"/>
          <w:sz w:val="30"/>
          <w:szCs w:val="24"/>
          <w:lang w:val="en-US"/>
        </w:rPr>
        <w:t>区管理委员会2021年度政府性基金预算财政拨款收入支出决算表为空表。</w:t>
      </w:r>
    </w:p>
    <w:p>
      <w:pPr>
        <w:spacing w:beforeLines="0" w:afterLines="0" w:line="580" w:lineRule="exact"/>
        <w:ind w:firstLine="602"/>
        <w:rPr>
          <w:rFonts w:hint="eastAsia" w:ascii="仿宋" w:hAnsi="仿宋" w:eastAsia="仿宋"/>
          <w:sz w:val="30"/>
          <w:szCs w:val="24"/>
          <w:lang w:val="zh-CN"/>
        </w:rPr>
      </w:pPr>
      <w:r>
        <w:rPr>
          <w:rFonts w:hint="eastAsia" w:ascii="仿宋" w:hAnsi="仿宋" w:eastAsia="仿宋"/>
          <w:sz w:val="30"/>
          <w:szCs w:val="24"/>
          <w:lang w:val="en-US" w:eastAsia="zh-CN"/>
        </w:rPr>
        <w:t>2</w:t>
      </w:r>
      <w:r>
        <w:rPr>
          <w:rFonts w:hint="eastAsia" w:ascii="仿宋" w:hAnsi="仿宋" w:eastAsia="仿宋"/>
          <w:sz w:val="30"/>
          <w:szCs w:val="24"/>
          <w:lang w:val="en-US"/>
        </w:rPr>
        <w:t>.天津</w:t>
      </w:r>
      <w:r>
        <w:rPr>
          <w:rFonts w:hint="eastAsia" w:ascii="仿宋" w:hAnsi="仿宋" w:eastAsia="仿宋"/>
          <w:sz w:val="30"/>
          <w:szCs w:val="24"/>
          <w:lang w:val="en-US" w:eastAsia="zh-CN"/>
        </w:rPr>
        <w:t>东疆综合保税</w:t>
      </w:r>
      <w:r>
        <w:rPr>
          <w:rFonts w:hint="eastAsia" w:ascii="仿宋" w:hAnsi="仿宋" w:eastAsia="仿宋"/>
          <w:sz w:val="30"/>
          <w:szCs w:val="24"/>
          <w:lang w:val="en-US"/>
        </w:rPr>
        <w:t>区管理委员会2021年度国有资本经营预算财政拨款收入支出决算表为空表。</w:t>
      </w: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2021年度部门决算情况说明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_GB2312" w:hAnsi="仿宋_GB2312" w:eastAsia="仿宋_GB2312"/>
          <w:sz w:val="30"/>
          <w:szCs w:val="24"/>
          <w:lang w:val="zh-CN" w:eastAsia="zh-CN"/>
        </w:rPr>
        <w:t>天津</w:t>
      </w:r>
      <w:r>
        <w:rPr>
          <w:rFonts w:hint="eastAsia" w:ascii="仿宋" w:hAnsi="仿宋" w:eastAsia="仿宋"/>
          <w:sz w:val="30"/>
          <w:szCs w:val="24"/>
          <w:lang w:val="zh-CN"/>
        </w:rPr>
        <w:t>东疆综合保税区管理委员会</w:t>
      </w:r>
      <w:r>
        <w:rPr>
          <w:rFonts w:hint="default" w:ascii="Times New Roman" w:hAnsi="Times New Roman" w:eastAsia="Times New Roman"/>
          <w:sz w:val="30"/>
          <w:szCs w:val="24"/>
          <w:lang w:val="zh-CN"/>
        </w:rPr>
        <w:t>2021</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11,050,724,333.05</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2020</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en-US"/>
        </w:rPr>
        <w:t>2,076,276,194.37</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2"/>
          <w:sz w:val="30"/>
          <w:szCs w:val="24"/>
          <w:lang w:val="en-US"/>
        </w:rPr>
        <w:t>23.14</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主要原因是：资源勘探工业信息</w:t>
      </w:r>
      <w:r>
        <w:rPr>
          <w:rFonts w:hint="eastAsia" w:ascii="仿宋_GB2312" w:hAnsi="仿宋_GB2312" w:eastAsia="仿宋_GB2312"/>
          <w:sz w:val="30"/>
          <w:szCs w:val="24"/>
          <w:lang w:val="en-US" w:eastAsia="zh-CN"/>
        </w:rPr>
        <w:t>等收入、支出增加</w:t>
      </w:r>
      <w:r>
        <w:rPr>
          <w:rFonts w:hint="eastAsia" w:ascii="仿宋_GB2312" w:hAnsi="仿宋_GB2312" w:eastAsia="仿宋_GB231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sz w:val="30"/>
          <w:szCs w:val="24"/>
          <w:lang w:val="zh-CN" w:eastAsia="zh-CN"/>
        </w:rPr>
        <w:t>天津</w:t>
      </w:r>
      <w:r>
        <w:rPr>
          <w:rFonts w:hint="eastAsia" w:ascii="仿宋_GB2312" w:hAnsi="仿宋_GB2312" w:eastAsia="仿宋_GB2312"/>
          <w:kern w:val="2"/>
          <w:sz w:val="30"/>
          <w:szCs w:val="24"/>
          <w:lang w:val="zh-CN"/>
        </w:rPr>
        <w:t>东疆综合保税区管理委员会</w:t>
      </w:r>
      <w:r>
        <w:rPr>
          <w:rFonts w:hint="default" w:ascii="Times New Roman" w:hAnsi="Times New Roman" w:eastAsia="Times New Roman"/>
          <w:kern w:val="2"/>
          <w:sz w:val="30"/>
          <w:szCs w:val="24"/>
          <w:lang w:val="zh-CN"/>
        </w:rPr>
        <w:t>2021</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11,050,724,333.05</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2,076,276,194.37</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主要原因是：资源勘探工业信息</w:t>
      </w:r>
      <w:r>
        <w:rPr>
          <w:rFonts w:hint="eastAsia" w:ascii="仿宋_GB2312" w:hAnsi="仿宋_GB2312" w:eastAsia="仿宋_GB2312"/>
          <w:sz w:val="30"/>
          <w:szCs w:val="24"/>
          <w:lang w:val="en-US" w:eastAsia="zh-CN"/>
        </w:rPr>
        <w:t>等</w:t>
      </w:r>
      <w:r>
        <w:rPr>
          <w:rFonts w:hint="eastAsia" w:ascii="仿宋_GB2312" w:hAnsi="仿宋_GB2312" w:eastAsia="仿宋_GB2312"/>
          <w:sz w:val="30"/>
          <w:szCs w:val="24"/>
          <w:lang w:val="zh-CN"/>
        </w:rPr>
        <w:t>收入增长。</w:t>
      </w:r>
      <w:r>
        <w:rPr>
          <w:rFonts w:hint="eastAsia" w:ascii="仿宋_GB2312" w:hAnsi="仿宋_GB2312" w:eastAsia="仿宋_GB2312"/>
          <w:sz w:val="30"/>
          <w:szCs w:val="24"/>
          <w:lang w:val="en-US"/>
        </w:rPr>
        <w:t>其中：</w:t>
      </w:r>
      <w:r>
        <w:rPr>
          <w:rFonts w:hint="eastAsia" w:ascii="仿宋_GB2312" w:hAnsi="仿宋_GB2312" w:eastAsia="仿宋_GB2312"/>
          <w:kern w:val="2"/>
          <w:sz w:val="30"/>
          <w:szCs w:val="24"/>
          <w:lang w:val="zh-CN"/>
        </w:rPr>
        <w:t>一般公共预算财政拨款收入11,050,724,333.05元，占100.00%。</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sz w:val="30"/>
          <w:szCs w:val="24"/>
          <w:lang w:val="zh-CN" w:eastAsia="zh-CN"/>
        </w:rPr>
        <w:t>天津</w:t>
      </w:r>
      <w:r>
        <w:rPr>
          <w:rFonts w:hint="eastAsia" w:ascii="仿宋_GB2312" w:hAnsi="仿宋_GB2312" w:eastAsia="仿宋_GB2312"/>
          <w:kern w:val="2"/>
          <w:sz w:val="30"/>
          <w:szCs w:val="24"/>
          <w:lang w:val="en-US" w:eastAsia="zh-CN"/>
        </w:rPr>
        <w:t>东疆综合保税</w:t>
      </w:r>
      <w:r>
        <w:rPr>
          <w:rFonts w:hint="eastAsia" w:ascii="仿宋_GB2312" w:hAnsi="仿宋_GB2312" w:eastAsia="仿宋_GB2312"/>
          <w:kern w:val="2"/>
          <w:sz w:val="30"/>
          <w:szCs w:val="24"/>
          <w:lang w:val="en-US"/>
        </w:rPr>
        <w:t>区管理委员会</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11,050,724,333.05</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2,076,276,194.37</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资源勘探工业信息</w:t>
      </w:r>
      <w:r>
        <w:rPr>
          <w:rFonts w:hint="eastAsia" w:ascii="仿宋_GB2312" w:hAnsi="仿宋_GB2312" w:eastAsia="仿宋_GB2312"/>
          <w:sz w:val="30"/>
          <w:szCs w:val="24"/>
          <w:lang w:val="en-US" w:eastAsia="zh-CN"/>
        </w:rPr>
        <w:t>等</w:t>
      </w:r>
      <w:r>
        <w:rPr>
          <w:rFonts w:hint="eastAsia" w:ascii="仿宋_GB2312" w:hAnsi="Times New Roman" w:eastAsia="仿宋_GB2312"/>
          <w:sz w:val="30"/>
          <w:szCs w:val="24"/>
        </w:rPr>
        <w:t>支出增长。</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基本支出156,667,991.59元，占1.42%；项目支出10,894,056,341.46元，占98.58%。</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2"/>
        <w:rPr>
          <w:rFonts w:hint="eastAsia" w:ascii="仿宋_GB2312" w:hAnsi="仿宋_GB2312" w:eastAsia="仿宋_GB2312"/>
          <w:kern w:val="2"/>
          <w:sz w:val="30"/>
          <w:szCs w:val="24"/>
          <w:highlight w:val="yellow"/>
          <w:lang w:val="en-US"/>
        </w:rPr>
      </w:pPr>
      <w:r>
        <w:rPr>
          <w:rFonts w:hint="eastAsia" w:ascii="仿宋_GB2312" w:hAnsi="仿宋_GB2312" w:eastAsia="仿宋_GB2312"/>
          <w:sz w:val="30"/>
          <w:szCs w:val="24"/>
          <w:lang w:val="zh-CN" w:eastAsia="zh-CN"/>
        </w:rPr>
        <w:t>天津</w:t>
      </w:r>
      <w:r>
        <w:rPr>
          <w:rFonts w:hint="eastAsia" w:ascii="仿宋_GB2312" w:hAnsi="仿宋_GB2312" w:eastAsia="仿宋_GB2312"/>
          <w:kern w:val="2"/>
          <w:sz w:val="30"/>
          <w:szCs w:val="24"/>
          <w:lang w:val="en-US" w:eastAsia="zh-CN"/>
        </w:rPr>
        <w:t>东疆综合保税</w:t>
      </w:r>
      <w:r>
        <w:rPr>
          <w:rFonts w:hint="eastAsia" w:ascii="仿宋_GB2312" w:hAnsi="仿宋_GB2312" w:eastAsia="仿宋_GB2312"/>
          <w:kern w:val="2"/>
          <w:sz w:val="30"/>
          <w:szCs w:val="24"/>
          <w:lang w:val="en-US"/>
        </w:rPr>
        <w:t>区管理委员会</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11,050,724,333.05</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年度相比，财政拨款收、支总计各增加</w:t>
      </w:r>
      <w:r>
        <w:rPr>
          <w:rFonts w:hint="default" w:ascii="Times New Roman" w:hAnsi="Times New Roman" w:eastAsia="Times New Roman"/>
          <w:kern w:val="2"/>
          <w:sz w:val="30"/>
          <w:szCs w:val="24"/>
          <w:lang w:val="en-US"/>
        </w:rPr>
        <w:t>2,076,276,194.37</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23.14%</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资源勘探工业信息</w:t>
      </w:r>
      <w:r>
        <w:rPr>
          <w:rFonts w:hint="eastAsia" w:ascii="仿宋_GB2312" w:hAnsi="仿宋_GB2312" w:eastAsia="仿宋_GB2312"/>
          <w:sz w:val="30"/>
          <w:szCs w:val="24"/>
          <w:lang w:val="en-US" w:eastAsia="zh-CN"/>
        </w:rPr>
        <w:t>等收入、支出增加</w:t>
      </w:r>
      <w:r>
        <w:rPr>
          <w:rFonts w:hint="eastAsia" w:ascii="仿宋_GB2312" w:hAnsi="仿宋_GB2312" w:eastAsia="仿宋_GB231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zh-CN" w:eastAsia="zh-CN"/>
        </w:rPr>
        <w:t>天津</w:t>
      </w:r>
      <w:r>
        <w:rPr>
          <w:rFonts w:hint="eastAsia" w:ascii="仿宋_GB2312" w:hAnsi="仿宋_GB2312" w:eastAsia="仿宋_GB2312"/>
          <w:kern w:val="2"/>
          <w:sz w:val="30"/>
          <w:szCs w:val="24"/>
          <w:lang w:val="en-US" w:eastAsia="zh-CN"/>
        </w:rPr>
        <w:t>东疆综合保税</w:t>
      </w:r>
      <w:r>
        <w:rPr>
          <w:rFonts w:hint="eastAsia" w:ascii="仿宋_GB2312" w:hAnsi="仿宋_GB2312" w:eastAsia="仿宋_GB2312"/>
          <w:kern w:val="2"/>
          <w:sz w:val="30"/>
          <w:szCs w:val="24"/>
          <w:lang w:val="en-US"/>
        </w:rPr>
        <w:t>区管理委员会</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年度部门决算一般公共预算财政拨款支出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11,050,724,333.05</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100.00%</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2,135,276,194.37</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23.95%</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资源勘探工业信息</w:t>
      </w:r>
      <w:r>
        <w:rPr>
          <w:rFonts w:hint="eastAsia" w:ascii="仿宋_GB2312" w:hAnsi="仿宋_GB2312" w:eastAsia="仿宋_GB2312"/>
          <w:sz w:val="30"/>
          <w:szCs w:val="24"/>
          <w:lang w:val="en-US" w:eastAsia="zh-CN"/>
        </w:rPr>
        <w:t>等支出增加</w:t>
      </w:r>
      <w:r>
        <w:rPr>
          <w:rFonts w:hint="eastAsia" w:ascii="仿宋_GB2312" w:hAnsi="仿宋_GB2312" w:eastAsia="仿宋_GB2312"/>
          <w:kern w:val="2"/>
          <w:sz w:val="30"/>
          <w:szCs w:val="24"/>
          <w:lang w:val="en-US"/>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2021年度一般公共预算财政拨款支出</w:t>
      </w:r>
      <w:r>
        <w:rPr>
          <w:rFonts w:hint="default" w:ascii="Times New Roman" w:hAnsi="Times New Roman" w:eastAsia="Times New Roman"/>
          <w:kern w:val="2"/>
          <w:sz w:val="30"/>
          <w:szCs w:val="24"/>
          <w:lang w:val="en-US"/>
        </w:rPr>
        <w:t>11,050,724,333.05</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一般公共服务支出214,150,927.51元，占1.94%；公共安全支出5,363,514.95元，占0.05%；教育支出10,009,238.37元，占0.09%；科学技术支出90,410,840.26元，占0.82%；文化旅游体育与传媒支出6,621,991.10元，占0.06%；社会保障和就业支出57,540,226.33元，占0.52%；卫生健康支出3,087,210.54元，占0.03%；节能环保支出7,254,913.80元，占0.07%；城乡社区支出287,090,980.43元，占2.60%；农林水支出2,306,491.59元，占0.02%；交通运输支出7,019,171.00元，占0.06%；资源勘探工业信息等支出9,709,351,830.65元，占87.86%；商业服务业等支出505,038,800.00元，占4.57%；金融支出11,879,885.08元，占0.11%；自然资源海洋气象等支出2,943,394.50元，占0.03%；粮油物资储备支出100,000,000.00元，占0.90%；灾害防治及应急管理支出9,980,610.06元，占0.09%；其他支出20,674,306.88元，占0.19%。</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2021年度一般公共预算财政拨款支出年初预算为</w:t>
      </w:r>
      <w:r>
        <w:rPr>
          <w:rFonts w:hint="eastAsia" w:ascii="Times New Roman" w:hAnsi="Times New Roman" w:eastAsia="宋体"/>
          <w:kern w:val="2"/>
          <w:sz w:val="30"/>
          <w:szCs w:val="24"/>
          <w:lang w:val="en-US" w:eastAsia="zh-CN"/>
        </w:rPr>
        <w:t>13,708,580,000.00</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11,050,724,333.05</w:t>
      </w:r>
      <w:r>
        <w:rPr>
          <w:rFonts w:hint="eastAsia" w:ascii="仿宋_GB2312" w:hAnsi="仿宋_GB2312" w:eastAsia="仿宋_GB2312"/>
          <w:sz w:val="30"/>
          <w:szCs w:val="24"/>
          <w:lang w:val="en-US"/>
        </w:rPr>
        <w:t>元，完成年初预算的</w:t>
      </w:r>
      <w:r>
        <w:rPr>
          <w:rFonts w:hint="eastAsia" w:ascii="Times New Roman" w:hAnsi="Times New Roman" w:eastAsia="宋体"/>
          <w:kern w:val="2"/>
          <w:sz w:val="30"/>
          <w:szCs w:val="24"/>
          <w:lang w:val="en-US" w:eastAsia="zh-CN"/>
        </w:rPr>
        <w:t>80.61</w:t>
      </w:r>
      <w:r>
        <w:rPr>
          <w:rFonts w:hint="eastAsia" w:ascii="仿宋_GB2312" w:hAnsi="仿宋_GB2312" w:eastAsia="仿宋_GB2312"/>
          <w:sz w:val="30"/>
          <w:szCs w:val="24"/>
          <w:lang w:val="en-US"/>
        </w:rPr>
        <w:t>%。其中：</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 一般公共服务支出（类）政府办公厅（室）及相关机构事务（款）行政运行（项）年初预算为5081350元，支出决算为1706521.97元，完成年初预算的33.58%，决算数小于年初预算数的主要原因是其他交通费（租车费）、公务用车维护费等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一般公共服务支出（类）政府办公厅（室）及相关机构事务（款）一般行政管理事务（项）年初预算为58380783.99元，支出决算为46280997.65元，完成年初预算的79.27%，决算数小于年初预算数的主要原因是办公用房租赁及物业、呼叫中心建设、新金融展示中心等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一般公共服务支出（类）政府办公厅（室）及相关机构事务（款）信访事务（项）年初预算为69415.00元，支出决算为10205.00元，完成年初预算的14.70%，决算数小于年初预算数的主要原因是综治、维稳、信访相关经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4.一般公共服务支出（类）发展与改革事务（款） 行政运行（项）年初预算为755000.00元，支出决算为163773.71元，完成年初预算的21.69%，决算数小于年初预算数的主要原因是公务接待、差旅等相关经费支出减少。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5.一般公共服务支出（类）发展与改革事务（款）一般行政管理事务（项）年初预算为50000.00 元，支出决算为0元，决算数小于年初预算数的主要原因是本年未使用该科目支出。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6.一般公共服务支出（类）统计信息事务（款）一般行政管理事务（项）年初预算为508357.00元，支出决算为336715.19元，完成年初预算的66.24%，决算数小于年初预算数的主要原因是统计相关服务费</w:t>
      </w:r>
      <w:bookmarkStart w:id="0" w:name="_Hlk114736033"/>
      <w:r>
        <w:rPr>
          <w:rFonts w:hint="eastAsia" w:ascii="仿宋_GB2312" w:hAnsi="仿宋_GB2312" w:eastAsia="仿宋_GB2312"/>
          <w:sz w:val="30"/>
          <w:szCs w:val="24"/>
        </w:rPr>
        <w:t>支出减少，调减预算用于其他项目</w:t>
      </w:r>
      <w:bookmarkEnd w:id="0"/>
      <w:r>
        <w:rPr>
          <w:rFonts w:hint="eastAsia" w:ascii="仿宋_GB2312" w:hAnsi="仿宋_GB2312" w:eastAsia="仿宋_GB2312"/>
          <w:sz w:val="30"/>
          <w:szCs w:val="24"/>
        </w:rPr>
        <w:t>。</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一般公共服务支出（类）统计信息事务（款）统计管理（项）年初预算为134799.00元，支出决算为94299.00元，完成年初预算的69.96%，决算数小于年初预算数的主要原因是统计相关经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一般公共服务支出（类）财政事务（款）行政运行（项）年初预算为606375.00元，支出决算为276186.27元，完成年初预算的45.55 %，决算数小于年初预算数的主要原因是公用经费中的差旅费、邮电费等相关经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9.一般公共服务支出（类）财政事务（款）一般行政管理事务（项）年初预算为2290000.00元，支出决算为1532076.40 元，完成年初预算的66.90%，决算数小于年初预算数的主要原因是</w:t>
      </w:r>
      <w:r>
        <w:rPr>
          <w:rFonts w:hint="eastAsia" w:ascii="仿宋_GB2312" w:hAnsi="仿宋_GB2312" w:eastAsia="仿宋_GB2312"/>
          <w:sz w:val="30"/>
          <w:szCs w:val="24"/>
          <w:lang w:val="en-US" w:eastAsia="zh-CN"/>
        </w:rPr>
        <w:t>相关</w:t>
      </w:r>
      <w:r>
        <w:rPr>
          <w:rFonts w:hint="eastAsia" w:ascii="仿宋_GB2312" w:hAnsi="仿宋_GB2312" w:eastAsia="仿宋_GB2312"/>
          <w:sz w:val="30"/>
          <w:szCs w:val="24"/>
        </w:rPr>
        <w:t>评估、专项审计支出减少，调减预算用于其他项目。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一般公共服务支出（类）财政事务（款）信息化建设（项）年初预算为3192540.00元，支出决算为1229600.00元，完成年初预算的38.51%，决算数小于年初预算数的主要原因是系统运维费相关费用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11.一般公共服务支出（类）财政事务（款）财政委托业务支出（项）年初预算为3800770.88元，支出决算为3340396.88元，完成年初预算的87.89%，决算数小于年初预算数的主要原因是财政评审、绩效管理相关经费支出减少略少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12.一般公共服务支出（类）税收事务（款）行政运行（项）年初预算为6677972.00元，支出决算为7964263.00元，完成年初预算的119.26 %，决算数大于年初预算数的主要原因是追加预算用于</w:t>
      </w:r>
      <w:r>
        <w:rPr>
          <w:rFonts w:hint="eastAsia" w:ascii="仿宋_GB2312" w:hAnsi="仿宋_GB2312" w:eastAsia="仿宋_GB2312"/>
          <w:sz w:val="30"/>
          <w:szCs w:val="24"/>
          <w:lang w:val="en-US" w:eastAsia="zh-CN"/>
        </w:rPr>
        <w:t>税务方面支出</w:t>
      </w:r>
      <w:r>
        <w:rPr>
          <w:rFonts w:hint="eastAsia" w:ascii="仿宋_GB2312" w:hAnsi="仿宋_GB2312" w:eastAsia="仿宋_GB2312"/>
          <w:sz w:val="30"/>
          <w:szCs w:val="24"/>
        </w:rPr>
        <w:t>。</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13.一般公共服务支出（类）海关事务（款）行政运行（项）年初预算为1098612.00元，支出决算为1288424.00元，完成年初预算的117.28%，决算数大于年初预算数的主要原因是追加预算用于</w:t>
      </w:r>
      <w:r>
        <w:rPr>
          <w:rFonts w:hint="eastAsia" w:ascii="仿宋_GB2312" w:hAnsi="仿宋_GB2312" w:eastAsia="仿宋_GB2312"/>
          <w:sz w:val="30"/>
          <w:szCs w:val="24"/>
          <w:lang w:val="en-US" w:eastAsia="zh-CN"/>
        </w:rPr>
        <w:t>海关方面支出</w:t>
      </w:r>
      <w:r>
        <w:rPr>
          <w:rFonts w:hint="eastAsia" w:ascii="仿宋_GB2312" w:hAnsi="仿宋_GB2312" w:eastAsia="仿宋_GB2312"/>
          <w:sz w:val="30"/>
          <w:szCs w:val="24"/>
        </w:rPr>
        <w:t>。</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14.一般公共服务支出（类）海关事务（款）口岸管理（项）年初预算为2350000.00元，支出决算为1369157.00元，完成年初预算的58.26%，决算数小于年初预算数的主要原因是系统运维费相关费用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15.一般公共服务支出（类）纪检监察事务（款）行政运行（项）年初预算为145980.00元，支出决算为17291.83元，完成年初预算的11.85%，决算数小于年初预算数的主要原因是公用经费中的差旅费、办公费等相关经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16.一般公共服务支出（类）纪检监察事务（款）一般行政管理事务（项）年初预算为610000.00元，支出决算为146246.20元，完成年初预算的23.97%，决算数小于年初预算数的主要原因是纪检监督相关费用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17.一般公共服务支出（类）商贸事务（款）行政运行（项）年初预算为3092900.00元，支出决算为1030840.94元，完成年初预算的33.33%，</w:t>
      </w:r>
      <w:bookmarkStart w:id="1" w:name="_Hlk114746868"/>
      <w:r>
        <w:rPr>
          <w:rFonts w:hint="eastAsia" w:ascii="仿宋_GB2312" w:hAnsi="仿宋_GB2312" w:eastAsia="仿宋_GB2312"/>
          <w:sz w:val="30"/>
          <w:szCs w:val="24"/>
        </w:rPr>
        <w:t>决算数小于年初预算数的主要原因是公用经费中的差旅费、办公费等相关经费支出减少。</w:t>
      </w:r>
    </w:p>
    <w:bookmarkEnd w:id="1"/>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18.一般公共服务支出（类）商贸事务（款）一般行政管理事务（项）年初预算为3000.00 元，支出决算为0元，决算数小于年初预算数的主要原因是本年未使用该科目支出，调整至其他科目使用。</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19.一般公共服务支出（类）商贸事务（款）招商引资（项）年初预算为30543848.00元，支出决算为20466602.85元，完成年初预算的67.01%，决算数小于年初预算数的主要原因是</w:t>
      </w:r>
      <w:r>
        <w:rPr>
          <w:rFonts w:hint="eastAsia" w:ascii="仿宋_GB2312" w:hAnsi="仿宋_GB2312" w:eastAsia="仿宋_GB2312"/>
          <w:sz w:val="30"/>
          <w:szCs w:val="24"/>
          <w:lang w:val="en-US" w:eastAsia="zh-CN"/>
        </w:rPr>
        <w:t>跨境电商集中查验、企业服务等项目支出减少</w:t>
      </w:r>
      <w:r>
        <w:rPr>
          <w:rFonts w:hint="eastAsia" w:ascii="仿宋_GB2312" w:hAnsi="仿宋_GB2312" w:eastAsia="仿宋_GB2312"/>
          <w:sz w:val="30"/>
          <w:szCs w:val="24"/>
        </w:rPr>
        <w:t>。</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20.一般公共服务支出（类）商贸事务（款）其他商贸事务支出（项）年初预算为371300.00元，支出决算为188300.00元，完成年初预算的50.71%，决算数小于年初预算数的主要原因是资料审核费支出减少。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21.一般公共服务支出（类）群众团体事务（款）一般行政管理事务（项）年初预算为1441778.85 元，支出决算为1503580.88 元，完成年初预算的104.29%，决算数</w:t>
      </w:r>
      <w:r>
        <w:rPr>
          <w:rFonts w:hint="eastAsia" w:ascii="仿宋_GB2312" w:hAnsi="仿宋_GB2312" w:eastAsia="仿宋_GB2312"/>
          <w:sz w:val="30"/>
          <w:szCs w:val="24"/>
          <w:lang w:val="en-US" w:eastAsia="zh-CN"/>
        </w:rPr>
        <w:t>大</w:t>
      </w:r>
      <w:r>
        <w:rPr>
          <w:rFonts w:hint="eastAsia" w:ascii="仿宋_GB2312" w:hAnsi="仿宋_GB2312" w:eastAsia="仿宋_GB2312"/>
          <w:sz w:val="30"/>
          <w:szCs w:val="24"/>
        </w:rPr>
        <w:t>于年初预算数的主要原因是追加费用用于工会经费。</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22.一般公共服务支出（类）党委办公厅（室）及相关机构事务（款）行政运行（项）年初预算为585400.00 元，支出决算为237893.59元，完成年初预算的40.64%，决算数小于年初预算数的主要原因是公用经费中的差旅费、办公费等相关经费支出减少。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23.一般公共服务支出（类）党委办公厅（室）及相关机构事务（款）一般行政管理事务（项）年初预算为3032300.00 元，支出决算为2050456.38 元，完成年初预算的67.62%，决算数小于年初预算数的主要原因是党建、宣传等相关经费支出减少。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24.一般公共服务支出（类）组织事务（款）行政运行（项）年初预算为125917824.68 元，支出决算为115508178.79 元，完成年初预算的91.73%，决算数小于年初预算数的主要原因是人员支出、日常办公费、办公设备购置等，支出略低于预算。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25.一般公共服务支出（类）组织事务（款）一般行政管理事务（项）年初预算为904650.00 元，支出决算为904650.00 元，完成年初预算的100.00%，全额支出。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26.一般公共服务支出（类）组织事务（款）公务员事务（项）年初预算为1765480.00 元，支出决算为922426.17 元，完成年初预算的52.25%，决算数小于年初预算数的主要原因是招聘、培训等支出减少。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27.一般公共服务支出（类）组织事务（款）其他组织事务支出（项）年初预算为516960.00 元，支出决算为452072.70 元，完成年初预算的87.45%，决算数小于年初预算数的主要原因是海河英才、社保服务等方面，支出略低于预算。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28.一般公共服务支出（类）市场监督管理事务（款）行政运行（项）年初预算为984000.00 元，支出决算为1023318.11 元，完成年初预算的104.00%，决算数</w:t>
      </w:r>
      <w:r>
        <w:rPr>
          <w:rFonts w:hint="eastAsia" w:ascii="仿宋_GB2312" w:hAnsi="仿宋_GB2312" w:eastAsia="仿宋_GB2312"/>
          <w:sz w:val="30"/>
          <w:szCs w:val="24"/>
          <w:lang w:val="en-US" w:eastAsia="zh-CN"/>
        </w:rPr>
        <w:t>大</w:t>
      </w:r>
      <w:r>
        <w:rPr>
          <w:rFonts w:hint="eastAsia" w:ascii="仿宋_GB2312" w:hAnsi="仿宋_GB2312" w:eastAsia="仿宋_GB2312"/>
          <w:sz w:val="30"/>
          <w:szCs w:val="24"/>
        </w:rPr>
        <w:t>于年初预算数的主要原因是追加预算用于日常办公费、办公设备购置。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29.一般公共服务支出（类）市场监督管理事务（款）一般行政管理事务（项）年初预算为4320000.00元，支出决算为4106453.00 元，完成年初预算的95.06%，决算数小于年初预算数的主要原因是新开办企业印章、市场监管业务、食品安全经费、市场主体登记改革经费等，支出略低于预算。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30.公共安全支出（类）武装警察部队（款）其他武装警察部队支出（项）年初预算为769120.00 元，支出决算为835142.55 元，完成年初预算的108.58%，决算数大于年初预算数的主要原因是追加预算用于东海路派出所经费补助。</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31.公共安全支出（类）法院（款）行政运行（项）年初预算为4394200.00元，支出决算为4394200.00元，完成年初预算的100.00%，全部列支。</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32.公共安全支出（类）司法（款）普法宣传（项）年初预算为10000.00元，支出决算为16506.40元，完成年初预算的165.06%，决算数大于年初预算数的主要原因是追加预算用于普法经费。</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33.公共安全支出（类）司法（款）法制建设（项）年初预算为300000.00元，支出决算为117666.00元，完成年初预算的39.22%，决算数小于年初预算数的主要原因是法律服务费支出减少，调减预算用于其他项目。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34.教育支出（类）普通教育（款）学前教育（项）年初预算为1854224.00元，支出决算为1284294.84元，完成年初预算的69.26%，决算数小于年初预算数的主要原因是幼儿园办学费支出减少。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35.教育支出（类）普通教育（款）小学教育（项）年初预算为9849678.84 元，支出决算为8724943.53 元，完成年初预算的88.58%，决算数小于年初预算数的主要原因是东疆小外经费，支出略低于预算。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36.科学技术支出（类）技术研究与开发（款）其他技术研究与开发支出（项）年初预算为2200000.00 元，支出决算为89530400.00 元，完成年初预算的4069.56%，决算数大于年初预算数的主要原因是追加预算用于滨海产业发展基金、</w:t>
      </w:r>
      <w:r>
        <w:rPr>
          <w:rFonts w:hint="eastAsia" w:ascii="仿宋_GB2312" w:hAnsi="仿宋_GB2312" w:eastAsia="仿宋_GB2312"/>
          <w:sz w:val="30"/>
          <w:szCs w:val="24"/>
          <w:lang w:val="en-US" w:eastAsia="zh-CN"/>
        </w:rPr>
        <w:t>国家高企市级奖励资金、高新技术企业补贴经费等</w:t>
      </w:r>
      <w:r>
        <w:rPr>
          <w:rFonts w:hint="eastAsia" w:ascii="仿宋_GB2312" w:hAnsi="仿宋_GB2312" w:eastAsia="仿宋_GB2312"/>
          <w:sz w:val="30"/>
          <w:szCs w:val="24"/>
        </w:rPr>
        <w:t>。</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37.科学技术支出（类）科技条件与服务（款）技术创新服务体系（项）年初预算为1330000.00 元，支出决算为880440.26 元，完成年初预算的66.20%，决算数小于年初预算数的主要原因是2021年</w:t>
      </w:r>
      <w:r>
        <w:rPr>
          <w:rFonts w:hint="eastAsia" w:ascii="仿宋_GB2312" w:hAnsi="仿宋_GB2312" w:eastAsia="仿宋_GB2312"/>
          <w:sz w:val="30"/>
          <w:szCs w:val="24"/>
          <w:lang w:eastAsia="zh-CN"/>
        </w:rPr>
        <w:t>东疆综合保税</w:t>
      </w:r>
      <w:r>
        <w:rPr>
          <w:rFonts w:hint="eastAsia" w:ascii="仿宋_GB2312" w:hAnsi="仿宋_GB2312" w:eastAsia="仿宋_GB2312"/>
          <w:sz w:val="30"/>
          <w:szCs w:val="24"/>
        </w:rPr>
        <w:t>区科技创新服务项目支出减少，调减预算用于其他项目。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38.科学技术支出（类）科学技术普及（款）科普活动（项）年初预算为600000.00 元，支出决算为0元，主要原因为预算执行过程中调减此项目。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39.文化旅游体育与传媒支出（类）文化和旅游（款）图书馆（项）年初预算为196000.00 元，支出决算为195794.40 元，完成年初预算的99.90%，决算数小于年初预算数的主要原因是图书馆经费支出略低于预算。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40.文化旅游体育与传媒支出（类）文化和旅游（款）群众文化（项）年初预算为49174.00 元，支出决算为48657.00 元，完成年初预算的98.95%，决算数小于年初预算数的主要原因是公共文化示范区经费支出略低于预算。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41.文化旅游体育与传媒支出（类）文化和旅游（款）文化创作与保护（项）年初预算为10000.00 元，支出决算为0 元，主要原因是本年未使用该科目支出，调整至其他科目使用。</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42.文化旅游体育与传媒支出（类）文化和旅游（款）文化和旅游管理事务（项）年初预算为6000000.00 元，支出决算为5791591.70 元，完成年初预算的96.53%，决算数小于年初预算数的主要原因是文化和旅游相关支出略低于预算。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43.文化旅游体育与传媒支出（类）文化和旅游（款）其他文化和旅游支出（项）年初预算为772000.00元，支出决算为585948.00 元，完成年初预算的75.90%，决算数小于年初预算数的主要原因是三无船舶相关费用、水域扫描等支出减少，调减预算用于其他项目。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44.社会保障和就业支出（类）人力资源和社会保障管理事务（款）一般行政管理事务（项）年初预算为0元，支出决算为11300.00 元，主要原因是追加预算主要用于行政执法专项经费。</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45.社会保障和就业支出（类）人力资源和社会保障管理事务（款）信息化建设（项）年初预算为220700.00元，支出决算为491075.00元，完成年初预算的222.51%，决算数大于年初预算数的主要原因是追加预算用于档案信息化建设经费、劳动争议“云调解”平台建设。</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46.社会保障和就业支出（类）人力资源和社会保障管理事务（款）劳动人事争议调解仲裁（项）年初预算为208000.00元，支出决算为169600.00元，完成年初预算的81.54%，决算数小于年初预算数的主要原因是劳动人事争议调解仲裁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47.社会保障和就业支出（类）人力资源和社会保障管理事务（款）博士后日常经费（项）年初预算为2304500.00元，支出决算为553840.00元，完成年初预算的24.03%，决算数小于年初预算数的主要原因是人才建设专项经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48.社会保障和就业支出（类）人力资源和社会保障管理事务（款）引进人才费用（项）年初预算为1065000.00元，支出决算为1033000.00元，完成年初预算的97.00%，决算数小于年初预算数的主要原因</w:t>
      </w:r>
      <w:r>
        <w:rPr>
          <w:rFonts w:hint="eastAsia" w:ascii="仿宋_GB2312" w:hAnsi="仿宋_GB2312" w:eastAsia="仿宋_GB2312"/>
          <w:sz w:val="30"/>
          <w:szCs w:val="24"/>
          <w:lang w:val="en-US" w:eastAsia="zh-CN"/>
        </w:rPr>
        <w:t>是</w:t>
      </w:r>
      <w:r>
        <w:rPr>
          <w:rFonts w:hint="eastAsia" w:ascii="仿宋_GB2312" w:hAnsi="仿宋_GB2312" w:eastAsia="仿宋_GB2312"/>
          <w:sz w:val="30"/>
          <w:szCs w:val="24"/>
        </w:rPr>
        <w:t>人才建设相关经费，支出略低于预算。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49.社会保障和就业支出（类）人力资源和社会保障管理事务（款）其他人力资源和社会保障管理事务支出（项）年初预算为65593263.13元，支出决算为54917759.43元，完成年初预算的83.72%，决算数小于年初预算数的主要原因是人才方面经费，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50.社会保障和就业支出（类）民政管理事务（款）行政运行（项）年初预算为398000.00元，支出决算为270931.09元，完成年初预算的68.07%，决算数小于年初预算数的主要原因是公用经费中的差旅费、办公费等相关经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51.社会保障和就业支出（类）民政管理事务（款）一般行政管理事务（项）年初预算为6000.00元，支出决算为2568.19元，完成年初预算的42.80%，决算数小于年初预算数的主要原因是党务工作经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52.社会保障和就业支出（类）民政管理事务（款）社会组织管理（项）年初预算为1000.00元，支出决算为1000.00元，完成年初预算的100.00%，全额支付。</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53.社会保障和就业支出（类）民政管理事务（款）基层政权建设和社区治理（项）年初预算为108000.00元，支出决算为85560.62元，完成年初预算的79.22%，决算数小于年初预算数的主要原因是社区工作经费支出略低于预算，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54.社会保障和就业支出（类）退役安置（款）其他退役安置支出（项）年初预算为11000.00元，支出决算为3592.00元，完成年初预算的32.65%，决算数小于年初预算数的主要原因是退役军人服务管理经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55.卫生健康支出（类）基层医疗卫生机构（款）城市社区卫生机构（项）年初预算为982005.50元，支出决算为946697.52元，完成年初预算的96.40%，决算数小于年初预算数的主要原因是社区医务室经费，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56.卫生健康支出（类）公共卫生（款）其他专业公共卫生机构（项）年初预算为280000.00元，支出决算为280000.00元，完成年初预算的100.00%，全额支出。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57.卫生健康支出（类）公共卫生（款）基本公共卫生服务（项）年初预算为300000.00元，支出决算为325290.80 元，完成年初预算的108.43%，决算数大于年初预算数的主要原因是追加预算用于爱国卫生工作经费。</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58.卫生健康支出（类）公共卫生（款）突发公共卫生事件应急处理（项）年初预算为1700000.00元，支出决算为1500365.90元，完成年初预算的88.26%，决算数小于年初预算数的主要原因是疫情防控方面，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59.卫生健康支出（类）公共卫生（款）其他公共卫生支出（项）年初预算为50000.00 元，支出决算为12796.32 元，完成年初预算的25.59%，决算数小于年初预算数的主要原因是院前急救经费支出减少，调减预算用于其他项目。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60.卫生健康支出（类）计划生育事务（款）计划生育服务（项）年初预算为22060.00元，支出决算为22060.00元，完成年初预算的100.00%，全额支出。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61.节能环保支出（类）环境保护管理事务（款） 行政运行（项）年初预算为890500.00元，支出决算为427358.00元，完成年初预算的47.99%，决算数小于年初预算数的主要原因是公用经费中的差旅费、办公设备购置相关费用支出减少。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62.节能环保支出（类）环境保护管理事务（款）生态环境保护行政许可（项）年初预算为155600.00元，支出决算为125600.00 元，完成年初预算的80.72%，决算数小于年初预算数的主要原因是 环保相关经费支出略低于预算。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 xml:space="preserve">63.节能环保支出（类）环境监测与监察（款）建设项目环评审查与监督（项）年初预算为534220.00元，支出决算为224620.00 元，完成年初预算的42.05%，决算数小于年初预算数的主要原因是区域规划环评跟踪评价相关费用支出减少。 </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64.节能环保支出（类）环境监测与监察（款）其他环境监测与监察支出（项）年初预算为434497.00元，支出决算为155000.00 元，完成年初预算的35.67%，决算数小于年初预算数的主要原因是 区域水土方面支出减少，调减预算用于其他项目。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65.节能环保支出（类）污染防治（款）大气（项）年初预算为3588771.06元，支出决算为2660024.00元，完成年初预算的74.12%，决算数小于年初预算数的主要原因是清新空气、空气质量考核相关费用支出减少。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66.节能环保支出（类）污染防治（款）噪声（项）年初预算为0 元，支出决算为25467.00元，决算数大于年初预算数的主要原因是追加预算25467.00元，主要用于东疆噪声监测设备移机。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67.节能环保支出（类）能源节约利用（款） 能源节约利用（项）年初预算为0元，支出决算为2178600.00 元，决算数大于年初预算数的主要原因是追加预算2708600.00元，主要为2017年度新能源汽车第一批区级财政补助资金。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68.节能环保支出（类）污染减排（款）生态环境监测与信息（项）年初预算为940120.00 元，支出决算为949800.80元，完成年初预算的101.03%，决算数大于年初预算数的主要原因是追加预算用于海洋和海岸带垃圾治理项目。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69.节能环保支出（类）能源管理事务（款）能源管理（项）年初预算为0.00 元，支出决算为263144.00元，决算数大于年初预算数的主要原因是追加预算263144.00元，主要用于东疆区域能评。</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70.节能环保支出（类）能源管理事务（款）信息化建设（项）年初预算为246000.00元，支出决算为245300.00元，完成年初预算的99.72%，决算数小于年初预算数的主要原因是主要支出为信息化建设，支出略低于预算。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71.城乡社区支出（类）城乡社区管理事务（款）行政运行（项）年初预算为652800.00 元，支出决算为348619.24 元，完成年初预算的53.40%，决算数小于年初预算数的主要原因是公用经费中的差旅费支出减少，调减预算用于其他项目。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72.城乡社区支出（类）城乡社区管理事务（款）一般行政管理事务（项）年初预算为683750.00元，支出决算为762935.00元，完成年初预算的111.58%，决算数大于年初预算数的主要原因是追加预算用于城建档案技术服务、综合执法方面。</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73.城乡社区支出（类）城乡社区管理事务（款）城管执法（项）年初预算为1440329.38元，支出决算为915700.78元，完成年初预算的63.58%，决算数小于年初预算数的主要原因是综合执法协勤人员费用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74.城乡社区支出（类）城乡社区管理事务（款）住宅建设与房地产市场监管（项）年初预算为482425.00元，支出决算为211851.44元，完成年初预算的43.91%，决算数小于年初预算数的主要原因是登记中心经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75.城乡社区支出（类）城乡社区管理事务（款）其他城乡社区管理事务支出（项）年初预算为1416720.00元，支出决算为371208.00元，完成年初预算的26.20%，决算数小于年初预算数的主要原因是档案数字化建设经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76.城乡社区支出（类）城乡社区规划与管理（款）城乡社区规划与管理（项）年初预算为10293550.00元，支出决算为5973740.00元，完成年初预算的58.03%，决算数小于年初预算数的主要原因是国土空间控制性详细规划修编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 xml:space="preserve"> 77.城乡社区支出（类）城乡社区公共设施（款）小城镇基础设施建设（项）年初预算为3650000.00元，支出决算为2195159.36元，完成年初预算的60.14%，决算数小于年初预算数的主要原因是供热方面支出减少。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78.城乡社区支出（类）城乡社区公共设施（款）其他城乡社区公共设施支出（项）年初预算为498548502.99 元，支出决算为274559997.61元，完成年初预算的55.07%，决算数小于年初预算数的主要原因是公共基础设施方面，根据工作实际列支。</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79.城乡社区支出（类）城乡社区环境卫生（款）城乡社区环境卫生（项）年初预算为1805690.00 元，支出决算为750430.00 元，完成年初预算的41.56%，决算数小于年初预算数的主要原因</w:t>
      </w:r>
      <w:r>
        <w:rPr>
          <w:rFonts w:hint="eastAsia" w:ascii="仿宋_GB2312" w:hAnsi="仿宋_GB2312" w:eastAsia="仿宋_GB2312"/>
          <w:sz w:val="30"/>
          <w:szCs w:val="24"/>
          <w:lang w:val="en-US" w:eastAsia="zh-CN"/>
        </w:rPr>
        <w:t>是</w:t>
      </w:r>
      <w:r>
        <w:rPr>
          <w:rFonts w:hint="eastAsia" w:ascii="仿宋_GB2312" w:hAnsi="仿宋_GB2312" w:eastAsia="仿宋_GB2312"/>
          <w:sz w:val="30"/>
          <w:szCs w:val="24"/>
        </w:rPr>
        <w:t>移动公厕安装及运维费、</w:t>
      </w:r>
      <w:r>
        <w:rPr>
          <w:rFonts w:hint="eastAsia" w:ascii="仿宋_GB2312" w:hAnsi="仿宋_GB2312" w:eastAsia="仿宋_GB2312"/>
          <w:sz w:val="30"/>
          <w:szCs w:val="24"/>
          <w:lang w:val="en-US" w:eastAsia="zh-CN"/>
        </w:rPr>
        <w:t>绿化</w:t>
      </w:r>
      <w:r>
        <w:rPr>
          <w:rFonts w:hint="eastAsia" w:ascii="仿宋_GB2312" w:hAnsi="仿宋_GB2312" w:eastAsia="仿宋_GB2312"/>
          <w:sz w:val="30"/>
          <w:szCs w:val="24"/>
        </w:rPr>
        <w:t>养护费用</w:t>
      </w:r>
      <w:bookmarkStart w:id="2" w:name="_Hlk114758815"/>
      <w:r>
        <w:rPr>
          <w:rFonts w:hint="eastAsia" w:ascii="仿宋_GB2312" w:hAnsi="仿宋_GB2312" w:eastAsia="仿宋_GB2312"/>
          <w:sz w:val="30"/>
          <w:szCs w:val="24"/>
        </w:rPr>
        <w:t>支出减少，调减预算用于其他项目。</w:t>
      </w:r>
      <w:bookmarkEnd w:id="2"/>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80.城乡社区支出（类）建设市场管理与监督（款）建设市场管理与监督（项）年初预算为1312785.00元，支出决算为1001339.00 元，完成年初预算的76.28%，决算数小于年初预算数的主要原因是建设市场管理与监督方面支出减少，调减预算用于其他项目。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81.农林水支出（类）扶贫（款）社会发展（项）年初预算为3000000.00元，支出决算为2306491.59元，完成年初预算的76.88%，决算数小于年初预算数的主要原因是对口支援帮扶方面支出减少。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82.交通运输支出（类）公路水路运输（款）一般行政管理事务（项）年初预算为1263845.00元，支出决算为417791.00元，完成年初预算的33.06%，决算数小于年初预算数的主要原因是公交站亭运行维护服务、评审费用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83.交通运输支出（类）公路水路运输（款）交通运输信息化建设（项）年初预算为24000.00元，支出决算为24000.00元，完成年初预算的100.00%，全额支出。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84.交通运输支出（类）公路水路运输（款）公路和运输安全（项）年初预算为150000.00元，支出决算为44632.00元，完成年初预算的29.75%，决算数小于年初预算数的主要原因是宣教费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85.交通运输支出（类）公路水路运输（款）海事管理（项）年初预算为3036680.00元，支出决算为3136680.00元，完成年初预算的103.29%，决算数</w:t>
      </w:r>
      <w:r>
        <w:rPr>
          <w:rFonts w:hint="eastAsia" w:ascii="仿宋_GB2312" w:hAnsi="仿宋_GB2312" w:eastAsia="仿宋_GB2312"/>
          <w:sz w:val="30"/>
          <w:szCs w:val="24"/>
          <w:lang w:val="en-US" w:eastAsia="zh-CN"/>
        </w:rPr>
        <w:t>大</w:t>
      </w:r>
      <w:r>
        <w:rPr>
          <w:rFonts w:hint="eastAsia" w:ascii="仿宋_GB2312" w:hAnsi="仿宋_GB2312" w:eastAsia="仿宋_GB2312"/>
          <w:sz w:val="30"/>
          <w:szCs w:val="24"/>
        </w:rPr>
        <w:t>于年初预算数的主要原因是追加预算用于东疆海事经费补助。</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86.交通运输支出（类）其他交通运输支出（款）公共交通运营补助（项）年初预算为2100000.00 元，支出决算为3396068.00 元，完成年初预算的161.72%，决算数</w:t>
      </w:r>
      <w:r>
        <w:rPr>
          <w:rFonts w:hint="eastAsia" w:ascii="仿宋_GB2312" w:hAnsi="仿宋_GB2312" w:eastAsia="仿宋_GB2312"/>
          <w:sz w:val="30"/>
          <w:szCs w:val="24"/>
          <w:lang w:val="en-US" w:eastAsia="zh-CN"/>
        </w:rPr>
        <w:t>大</w:t>
      </w:r>
      <w:r>
        <w:rPr>
          <w:rFonts w:hint="eastAsia" w:ascii="仿宋_GB2312" w:hAnsi="仿宋_GB2312" w:eastAsia="仿宋_GB2312"/>
          <w:sz w:val="30"/>
          <w:szCs w:val="24"/>
        </w:rPr>
        <w:t>于年初预算数的主要原因是追加预算用于公交成本规制补贴。</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87.资源勘探工业信息等支出（类）支持中小企业发展和管理支出（款）其他支持中小企业发展和管理支出（项）年初预算为11500000000.00元，支出决算为9709351830.65元，完成年初预算的84.43%，决算数小于年初预算数的主要原因是支持中小企业发展方面，支持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88.商业服务业等支出（类）其他商业服务业等支出（款）服务业基础设施建设（项）年初预算为0元，支出决算为24430000.00 元，主要原因是追加预算24430000.00元，主要用于城乡冷链和国家物流枢纽建设项目。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89.商业服务业等支出（类）其他商业服务业等支出（款）其他商业服务业等支出（项）年初预算为764000000.00 元，支出决算为480608800.00元，完成年初预算的62.91%，决算数小于年初预算数的主要原因是租赁产业发展基金支出减少，调减预算用于其他项目。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90.金融支出（类）金融部门行政支出（款）行政运行（项）年初预算为659900.00元，支出决算为284490.08元，完成年初预算的43.11%，决算数小于年初预算数的主要原因是公用经费中的办公费、差旅费支出减少。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91.金融支出（类）金融部门行政支出（款）一般行政管理事务（项）年初预算为5005000.00元，支出决算为5000000.00元，完成年初预算的99.90%，决算数小于年初预算数的主要原因是金融部门方面支出略低于预算。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92.金融支出（类）金融部门监管支出（款）金融部门其他监管支出（项）年初预算为3865500.00元，支出决算为5915900.00元，完成年初预算的153.04%，决算数</w:t>
      </w:r>
      <w:r>
        <w:rPr>
          <w:rFonts w:hint="eastAsia" w:ascii="仿宋_GB2312" w:hAnsi="仿宋_GB2312" w:eastAsia="仿宋_GB2312"/>
          <w:sz w:val="30"/>
          <w:szCs w:val="24"/>
          <w:lang w:val="en-US" w:eastAsia="zh-CN"/>
        </w:rPr>
        <w:t>大</w:t>
      </w:r>
      <w:r>
        <w:rPr>
          <w:rFonts w:hint="eastAsia" w:ascii="仿宋_GB2312" w:hAnsi="仿宋_GB2312" w:eastAsia="仿宋_GB2312"/>
          <w:sz w:val="30"/>
          <w:szCs w:val="24"/>
        </w:rPr>
        <w:t>于年初预算数的主要原因是追加预算用于中国人民银行天津分行经费补助。</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93.金融支出（类）其他金融支出（款）其他金融支出（项）年初预算为680000.00元，支出决算为679495.00元，完成年初预算的99.93%，决算数小于年初预算数的主要原因是防范非法集资方面支出略低于预算。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 xml:space="preserve">94.自然资源海洋气象等支出（类）自然资源事务（款）自然资源利用与保护（项）年初预算为803000.00元，支出决算为350160.00元，完成年初预算的43.61%，决算数小于年初预算数的主要原因是土地集约利用监测统计费支出减少，调减预算用于其他项目。 </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95.自然资源海洋气象等支出（类）自然资源事务（款）海域与海岛管理（项）年初预算为2775000.00元，支出决算为2522174.50 元，完成年初预算的90.89%，决算数小于年初预算数的主要原因是 海洋生态保护等，支出略低于预算。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96.自然资源海洋气象等支出（类）自然资源事务（款）其他自然资源事务支出（项）年初预算为0元，支出决算为71060.00元，主要原因是追加预算主要用于诉讼费、律师费和代理费。</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97.粮油物资储备支出（类）能源储备（款）其他能源储备支出（项）年初预算为100000000.00元，支出决算为100000000.00元，完成年初预算的100.00%，全额支出。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98.灾害防治及应急管理支出（类）应急管理事务（款）行政运行（项）年初预算为758500.00 元，支出决算为260808.92 元，完成年初预算的34.38%，决算数小于年初预算数的主要原因是公用经费中的办公费、差旅费支出减少。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99.灾害防治及应急管理支出（类）应急管理事务（款）安全监管（项）年初预算为1830400.00元，支出决算为1428074.62元，完成年初预算的78.02%，决算数小于年初预算数的主要原因是应急管理方面支出减少，调减预算用于其他项目。</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100.灾害防治及应急管理支出（类）应急管理事务（款）应急救援（项）年初预算为618780.00 元，支出决算为618780.00 元，完成年初预算的100.00%，全额支出。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101.灾害防治及应急管理支出（类）应急管理事务（款）应急管理（项）年初预算为3884281.00 元，支出决算为1821942.02 元，完成年初预算的46.91%，决算数小于年初预算数的主要原因是应急管理方面支出减少。</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102.灾害防治及应急管理支出（类）应急管理事务（款）其他应急管理支出（项）年初预算为60000.00 元，支出决算为58740.00 元，完成年初预算的97.90%，决算数小于年初预算数的主要原因是 突发公共卫生事件等，支出略低于预算。</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103.灾害防治及应急管理支出（类）消防事务（款）行政运行（项）年初预算为5209493.50 元，支出决算为5209493.50 元，完成年初预算的100.00%，全额支出。</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104.灾害防治及应急管理支出（类）自然灾害防治（款）地质灾害防治（项）年初预算为0元，支出决算为202771.00元，主要原因是追加预算202771.00元，主要用于地质灾害评估技术服务。</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105.灾害防治及应急管理支出（类）自然灾害防治（款）其他自然灾害防治支出（项）年初预算为0元，支出决算为380000.00元，主要原因是追加预算，主要用于海洋灾害重点隐患（沿海防护工程）调查费。</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 xml:space="preserve">106.预备费（类）——（款）——（项）年初预算为399431262.45 元，支出决算为0.00元，完成年初预算的0.00%，决算数小于年初预算数的主要原因是本年未使用该科目支出。 </w:t>
      </w:r>
    </w:p>
    <w:p>
      <w:pPr>
        <w:spacing w:beforeLines="0" w:afterLines="0" w:line="60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107.其他支出（类）其他支出（款）其他支出（项）年初预算为21532775.75 元，支出决算为20674306.88 元，完成年初预算的96.01%，决算数小于年初预算数的主要原因是海关方面支出略低于预算。</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eastAsia="zh-CN"/>
        </w:rPr>
        <w:t>天津东疆综合保税</w:t>
      </w:r>
      <w:r>
        <w:rPr>
          <w:rFonts w:hint="eastAsia" w:ascii="仿宋_GB2312" w:hAnsi="仿宋_GB2312" w:eastAsia="仿宋_GB2312"/>
          <w:kern w:val="2"/>
          <w:sz w:val="30"/>
          <w:szCs w:val="24"/>
          <w:lang w:val="en-US"/>
        </w:rPr>
        <w:t>区管理委员会</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年度部门决算一般公共预算财政拨款基本支出合计</w:t>
      </w:r>
      <w:r>
        <w:rPr>
          <w:rFonts w:hint="default" w:ascii="Times New Roman" w:hAnsi="Times New Roman" w:eastAsia="Times New Roman"/>
          <w:kern w:val="2"/>
          <w:sz w:val="30"/>
          <w:szCs w:val="24"/>
          <w:lang w:val="en-US"/>
        </w:rPr>
        <w:t>156,667,991.59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44,148,307.89</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default" w:ascii="楷体_GB2312" w:hAnsi="楷体_GB2312" w:eastAsia="楷体_GB2312"/>
          <w:kern w:val="2"/>
          <w:sz w:val="30"/>
          <w:szCs w:val="24"/>
          <w:lang w:val="zh-CN"/>
        </w:rPr>
        <w:t>：</w:t>
      </w:r>
      <w:r>
        <w:rPr>
          <w:rFonts w:hint="eastAsia" w:ascii="仿宋_GB2312" w:hAnsi="仿宋_GB2312" w:eastAsia="仿宋_GB2312"/>
          <w:kern w:val="2"/>
          <w:sz w:val="30"/>
          <w:szCs w:val="24"/>
          <w:lang w:val="en-US" w:eastAsia="zh-CN"/>
        </w:rPr>
        <w:t>随着部门发展，支出同步增长</w:t>
      </w:r>
      <w:r>
        <w:rPr>
          <w:rFonts w:hint="eastAsia" w:ascii="仿宋_GB2312" w:hAnsi="仿宋_GB2312" w:eastAsia="仿宋_GB2312"/>
          <w:kern w:val="2"/>
          <w:sz w:val="30"/>
          <w:szCs w:val="24"/>
          <w:lang w:val="en-US"/>
        </w:rPr>
        <w:t>。其</w:t>
      </w:r>
      <w:r>
        <w:rPr>
          <w:rFonts w:hint="eastAsia" w:ascii="仿宋_GB2312" w:hAnsi="仿宋_GB2312" w:eastAsia="仿宋_GB2312"/>
          <w:sz w:val="30"/>
          <w:szCs w:val="24"/>
          <w:lang w:val="en-US"/>
        </w:rPr>
        <w:t>中：人员经费</w:t>
      </w:r>
      <w:r>
        <w:rPr>
          <w:rFonts w:hint="default" w:ascii="Times New Roman" w:hAnsi="Times New Roman" w:eastAsia="Times New Roman"/>
          <w:kern w:val="2"/>
          <w:sz w:val="30"/>
          <w:szCs w:val="24"/>
          <w:lang w:val="en-US"/>
        </w:rPr>
        <w:t>115,209,393.00</w:t>
      </w:r>
      <w:r>
        <w:rPr>
          <w:rFonts w:hint="eastAsia" w:ascii="仿宋_GB2312" w:hAnsi="仿宋_GB2312" w:eastAsia="仿宋_GB2312"/>
          <w:sz w:val="30"/>
          <w:szCs w:val="24"/>
          <w:lang w:val="en-US"/>
        </w:rPr>
        <w:t>元，主要包括基本工资、津贴补贴、奖金、伙食补助费、机关事业单位基本养老保险缴费、职业年金缴费、职工基本医疗保险缴费、其他社会保障缴费、住房公积金、医疗费、退休费；公用经费</w:t>
      </w:r>
      <w:r>
        <w:rPr>
          <w:rFonts w:hint="default" w:ascii="Times New Roman" w:hAnsi="Times New Roman" w:eastAsia="Times New Roman"/>
          <w:kern w:val="2"/>
          <w:sz w:val="30"/>
          <w:szCs w:val="24"/>
          <w:lang w:val="en-US"/>
        </w:rPr>
        <w:t>41,458,598.59</w:t>
      </w:r>
      <w:r>
        <w:rPr>
          <w:rFonts w:hint="eastAsia" w:ascii="仿宋_GB2312" w:hAnsi="仿宋_GB2312" w:eastAsia="仿宋_GB2312"/>
          <w:sz w:val="30"/>
          <w:szCs w:val="24"/>
          <w:lang w:val="en-US"/>
        </w:rPr>
        <w:t>元，主要包括办公费、印刷费、咨询费、手续费、水费、电费、邮电费、差旅费、维修(护)费、租赁费、会议费、培训费、公务接待费、劳务费、委托业务费、公务用车运行维护费、其他交通费用、其他商品和服务支出、办公设备购置、信息网络及软件购置更新。</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七、一般公共预算财政拨款“三公”经费</w:t>
      </w:r>
      <w:r>
        <w:rPr>
          <w:rFonts w:hint="eastAsia" w:ascii="黑体" w:hAnsi="黑体" w:eastAsia="黑体"/>
          <w:b/>
          <w:sz w:val="30"/>
          <w:szCs w:val="24"/>
          <w:lang w:val="zh-CN"/>
        </w:rPr>
        <w:t>支出决算</w:t>
      </w:r>
      <w:r>
        <w:rPr>
          <w:rFonts w:hint="eastAsia" w:ascii="黑体" w:hAnsi="黑体" w:eastAsia="黑体"/>
          <w:b/>
          <w:sz w:val="30"/>
          <w:szCs w:val="24"/>
          <w:lang w:val="en-US"/>
        </w:rPr>
        <w:t>情况</w:t>
      </w:r>
    </w:p>
    <w:p>
      <w:pPr>
        <w:spacing w:beforeLines="0" w:afterLines="0" w:line="560" w:lineRule="exact"/>
        <w:ind w:firstLine="600"/>
        <w:rPr>
          <w:rFonts w:hint="default" w:ascii="Times New Roman" w:hAnsi="Times New Roman" w:eastAsia="Times New Roman"/>
          <w:sz w:val="30"/>
          <w:szCs w:val="24"/>
          <w:lang w:val="en-US"/>
        </w:rPr>
      </w:pP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年一般公共预算财政拨款“三公”经费决算</w:t>
      </w:r>
      <w:r>
        <w:rPr>
          <w:rFonts w:hint="default" w:ascii="Times New Roman" w:hAnsi="Times New Roman" w:eastAsia="Times New Roman"/>
          <w:sz w:val="30"/>
          <w:szCs w:val="24"/>
          <w:lang w:val="en-US"/>
        </w:rPr>
        <w:t>379,759.08</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w:t>
      </w:r>
      <w:r>
        <w:rPr>
          <w:rFonts w:hint="eastAsia" w:ascii="仿宋_GB2312" w:hAnsi="仿宋_GB2312" w:eastAsia="仿宋_GB2312"/>
          <w:sz w:val="30"/>
          <w:szCs w:val="24"/>
          <w:lang w:val="zh-CN"/>
        </w:rPr>
        <w:t>预</w:t>
      </w:r>
      <w:r>
        <w:rPr>
          <w:rFonts w:hint="eastAsia" w:ascii="仿宋_GB2312" w:hAnsi="仿宋_GB2312" w:eastAsia="仿宋_GB2312"/>
          <w:sz w:val="30"/>
          <w:szCs w:val="24"/>
          <w:lang w:val="en-US"/>
        </w:rPr>
        <w:t>算相比</w:t>
      </w:r>
      <w:r>
        <w:rPr>
          <w:rFonts w:hint="eastAsia" w:ascii="仿宋_GB2312" w:hAnsi="仿宋_GB2312" w:eastAsia="仿宋_GB2312"/>
          <w:sz w:val="30"/>
          <w:szCs w:val="24"/>
          <w:lang w:val="en-US" w:eastAsia="zh-CN"/>
        </w:rPr>
        <w:t>减少</w:t>
      </w:r>
      <w:r>
        <w:rPr>
          <w:rFonts w:hint="default" w:ascii="Times New Roman" w:hAnsi="Times New Roman" w:eastAsia="Times New Roman"/>
          <w:sz w:val="30"/>
          <w:szCs w:val="24"/>
          <w:lang w:val="en-US"/>
        </w:rPr>
        <w:t>702</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415.9</w:t>
      </w:r>
      <w:r>
        <w:rPr>
          <w:rFonts w:hint="eastAsia" w:ascii="仿宋_GB2312" w:hAnsi="仿宋_GB2312" w:eastAsia="仿宋_GB2312"/>
          <w:sz w:val="30"/>
          <w:szCs w:val="24"/>
          <w:lang w:val="en-US"/>
        </w:rPr>
        <w:t>2元，主要原因是</w:t>
      </w:r>
      <w:r>
        <w:rPr>
          <w:rFonts w:hint="eastAsia" w:ascii="Wingdings" w:hAnsi="Wingdings" w:eastAsia="仿宋_GB2312"/>
          <w:sz w:val="30"/>
          <w:szCs w:val="24"/>
        </w:rPr>
        <w:t>单位大力压减三公经费支出，厉行节约反对浪费</w:t>
      </w:r>
      <w:r>
        <w:rPr>
          <w:rFonts w:hint="eastAsia" w:ascii="仿宋_GB2312" w:hAnsi="仿宋_GB2312" w:eastAsia="仿宋_GB2312"/>
          <w:sz w:val="30"/>
          <w:szCs w:val="24"/>
          <w:lang w:val="en-US"/>
        </w:rPr>
        <w:t>。具体情况：</w:t>
      </w:r>
    </w:p>
    <w:p>
      <w:pPr>
        <w:spacing w:beforeLines="0" w:afterLines="0" w:line="56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(一)</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年因公出国（境）费决算</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元，与预算相比持平，主要原因是</w:t>
      </w:r>
      <w:r>
        <w:rPr>
          <w:rFonts w:hint="eastAsia" w:ascii="Times New Roman" w:hAnsi="Times New Roman" w:eastAsia="仿宋_GB2312"/>
          <w:sz w:val="30"/>
          <w:szCs w:val="24"/>
        </w:rPr>
        <w:t>根据上级要求严格出国</w:t>
      </w:r>
      <w:r>
        <w:rPr>
          <w:rFonts w:hint="eastAsia" w:ascii="仿宋_GB2312" w:hAnsi="仿宋_GB2312" w:eastAsia="仿宋_GB2312"/>
          <w:sz w:val="30"/>
          <w:szCs w:val="24"/>
          <w:lang w:val="en-US"/>
        </w:rPr>
        <w:t>（境）</w:t>
      </w:r>
      <w:r>
        <w:rPr>
          <w:rFonts w:hint="eastAsia" w:ascii="Times New Roman" w:hAnsi="Times New Roman" w:eastAsia="仿宋_GB2312"/>
          <w:sz w:val="30"/>
          <w:szCs w:val="24"/>
        </w:rPr>
        <w:t>审批</w:t>
      </w:r>
      <w:r>
        <w:rPr>
          <w:rFonts w:hint="eastAsia" w:ascii="仿宋_GB2312" w:hAnsi="Times New Roman" w:eastAsia="仿宋_GB2312"/>
          <w:sz w:val="30"/>
          <w:szCs w:val="24"/>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年本单位组织的出国团组</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个，出国</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 xml:space="preserve">人次。 </w:t>
      </w:r>
    </w:p>
    <w:p>
      <w:pPr>
        <w:spacing w:beforeLines="0" w:afterLines="0" w:line="56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(二)</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年公务用车购置及运行维护费决算</w:t>
      </w:r>
      <w:r>
        <w:rPr>
          <w:rFonts w:hint="default" w:ascii="Times New Roman" w:hAnsi="Times New Roman" w:eastAsia="Times New Roman"/>
          <w:sz w:val="30"/>
          <w:szCs w:val="24"/>
          <w:lang w:val="en-US"/>
        </w:rPr>
        <w:t>212,860.08</w:t>
      </w:r>
      <w:r>
        <w:rPr>
          <w:rFonts w:hint="eastAsia" w:ascii="仿宋_GB2312" w:hAnsi="仿宋_GB2312" w:eastAsia="仿宋_GB2312"/>
          <w:sz w:val="30"/>
          <w:szCs w:val="24"/>
          <w:lang w:val="en-US"/>
        </w:rPr>
        <w:t>元，其中公务用车运行维护费</w:t>
      </w:r>
      <w:r>
        <w:rPr>
          <w:rFonts w:hint="default" w:ascii="Times New Roman" w:hAnsi="Times New Roman" w:eastAsia="Times New Roman"/>
          <w:sz w:val="30"/>
          <w:szCs w:val="24"/>
          <w:lang w:val="en-US"/>
        </w:rPr>
        <w:t>212,860.08</w:t>
      </w:r>
      <w:r>
        <w:rPr>
          <w:rFonts w:hint="eastAsia" w:ascii="仿宋_GB2312" w:hAnsi="仿宋_GB2312" w:eastAsia="仿宋_GB2312"/>
          <w:sz w:val="30"/>
          <w:szCs w:val="24"/>
          <w:lang w:val="en-US"/>
        </w:rPr>
        <w:t>元，与预算相比</w:t>
      </w:r>
      <w:r>
        <w:rPr>
          <w:rFonts w:hint="eastAsia" w:ascii="仿宋_GB2312" w:hAnsi="仿宋_GB2312" w:eastAsia="仿宋_GB2312"/>
          <w:sz w:val="30"/>
          <w:szCs w:val="24"/>
          <w:lang w:val="en-US" w:eastAsia="zh-CN"/>
        </w:rPr>
        <w:t>减少</w:t>
      </w:r>
      <w:r>
        <w:rPr>
          <w:rFonts w:hint="default" w:ascii="Times New Roman" w:hAnsi="Times New Roman" w:eastAsia="Times New Roman"/>
          <w:sz w:val="30"/>
          <w:szCs w:val="24"/>
          <w:lang w:val="en-US"/>
        </w:rPr>
        <w:t>367</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139.92</w:t>
      </w:r>
      <w:r>
        <w:rPr>
          <w:rFonts w:hint="eastAsia" w:ascii="仿宋_GB2312" w:hAnsi="仿宋_GB2312" w:eastAsia="仿宋_GB2312"/>
          <w:sz w:val="30"/>
          <w:szCs w:val="24"/>
          <w:lang w:val="en-US"/>
        </w:rPr>
        <w:t>元，主要原因是</w:t>
      </w:r>
      <w:r>
        <w:rPr>
          <w:rFonts w:hint="eastAsia" w:ascii="Times New Roman" w:hAnsi="Times New Roman" w:eastAsia="仿宋_GB2312"/>
          <w:sz w:val="30"/>
          <w:szCs w:val="24"/>
        </w:rPr>
        <w:t>单位严格厉行节约压减公车运行费用</w:t>
      </w:r>
      <w:r>
        <w:rPr>
          <w:rFonts w:hint="eastAsia" w:ascii="仿宋_GB2312" w:hAnsi="仿宋_GB2312" w:eastAsia="仿宋_GB2312"/>
          <w:sz w:val="30"/>
          <w:szCs w:val="24"/>
          <w:lang w:val="en-US"/>
        </w:rPr>
        <w:t>；公务用车购置费</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元，与预算相比持平，主要原因是</w:t>
      </w:r>
      <w:r>
        <w:rPr>
          <w:rFonts w:hint="default" w:ascii="Times New Roman" w:hAnsi="Times New Roman" w:eastAsia="仿宋_GB2312"/>
          <w:sz w:val="30"/>
          <w:szCs w:val="24"/>
        </w:rPr>
        <w:t>202</w:t>
      </w:r>
      <w:r>
        <w:rPr>
          <w:rFonts w:hint="eastAsia" w:ascii="Times New Roman" w:hAnsi="Times New Roman" w:eastAsia="仿宋_GB2312"/>
          <w:sz w:val="30"/>
          <w:szCs w:val="24"/>
          <w:lang w:val="en-US" w:eastAsia="zh-CN"/>
        </w:rPr>
        <w:t>1</w:t>
      </w:r>
      <w:r>
        <w:rPr>
          <w:rFonts w:hint="eastAsia" w:ascii="Times New Roman" w:hAnsi="Times New Roman" w:eastAsia="仿宋_GB2312"/>
          <w:sz w:val="30"/>
          <w:szCs w:val="24"/>
        </w:rPr>
        <w:t>年没有购置公车项目</w:t>
      </w:r>
      <w:r>
        <w:rPr>
          <w:rFonts w:hint="eastAsia" w:ascii="仿宋_GB2312" w:hAnsi="Times New Roman" w:eastAsia="仿宋_GB2312"/>
          <w:sz w:val="30"/>
          <w:szCs w:val="24"/>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年本单位公务用车保有</w:t>
      </w:r>
      <w:r>
        <w:rPr>
          <w:rFonts w:hint="eastAsia" w:ascii="Times New Roman" w:hAnsi="Times New Roman" w:eastAsia="宋体"/>
          <w:sz w:val="30"/>
          <w:szCs w:val="24"/>
          <w:lang w:val="en-US" w:eastAsia="zh-CN"/>
        </w:rPr>
        <w:t>6</w:t>
      </w:r>
      <w:r>
        <w:rPr>
          <w:rFonts w:hint="eastAsia" w:ascii="仿宋_GB2312" w:hAnsi="仿宋_GB2312" w:eastAsia="仿宋_GB2312"/>
          <w:sz w:val="30"/>
          <w:szCs w:val="24"/>
          <w:lang w:val="en-US"/>
        </w:rPr>
        <w:t>辆，购置公务用车</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辆。</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sz w:val="30"/>
          <w:szCs w:val="24"/>
          <w:lang w:val="en-US"/>
        </w:rPr>
        <w:t>(三)</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年公务接待费决算</w:t>
      </w:r>
      <w:r>
        <w:rPr>
          <w:rFonts w:hint="default" w:ascii="Times New Roman" w:hAnsi="Times New Roman" w:eastAsia="Times New Roman"/>
          <w:sz w:val="30"/>
          <w:szCs w:val="24"/>
          <w:lang w:val="en-US"/>
        </w:rPr>
        <w:t>166,899.00</w:t>
      </w:r>
      <w:r>
        <w:rPr>
          <w:rFonts w:hint="eastAsia" w:ascii="仿宋_GB2312" w:hAnsi="仿宋_GB2312" w:eastAsia="仿宋_GB2312"/>
          <w:sz w:val="30"/>
          <w:szCs w:val="24"/>
          <w:lang w:val="en-US"/>
        </w:rPr>
        <w:t>元，与预算相比</w:t>
      </w:r>
      <w:r>
        <w:rPr>
          <w:rFonts w:hint="eastAsia" w:ascii="仿宋_GB2312" w:hAnsi="仿宋_GB2312" w:eastAsia="仿宋_GB2312"/>
          <w:sz w:val="30"/>
          <w:szCs w:val="24"/>
          <w:lang w:val="en-US" w:eastAsia="zh-CN"/>
        </w:rPr>
        <w:t>减少</w:t>
      </w:r>
      <w:r>
        <w:rPr>
          <w:rFonts w:hint="default" w:ascii="Times New Roman" w:hAnsi="Times New Roman" w:eastAsia="Times New Roman"/>
          <w:sz w:val="30"/>
          <w:szCs w:val="24"/>
          <w:lang w:val="en-US"/>
        </w:rPr>
        <w:t>335</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276</w:t>
      </w:r>
      <w:r>
        <w:rPr>
          <w:rFonts w:hint="eastAsia" w:ascii="仿宋_GB2312" w:hAnsi="仿宋_GB2312" w:eastAsia="仿宋_GB2312"/>
          <w:sz w:val="30"/>
          <w:szCs w:val="24"/>
          <w:lang w:val="en-US"/>
        </w:rPr>
        <w:t>元，主要原因是</w:t>
      </w:r>
      <w:r>
        <w:rPr>
          <w:rFonts w:hint="eastAsia" w:ascii="Times New Roman" w:hAnsi="Times New Roman" w:eastAsia="仿宋_GB2312"/>
          <w:sz w:val="30"/>
          <w:szCs w:val="24"/>
        </w:rPr>
        <w:t>单位严格厉行节约压减公务接待费用</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年本单位国内公务接待</w:t>
      </w:r>
      <w:r>
        <w:rPr>
          <w:rFonts w:hint="eastAsia" w:ascii="Times New Roman" w:hAnsi="Times New Roman" w:eastAsia="宋体"/>
          <w:sz w:val="30"/>
          <w:szCs w:val="24"/>
          <w:lang w:val="en-US" w:eastAsia="zh-CN"/>
        </w:rPr>
        <w:t>748</w:t>
      </w:r>
      <w:r>
        <w:rPr>
          <w:rFonts w:hint="eastAsia" w:ascii="仿宋_GB2312" w:hAnsi="仿宋_GB2312" w:eastAsia="仿宋_GB2312"/>
          <w:sz w:val="30"/>
          <w:szCs w:val="24"/>
          <w:lang w:val="en-US"/>
        </w:rPr>
        <w:t>批次，</w:t>
      </w:r>
      <w:r>
        <w:rPr>
          <w:rFonts w:hint="eastAsia" w:ascii="Times New Roman" w:hAnsi="Times New Roman" w:eastAsia="宋体"/>
          <w:sz w:val="30"/>
          <w:szCs w:val="24"/>
          <w:lang w:val="en-US" w:eastAsia="zh-CN"/>
        </w:rPr>
        <w:t>3247</w:t>
      </w:r>
      <w:r>
        <w:rPr>
          <w:rFonts w:hint="eastAsia" w:ascii="仿宋_GB2312" w:hAnsi="仿宋_GB2312" w:eastAsia="仿宋_GB2312"/>
          <w:sz w:val="30"/>
          <w:szCs w:val="24"/>
          <w:lang w:val="en-US"/>
        </w:rPr>
        <w:t>人次；其中，外事接待</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批次，</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人次。</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八、政府性基金预算财政拨款收支决算情况</w:t>
      </w:r>
    </w:p>
    <w:p>
      <w:pPr>
        <w:spacing w:beforeLines="0" w:afterLines="0" w:line="580" w:lineRule="exact"/>
        <w:ind w:firstLine="600"/>
        <w:rPr>
          <w:rFonts w:hint="eastAsia" w:ascii="Times New Roman" w:hAnsi="Times New Roman" w:eastAsia="仿宋_GB2312"/>
          <w:sz w:val="30"/>
          <w:szCs w:val="24"/>
          <w:lang w:val="en-US"/>
        </w:rPr>
      </w:pPr>
      <w:r>
        <w:rPr>
          <w:rFonts w:hint="eastAsia" w:ascii="Times New Roman" w:hAnsi="Times New Roman" w:eastAsia="仿宋_GB2312"/>
          <w:sz w:val="30"/>
          <w:szCs w:val="24"/>
          <w:lang w:val="en-US"/>
        </w:rPr>
        <w:t>天津</w:t>
      </w:r>
      <w:r>
        <w:rPr>
          <w:rFonts w:hint="eastAsia" w:ascii="Times New Roman" w:hAnsi="Times New Roman" w:eastAsia="仿宋_GB2312"/>
          <w:sz w:val="30"/>
          <w:szCs w:val="24"/>
          <w:lang w:val="en-US" w:eastAsia="zh-CN"/>
        </w:rPr>
        <w:t>东疆综合保税区管理委员会</w:t>
      </w:r>
      <w:r>
        <w:rPr>
          <w:rFonts w:hint="eastAsia" w:ascii="Times New Roman" w:hAnsi="Times New Roman" w:eastAsia="仿宋_GB2312"/>
          <w:sz w:val="30"/>
          <w:szCs w:val="24"/>
          <w:lang w:val="en-US"/>
        </w:rPr>
        <w:t>2021年度无政府性基金预算财政拨款收入、支出和结转结余。</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九、国有资本经营预算财政拨款收支决算情况说明</w:t>
      </w:r>
    </w:p>
    <w:p>
      <w:pPr>
        <w:spacing w:beforeLines="0" w:afterLines="0" w:line="600" w:lineRule="exact"/>
        <w:ind w:firstLine="600"/>
        <w:rPr>
          <w:rFonts w:hint="eastAsia" w:ascii="Times New Roman" w:hAnsi="Times New Roman" w:eastAsia="仿宋_GB2312"/>
          <w:sz w:val="30"/>
          <w:szCs w:val="24"/>
          <w:lang w:val="en-US" w:eastAsia="zh-CN"/>
        </w:rPr>
      </w:pPr>
      <w:r>
        <w:rPr>
          <w:rFonts w:hint="eastAsia" w:ascii="Times New Roman" w:hAnsi="Times New Roman" w:eastAsia="仿宋_GB2312"/>
          <w:sz w:val="30"/>
          <w:szCs w:val="24"/>
          <w:lang w:val="en-US"/>
        </w:rPr>
        <w:t>天津</w:t>
      </w:r>
      <w:r>
        <w:rPr>
          <w:rFonts w:hint="eastAsia" w:ascii="Times New Roman" w:hAnsi="Times New Roman" w:eastAsia="仿宋_GB2312"/>
          <w:sz w:val="30"/>
          <w:szCs w:val="24"/>
          <w:lang w:val="en-US" w:eastAsia="zh-CN"/>
        </w:rPr>
        <w:t>东疆综合保税区管理委员会</w:t>
      </w:r>
      <w:r>
        <w:rPr>
          <w:rFonts w:hint="eastAsia" w:ascii="Times New Roman" w:hAnsi="Times New Roman" w:eastAsia="仿宋_GB2312"/>
          <w:sz w:val="30"/>
          <w:szCs w:val="24"/>
          <w:lang w:val="zh-CN" w:eastAsia="zh-CN"/>
        </w:rPr>
        <w:t>2021年度无国有资本经营预算财政拨款收入、支出和结转结余。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w:t>
      </w:r>
      <w:r>
        <w:rPr>
          <w:rFonts w:hint="eastAsia" w:ascii="仿宋_GB2312" w:hAnsi="仿宋_GB2312" w:eastAsia="仿宋_GB2312"/>
          <w:color w:val="auto"/>
          <w:sz w:val="30"/>
          <w:szCs w:val="24"/>
          <w:lang w:val="en-US" w:eastAsia="zh-CN"/>
        </w:rPr>
        <w:t>天津东疆综合保税</w:t>
      </w:r>
      <w:r>
        <w:rPr>
          <w:rFonts w:hint="eastAsia" w:ascii="仿宋_GB2312" w:hAnsi="仿宋_GB2312" w:eastAsia="仿宋_GB2312"/>
          <w:color w:val="auto"/>
          <w:sz w:val="30"/>
          <w:szCs w:val="24"/>
          <w:lang w:val="en-US"/>
        </w:rPr>
        <w:t>区管理委员会</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41</w:t>
      </w:r>
      <w:r>
        <w:rPr>
          <w:rFonts w:hint="eastAsia" w:ascii="Times New Roman" w:hAnsi="Times New Roman" w:eastAsia="宋体"/>
          <w:color w:val="auto"/>
          <w:sz w:val="30"/>
          <w:szCs w:val="24"/>
          <w:lang w:val="en-US" w:eastAsia="zh-CN"/>
        </w:rPr>
        <w:t>,</w:t>
      </w:r>
      <w:r>
        <w:rPr>
          <w:rFonts w:hint="default" w:ascii="Times New Roman" w:hAnsi="Times New Roman" w:eastAsia="Times New Roman"/>
          <w:color w:val="auto"/>
          <w:sz w:val="30"/>
          <w:szCs w:val="24"/>
          <w:lang w:val="en-US"/>
        </w:rPr>
        <w:t>458</w:t>
      </w:r>
      <w:r>
        <w:rPr>
          <w:rFonts w:hint="eastAsia" w:ascii="Times New Roman" w:hAnsi="Times New Roman" w:eastAsia="宋体"/>
          <w:color w:val="auto"/>
          <w:sz w:val="30"/>
          <w:szCs w:val="24"/>
          <w:lang w:val="en-US" w:eastAsia="zh-CN"/>
        </w:rPr>
        <w:t>,</w:t>
      </w:r>
      <w:r>
        <w:rPr>
          <w:rFonts w:hint="default" w:ascii="Times New Roman" w:hAnsi="Times New Roman" w:eastAsia="Times New Roman"/>
          <w:color w:val="auto"/>
          <w:sz w:val="30"/>
          <w:szCs w:val="24"/>
          <w:lang w:val="en-US"/>
        </w:rPr>
        <w:t>598.59</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2020</w:t>
      </w:r>
      <w:r>
        <w:rPr>
          <w:rFonts w:hint="eastAsia" w:ascii="仿宋_GB2312" w:hAnsi="仿宋_GB2312" w:eastAsia="仿宋_GB2312"/>
          <w:color w:val="auto"/>
          <w:sz w:val="30"/>
          <w:szCs w:val="24"/>
          <w:lang w:val="en-US"/>
        </w:rPr>
        <w:t>年</w:t>
      </w:r>
      <w:r>
        <w:rPr>
          <w:rFonts w:hint="eastAsia" w:ascii="仿宋_GB2312" w:hAnsi="仿宋_GB2312" w:eastAsia="仿宋_GB2312"/>
          <w:color w:val="auto"/>
          <w:sz w:val="30"/>
          <w:szCs w:val="24"/>
          <w:lang w:val="en-US" w:eastAsia="zh-CN"/>
        </w:rPr>
        <w:t>增加</w:t>
      </w:r>
      <w:r>
        <w:rPr>
          <w:rFonts w:hint="default" w:ascii="Times New Roman" w:hAnsi="Times New Roman" w:eastAsia="Times New Roman"/>
          <w:color w:val="auto"/>
          <w:sz w:val="30"/>
          <w:szCs w:val="24"/>
          <w:lang w:val="en-US"/>
        </w:rPr>
        <w:t>19673283.19</w:t>
      </w:r>
      <w:r>
        <w:rPr>
          <w:rFonts w:hint="eastAsia" w:ascii="仿宋_GB2312" w:hAnsi="仿宋_GB2312" w:eastAsia="仿宋_GB2312"/>
          <w:color w:val="auto"/>
          <w:sz w:val="30"/>
          <w:szCs w:val="24"/>
          <w:lang w:val="en-US"/>
        </w:rPr>
        <w:t>元，</w:t>
      </w:r>
      <w:r>
        <w:rPr>
          <w:rFonts w:hint="eastAsia" w:ascii="仿宋_GB2312" w:hAnsi="仿宋_GB2312" w:eastAsia="仿宋_GB2312"/>
          <w:color w:val="auto"/>
          <w:sz w:val="30"/>
          <w:szCs w:val="24"/>
          <w:lang w:val="en-US" w:eastAsia="zh-CN"/>
        </w:rPr>
        <w:t>增长90.31</w:t>
      </w:r>
      <w:r>
        <w:rPr>
          <w:rFonts w:hint="default" w:ascii="Times New Roman" w:hAnsi="Times New Roman" w:eastAsia="Times New Roman"/>
          <w:color w:val="auto"/>
          <w:sz w:val="30"/>
          <w:szCs w:val="24"/>
          <w:lang w:val="en-US"/>
        </w:rPr>
        <w:t>%</w:t>
      </w:r>
      <w:r>
        <w:rPr>
          <w:rFonts w:hint="eastAsia" w:ascii="仿宋_GB2312" w:hAnsi="仿宋_GB2312" w:eastAsia="仿宋_GB2312"/>
          <w:color w:val="auto"/>
          <w:sz w:val="30"/>
          <w:szCs w:val="24"/>
          <w:lang w:val="en-US"/>
        </w:rPr>
        <w:t>。主要原因是：</w:t>
      </w:r>
      <w:r>
        <w:rPr>
          <w:rFonts w:hint="eastAsia" w:ascii="仿宋_GB2312" w:hAnsi="仿宋_GB2312" w:eastAsia="仿宋_GB2312"/>
          <w:color w:val="auto"/>
          <w:sz w:val="30"/>
          <w:szCs w:val="24"/>
          <w:lang w:val="en-US" w:eastAsia="zh-CN"/>
        </w:rPr>
        <w:t>随着部门发展，支出同步增长</w:t>
      </w:r>
      <w:r>
        <w:rPr>
          <w:rFonts w:hint="eastAsia" w:ascii="仿宋_GB2312" w:hAnsi="仿宋_GB2312" w:eastAsia="仿宋_GB2312"/>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58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eastAsia="zh-CN"/>
        </w:rPr>
        <w:t>天津东疆综合保税</w:t>
      </w:r>
      <w:r>
        <w:rPr>
          <w:rFonts w:hint="eastAsia" w:ascii="仿宋_GB2312" w:hAnsi="仿宋_GB2312" w:eastAsia="仿宋_GB2312"/>
          <w:color w:val="auto"/>
          <w:sz w:val="30"/>
          <w:szCs w:val="24"/>
          <w:lang w:val="en-US"/>
        </w:rPr>
        <w:t>区管理委员会2021年政府采购支出总额100</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157</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424.72元，其中：政府采购货物支出9</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667</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557.8元、政府采购工程支出1</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750</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000元、政府采购服务支出88</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739</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866.92元。授予中小企业合同金额85</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489</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056.72元，占政府采购支出总额的</w:t>
      </w:r>
      <w:r>
        <w:rPr>
          <w:rFonts w:hint="eastAsia" w:ascii="仿宋_GB2312" w:hAnsi="仿宋_GB2312" w:eastAsia="仿宋_GB2312"/>
          <w:color w:val="auto"/>
          <w:sz w:val="30"/>
          <w:szCs w:val="24"/>
          <w:lang w:val="en-US" w:eastAsia="zh-CN"/>
        </w:rPr>
        <w:t>85.35</w:t>
      </w:r>
      <w:r>
        <w:rPr>
          <w:rFonts w:hint="eastAsia" w:ascii="仿宋_GB2312" w:hAnsi="仿宋_GB2312" w:eastAsia="仿宋_GB2312"/>
          <w:color w:val="auto"/>
          <w:sz w:val="30"/>
          <w:szCs w:val="24"/>
          <w:lang w:val="en-US"/>
        </w:rPr>
        <w:t>%，其中：授予小微企业合同金额74</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226</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363.72元，占政府采购支出总额的</w:t>
      </w:r>
      <w:r>
        <w:rPr>
          <w:rFonts w:hint="eastAsia" w:ascii="仿宋_GB2312" w:hAnsi="仿宋_GB2312" w:eastAsia="仿宋_GB2312"/>
          <w:color w:val="auto"/>
          <w:sz w:val="30"/>
          <w:szCs w:val="24"/>
          <w:lang w:val="en-US" w:eastAsia="zh-CN"/>
        </w:rPr>
        <w:t>74.11</w:t>
      </w:r>
      <w:r>
        <w:rPr>
          <w:rFonts w:hint="eastAsia" w:ascii="仿宋_GB2312" w:hAnsi="仿宋_GB2312" w:eastAsia="仿宋_GB2312"/>
          <w:color w:val="auto"/>
          <w:sz w:val="30"/>
          <w:szCs w:val="24"/>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72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截至</w:t>
      </w:r>
      <w:r>
        <w:rPr>
          <w:rFonts w:hint="default" w:ascii="Times New Roman" w:hAnsi="Times New Roman" w:eastAsia="Times New Roman"/>
          <w:color w:val="000000"/>
          <w:sz w:val="30"/>
          <w:szCs w:val="24"/>
          <w:lang w:val="en-US"/>
        </w:rPr>
        <w:t>2021</w:t>
      </w:r>
      <w:r>
        <w:rPr>
          <w:rFonts w:hint="eastAsia" w:ascii="仿宋_GB2312" w:hAnsi="仿宋_GB2312" w:eastAsia="仿宋_GB2312"/>
          <w:color w:val="000000"/>
          <w:sz w:val="30"/>
          <w:szCs w:val="24"/>
          <w:lang w:val="en-US"/>
        </w:rPr>
        <w:t>年</w:t>
      </w:r>
      <w:r>
        <w:rPr>
          <w:rFonts w:hint="default" w:ascii="Times New Roman" w:hAnsi="Times New Roman" w:eastAsia="Times New Roman"/>
          <w:color w:val="000000"/>
          <w:sz w:val="30"/>
          <w:szCs w:val="24"/>
          <w:lang w:val="en-US"/>
        </w:rPr>
        <w:t>12</w:t>
      </w:r>
      <w:r>
        <w:rPr>
          <w:rFonts w:hint="eastAsia" w:ascii="仿宋_GB2312" w:hAnsi="仿宋_GB2312" w:eastAsia="仿宋_GB2312"/>
          <w:color w:val="000000"/>
          <w:sz w:val="30"/>
          <w:szCs w:val="24"/>
          <w:lang w:val="en-US"/>
        </w:rPr>
        <w:t>月</w:t>
      </w:r>
      <w:r>
        <w:rPr>
          <w:rFonts w:hint="default" w:ascii="Times New Roman" w:hAnsi="Times New Roman" w:eastAsia="Times New Roman"/>
          <w:color w:val="000000"/>
          <w:sz w:val="30"/>
          <w:szCs w:val="24"/>
          <w:lang w:val="en-US"/>
        </w:rPr>
        <w:t>31</w:t>
      </w:r>
      <w:r>
        <w:rPr>
          <w:rFonts w:hint="eastAsia" w:ascii="仿宋_GB2312" w:hAnsi="仿宋_GB2312" w:eastAsia="仿宋_GB2312"/>
          <w:color w:val="000000"/>
          <w:sz w:val="30"/>
          <w:szCs w:val="24"/>
          <w:lang w:val="en-US"/>
        </w:rPr>
        <w:t>日，</w:t>
      </w:r>
      <w:r>
        <w:rPr>
          <w:rFonts w:hint="eastAsia" w:ascii="仿宋_GB2312" w:hAnsi="仿宋_GB2312" w:eastAsia="仿宋_GB2312"/>
          <w:color w:val="000000"/>
          <w:sz w:val="30"/>
          <w:szCs w:val="24"/>
          <w:lang w:val="en-US" w:eastAsia="zh-CN"/>
        </w:rPr>
        <w:t>东疆综合保税</w:t>
      </w:r>
      <w:r>
        <w:rPr>
          <w:rFonts w:hint="eastAsia" w:ascii="仿宋_GB2312" w:hAnsi="仿宋_GB2312" w:eastAsia="仿宋_GB2312"/>
          <w:color w:val="000000"/>
          <w:sz w:val="30"/>
          <w:szCs w:val="24"/>
          <w:lang w:val="en-US"/>
        </w:rPr>
        <w:t>区管理委员会共有车辆</w:t>
      </w:r>
      <w:r>
        <w:rPr>
          <w:rFonts w:hint="eastAsia" w:ascii="Times New Roman" w:hAnsi="Times New Roman" w:eastAsia="宋体"/>
          <w:color w:val="auto"/>
          <w:sz w:val="30"/>
          <w:szCs w:val="24"/>
          <w:lang w:val="en-US" w:eastAsia="zh-CN"/>
        </w:rPr>
        <w:t>80</w:t>
      </w:r>
      <w:r>
        <w:rPr>
          <w:rFonts w:hint="eastAsia" w:ascii="仿宋_GB2312" w:hAnsi="仿宋_GB2312" w:eastAsia="仿宋_GB2312"/>
          <w:color w:val="000000"/>
          <w:sz w:val="30"/>
          <w:szCs w:val="24"/>
          <w:lang w:val="en-US"/>
        </w:rPr>
        <w:t>辆，其中：</w:t>
      </w:r>
      <w:r>
        <w:rPr>
          <w:rFonts w:hint="eastAsia" w:ascii="仿宋_GB2312" w:hAnsi="仿宋_GB2312" w:eastAsia="仿宋_GB2312"/>
          <w:color w:val="auto"/>
          <w:sz w:val="30"/>
          <w:szCs w:val="24"/>
          <w:lang w:val="en-US"/>
        </w:rPr>
        <w:t>主要领导干部用车1辆、机要通信用车1辆、应急保障用车1辆、执法执勤用车3辆、其他用车74辆，</w:t>
      </w:r>
      <w:r>
        <w:rPr>
          <w:rFonts w:hint="eastAsia" w:ascii="仿宋_GB2312" w:hAnsi="Times New Roman" w:eastAsia="仿宋_GB2312"/>
          <w:sz w:val="30"/>
          <w:szCs w:val="24"/>
        </w:rPr>
        <w:t>其他用车主要</w:t>
      </w:r>
      <w:r>
        <w:rPr>
          <w:rFonts w:hint="eastAsia" w:ascii="仿宋_GB2312" w:hAnsi="Times New Roman" w:eastAsia="仿宋_GB2312"/>
          <w:sz w:val="30"/>
          <w:szCs w:val="24"/>
          <w:lang w:val="zh-CN"/>
        </w:rPr>
        <w:t>包</w:t>
      </w:r>
      <w:r>
        <w:rPr>
          <w:rFonts w:hint="eastAsia" w:ascii="仿宋_GB2312" w:hAnsi="Times New Roman" w:eastAsia="仿宋_GB2312"/>
          <w:sz w:val="30"/>
          <w:szCs w:val="24"/>
        </w:rPr>
        <w:t>括</w:t>
      </w:r>
      <w:r>
        <w:rPr>
          <w:rFonts w:hint="eastAsia" w:ascii="Wingdings" w:hAnsi="Wingdings" w:eastAsia="仿宋_GB2312"/>
          <w:sz w:val="30"/>
          <w:szCs w:val="24"/>
        </w:rPr>
        <w:t>洗扫车、雾炮车等环保车辆</w:t>
      </w:r>
      <w:r>
        <w:rPr>
          <w:rFonts w:hint="eastAsia" w:ascii="仿宋_GB2312" w:hAnsi="Times New Roman" w:eastAsia="仿宋_GB2312"/>
          <w:color w:val="000000"/>
          <w:sz w:val="30"/>
          <w:szCs w:val="24"/>
        </w:rPr>
        <w:t>。</w:t>
      </w:r>
      <w:r>
        <w:rPr>
          <w:rFonts w:hint="eastAsia" w:ascii="仿宋_GB2312" w:hAnsi="仿宋_GB2312" w:eastAsia="仿宋_GB2312"/>
          <w:color w:val="000000"/>
          <w:sz w:val="30"/>
          <w:szCs w:val="24"/>
          <w:lang w:val="en-US"/>
        </w:rPr>
        <w:t>单价</w:t>
      </w:r>
      <w:r>
        <w:rPr>
          <w:rFonts w:hint="default" w:ascii="Times New Roman" w:hAnsi="Times New Roman" w:eastAsia="Times New Roman"/>
          <w:color w:val="000000"/>
          <w:sz w:val="30"/>
          <w:szCs w:val="24"/>
          <w:lang w:val="en-US"/>
        </w:rPr>
        <w:t>50</w:t>
      </w:r>
      <w:r>
        <w:rPr>
          <w:rFonts w:hint="eastAsia" w:ascii="仿宋_GB2312" w:hAnsi="仿宋_GB2312" w:eastAsia="仿宋_GB2312"/>
          <w:color w:val="000000"/>
          <w:sz w:val="30"/>
          <w:szCs w:val="24"/>
          <w:lang w:val="en-US"/>
        </w:rPr>
        <w:t>万元以上的通用设备</w:t>
      </w:r>
      <w:r>
        <w:rPr>
          <w:rFonts w:hint="eastAsia" w:ascii="Times New Roman" w:hAnsi="Times New Roman" w:eastAsia="宋体"/>
          <w:color w:val="auto"/>
          <w:sz w:val="30"/>
          <w:szCs w:val="24"/>
          <w:lang w:val="en-US" w:eastAsia="zh-CN"/>
        </w:rPr>
        <w:t>7</w:t>
      </w:r>
      <w:r>
        <w:rPr>
          <w:rFonts w:hint="eastAsia" w:ascii="仿宋_GB2312" w:hAnsi="仿宋_GB2312" w:eastAsia="仿宋_GB2312"/>
          <w:color w:val="000000"/>
          <w:sz w:val="30"/>
          <w:szCs w:val="24"/>
          <w:lang w:val="en-US"/>
        </w:rPr>
        <w:t>台（套），单价</w:t>
      </w:r>
      <w:r>
        <w:rPr>
          <w:rFonts w:hint="default" w:ascii="Times New Roman" w:hAnsi="Times New Roman" w:eastAsia="Times New Roman"/>
          <w:color w:val="000000"/>
          <w:sz w:val="30"/>
          <w:szCs w:val="24"/>
          <w:lang w:val="en-US"/>
        </w:rPr>
        <w:t>100</w:t>
      </w:r>
      <w:r>
        <w:rPr>
          <w:rFonts w:hint="eastAsia" w:ascii="仿宋_GB2312" w:hAnsi="仿宋_GB2312" w:eastAsia="仿宋_GB2312"/>
          <w:color w:val="000000"/>
          <w:sz w:val="30"/>
          <w:szCs w:val="24"/>
          <w:lang w:val="en-US"/>
        </w:rPr>
        <w:t>万元以上的专用设备</w:t>
      </w:r>
      <w:r>
        <w:rPr>
          <w:rFonts w:hint="eastAsia" w:ascii="Times New Roman" w:hAnsi="Times New Roman" w:eastAsia="宋体"/>
          <w:color w:val="auto"/>
          <w:sz w:val="30"/>
          <w:szCs w:val="24"/>
          <w:lang w:val="en-US" w:eastAsia="zh-CN"/>
        </w:rPr>
        <w:t>1</w:t>
      </w:r>
      <w:r>
        <w:rPr>
          <w:rFonts w:hint="eastAsia" w:ascii="仿宋_GB2312" w:hAnsi="仿宋_GB2312" w:eastAsia="仿宋_GB2312"/>
          <w:color w:val="000000"/>
          <w:sz w:val="30"/>
          <w:szCs w:val="24"/>
          <w:lang w:val="en-US"/>
        </w:rPr>
        <w:t>台（套）。</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spacing w:beforeLines="0" w:afterLines="0"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根据预算绩效管理要求，</w:t>
      </w:r>
      <w:r>
        <w:rPr>
          <w:rFonts w:hint="eastAsia" w:ascii="仿宋_GB2312" w:hAnsi="仿宋_GB2312" w:eastAsia="仿宋_GB2312"/>
          <w:color w:val="auto"/>
          <w:sz w:val="30"/>
          <w:szCs w:val="24"/>
          <w:lang w:val="en-US" w:eastAsia="zh-CN"/>
        </w:rPr>
        <w:t>天津东疆综合保税区管理委员会</w:t>
      </w:r>
      <w:r>
        <w:rPr>
          <w:rFonts w:hint="eastAsia" w:ascii="仿宋_GB2312" w:hAnsi="仿宋_GB2312" w:eastAsia="仿宋_GB2312"/>
          <w:color w:val="auto"/>
          <w:sz w:val="30"/>
          <w:szCs w:val="24"/>
          <w:lang w:val="en-US"/>
        </w:rPr>
        <w:t>2021年度已对338个项目开展绩效自评，涉及金额515329780.4元，自评结果已随部门汇总决算和“三公”经费决算一并公开。本部门2021年度已自行组织开展3</w:t>
      </w:r>
      <w:r>
        <w:rPr>
          <w:rFonts w:hint="eastAsia" w:ascii="仿宋_GB2312" w:hAnsi="仿宋_GB2312" w:eastAsia="仿宋_GB2312"/>
          <w:color w:val="auto"/>
          <w:sz w:val="30"/>
          <w:szCs w:val="24"/>
          <w:lang w:val="en-US" w:eastAsia="zh-CN"/>
        </w:rPr>
        <w:t>5</w:t>
      </w:r>
      <w:r>
        <w:rPr>
          <w:rFonts w:hint="eastAsia" w:ascii="仿宋_GB2312" w:hAnsi="仿宋_GB2312" w:eastAsia="仿宋_GB2312"/>
          <w:color w:val="auto"/>
          <w:sz w:val="30"/>
          <w:szCs w:val="24"/>
          <w:lang w:val="en-US"/>
        </w:rPr>
        <w:t>个项目绩效评价，涉及金额140545953.05元。</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天津</w:t>
      </w:r>
      <w:r>
        <w:rPr>
          <w:rFonts w:hint="eastAsia" w:ascii="仿宋_GB2312" w:hAnsi="仿宋_GB2312" w:eastAsia="仿宋_GB2312"/>
          <w:color w:val="auto"/>
          <w:sz w:val="30"/>
          <w:szCs w:val="24"/>
          <w:lang w:val="en-US" w:eastAsia="zh-CN"/>
        </w:rPr>
        <w:t>东疆综合保税区管理委员会</w:t>
      </w:r>
      <w:r>
        <w:rPr>
          <w:rFonts w:hint="eastAsia" w:ascii="仿宋_GB2312" w:hAnsi="仿宋_GB2312" w:eastAsia="仿宋_GB2312"/>
          <w:color w:val="auto"/>
          <w:sz w:val="30"/>
          <w:szCs w:val="24"/>
          <w:lang w:val="en-US"/>
        </w:rPr>
        <w:t>2021年度无教育、医疗卫生、社会保障和就业、住房保障、涉农补贴等民生支出情况。</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1</w:t>
      </w:r>
      <w:r>
        <w:rPr>
          <w:rFonts w:hint="eastAsia" w:ascii="宋体" w:hAnsi="宋体" w:eastAsia="宋体"/>
          <w:color w:val="auto"/>
          <w:sz w:val="24"/>
          <w:szCs w:val="24"/>
          <w:lang w:val="en-US"/>
        </w:rPr>
        <w:t>.</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rPr>
          <w:rFonts w:hint="eastAsia" w:ascii="黑体" w:hAnsi="黑体" w:eastAsia="黑体"/>
          <w:color w:val="auto"/>
          <w:kern w:val="2"/>
          <w:sz w:val="32"/>
          <w:szCs w:val="24"/>
          <w:lang w:val="zh-CN"/>
        </w:rPr>
      </w:pPr>
    </w:p>
    <w:p>
      <w:pPr>
        <w:spacing w:beforeLines="0" w:afterLines="0"/>
        <w:rPr>
          <w:rFonts w:hint="eastAsia" w:ascii="黑体" w:hAnsi="黑体" w:eastAsia="黑体"/>
          <w:color w:val="auto"/>
          <w:kern w:val="2"/>
          <w:sz w:val="32"/>
          <w:szCs w:val="24"/>
          <w:lang w:val="zh-CN"/>
        </w:rPr>
      </w:pPr>
    </w:p>
    <w:sectPr>
      <w:footerReference r:id="rId6"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文星仿宋">
    <w:altName w:val="方正仿宋_GBK"/>
    <w:panose1 w:val="02010609000101010101"/>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clear" w:pos="4153"/>
      </w:tabs>
      <w:spacing w:beforeLines="0" w:afterLines="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clear" w:pos="4153"/>
      </w:tabs>
      <w:spacing w:beforeLines="0" w:afterLines="0"/>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clear" w:pos="4153"/>
      </w:tabs>
      <w:spacing w:beforeLines="0" w:afterLines="0"/>
      <w:rPr>
        <w:rFonts w:hint="default"/>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clear" w:pos="4153"/>
      </w:tabs>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cpx3uyAQAAUQMAAA4AAABkcnMv&#10;ZTJvRG9jLnhtbK1TzWobMRC+F/IOQvdYax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cpx3uyAQAAUQMAAA4AAAAAAAAAAQAgAAAANAEAAGRycy9lMm9Eb2Mu&#10;eG1sUEsFBgAAAAAGAAYAWQEAAFgFAAAAAA==&#10;">
              <v:fill on="f" focussize="0,0"/>
              <v:stroke on="f"/>
              <v:imagedata o:title=""/>
              <o:lock v:ext="edit" aspectratio="f"/>
              <v:textbox inset="0mm,0mm,0mm,0mm" style="mso-fit-shape-to-text:t;">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FFF9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sz w:val="24"/>
      <w:szCs w:val="24"/>
    </w:rPr>
  </w:style>
  <w:style w:type="paragraph" w:styleId="2">
    <w:name w:val="heading 1"/>
    <w:unhideWhenUsed/>
    <w:uiPriority w:val="99"/>
    <w:pPr>
      <w:widowControl w:val="0"/>
      <w:autoSpaceDE w:val="0"/>
      <w:autoSpaceDN w:val="0"/>
      <w:adjustRightInd w:val="0"/>
      <w:spacing w:beforeLines="0" w:afterLines="0"/>
    </w:pPr>
    <w:rPr>
      <w:rFonts w:hint="default"/>
      <w:sz w:val="24"/>
      <w:szCs w:val="24"/>
    </w:rPr>
  </w:style>
  <w:style w:type="paragraph" w:styleId="3">
    <w:name w:val="heading 2"/>
    <w:unhideWhenUsed/>
    <w:uiPriority w:val="99"/>
    <w:pPr>
      <w:widowControl w:val="0"/>
      <w:autoSpaceDE w:val="0"/>
      <w:autoSpaceDN w:val="0"/>
      <w:adjustRightInd w:val="0"/>
      <w:spacing w:beforeLines="0" w:afterLines="0"/>
    </w:pPr>
    <w:rPr>
      <w:rFonts w:hint="default"/>
      <w:sz w:val="24"/>
      <w:szCs w:val="24"/>
    </w:rPr>
  </w:style>
  <w:style w:type="character" w:default="1" w:styleId="8">
    <w:name w:val="Default Paragraph Font"/>
    <w:unhideWhenUsed/>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4">
    <w:name w:val="Body Text"/>
    <w:basedOn w:val="1"/>
    <w:unhideWhenUsed/>
    <w:qFormat/>
    <w:uiPriority w:val="99"/>
    <w:pPr>
      <w:autoSpaceDE/>
      <w:autoSpaceDN/>
      <w:adjustRightInd/>
      <w:spacing w:beforeLines="0" w:afterLines="0"/>
      <w:jc w:val="both"/>
    </w:pPr>
    <w:rPr>
      <w:rFonts w:hint="default" w:ascii="文星仿宋" w:hAnsi="Times New Roman" w:eastAsia="文星仿宋"/>
      <w:kern w:val="2"/>
      <w:sz w:val="32"/>
      <w:szCs w:val="24"/>
    </w:r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szCs w:val="24"/>
    </w:rPr>
  </w:style>
  <w:style w:type="paragraph" w:styleId="6">
    <w:name w:val="header"/>
    <w:basedOn w:val="1"/>
    <w:unhideWhenUsed/>
    <w:qFormat/>
    <w:uiPriority w:val="99"/>
    <w:pPr>
      <w:tabs>
        <w:tab w:val="center" w:pos="4153"/>
        <w:tab w:val="right" w:pos="8306"/>
      </w:tabs>
      <w:snapToGrid w:val="0"/>
      <w:spacing w:beforeLines="0" w:afterLines="0"/>
      <w:jc w:val="both"/>
    </w:pPr>
    <w:rPr>
      <w:rFonts w:hint="default"/>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2022-11-10T09:17:41Z</dcterms:created>
  <dc:creator>greatwall</dc:creator>
  <cp:lastModifiedBy>greatwall</cp:lastModifiedBy>
  <dcterms:modified xsi:type="dcterms:W3CDTF">2022-11-10T09:17:50Z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