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新宋体" w:eastAsia="方正小标宋简体" w:cs="新宋体"/>
          <w:sz w:val="44"/>
          <w:szCs w:val="44"/>
          <w:highlight w:val="none"/>
        </w:rPr>
      </w:pPr>
      <w:bookmarkStart w:id="1" w:name="_GoBack"/>
      <w:bookmarkEnd w:id="1"/>
      <w:r>
        <w:rPr>
          <w:rFonts w:hint="eastAsia" w:ascii="方正小标宋简体" w:hAnsi="新宋体" w:eastAsia="方正小标宋简体" w:cs="新宋体"/>
          <w:sz w:val="44"/>
          <w:szCs w:val="44"/>
          <w:highlight w:val="none"/>
        </w:rPr>
        <w:t>关于东疆</w:t>
      </w:r>
      <w:r>
        <w:rPr>
          <w:rFonts w:hint="eastAsia" w:ascii="方正小标宋简体" w:hAnsi="新宋体" w:eastAsia="方正小标宋简体" w:cs="新宋体"/>
          <w:sz w:val="44"/>
          <w:szCs w:val="44"/>
          <w:highlight w:val="none"/>
          <w:lang w:val="en-US" w:eastAsia="zh-CN"/>
        </w:rPr>
        <w:t>综合保税区</w:t>
      </w:r>
      <w:r>
        <w:rPr>
          <w:rFonts w:hint="eastAsia" w:ascii="方正小标宋简体" w:hAnsi="新宋体" w:eastAsia="方正小标宋简体" w:cs="新宋体"/>
          <w:sz w:val="44"/>
          <w:szCs w:val="44"/>
          <w:highlight w:val="none"/>
        </w:rPr>
        <w:t>20</w:t>
      </w:r>
      <w:r>
        <w:rPr>
          <w:rFonts w:hint="eastAsia" w:ascii="方正小标宋简体" w:hAnsi="新宋体" w:eastAsia="方正小标宋简体" w:cs="新宋体"/>
          <w:sz w:val="44"/>
          <w:szCs w:val="44"/>
          <w:highlight w:val="none"/>
          <w:lang w:val="en-US" w:eastAsia="zh-CN"/>
        </w:rPr>
        <w:t>21</w:t>
      </w:r>
      <w:r>
        <w:rPr>
          <w:rFonts w:hint="eastAsia" w:ascii="方正小标宋简体" w:hAnsi="新宋体" w:eastAsia="方正小标宋简体" w:cs="新宋体"/>
          <w:sz w:val="44"/>
          <w:szCs w:val="44"/>
          <w:highlight w:val="none"/>
        </w:rPr>
        <w:t>年决算草案</w:t>
      </w:r>
      <w:r>
        <w:rPr>
          <w:rFonts w:hint="eastAsia" w:ascii="方正小标宋简体" w:hAnsi="新宋体" w:eastAsia="方正小标宋简体" w:cs="新宋体"/>
          <w:sz w:val="44"/>
          <w:szCs w:val="44"/>
          <w:highlight w:val="none"/>
          <w:lang w:val="en-US" w:eastAsia="zh-CN"/>
        </w:rPr>
        <w:t>及</w:t>
      </w:r>
      <w:r>
        <w:rPr>
          <w:rFonts w:hint="eastAsia" w:ascii="方正小标宋简体" w:hAnsi="新宋体" w:eastAsia="方正小标宋简体" w:cs="新宋体"/>
          <w:sz w:val="44"/>
          <w:szCs w:val="44"/>
          <w:highlight w:val="none"/>
        </w:rPr>
        <w:t>202</w:t>
      </w:r>
      <w:r>
        <w:rPr>
          <w:rFonts w:hint="eastAsia" w:ascii="方正小标宋简体" w:hAnsi="新宋体" w:eastAsia="方正小标宋简体" w:cs="新宋体"/>
          <w:sz w:val="44"/>
          <w:szCs w:val="44"/>
          <w:highlight w:val="none"/>
          <w:lang w:val="en-US" w:eastAsia="zh-CN"/>
        </w:rPr>
        <w:t>2</w:t>
      </w:r>
      <w:r>
        <w:rPr>
          <w:rFonts w:hint="eastAsia" w:ascii="方正小标宋简体" w:hAnsi="新宋体" w:eastAsia="方正小标宋简体" w:cs="新宋体"/>
          <w:sz w:val="44"/>
          <w:szCs w:val="44"/>
          <w:highlight w:val="none"/>
        </w:rPr>
        <w:t>年以来预算执行情况的报告</w:t>
      </w:r>
    </w:p>
    <w:p>
      <w:pPr>
        <w:spacing w:line="640" w:lineRule="exact"/>
        <w:jc w:val="center"/>
        <w:rPr>
          <w:rFonts w:hint="eastAsia" w:ascii="方正小标宋简体" w:hAnsi="新宋体" w:eastAsia="方正小标宋简体" w:cs="新宋体"/>
          <w:sz w:val="44"/>
          <w:szCs w:val="44"/>
          <w:highlight w:val="none"/>
        </w:rPr>
      </w:pPr>
    </w:p>
    <w:p>
      <w:pPr>
        <w:spacing w:line="640" w:lineRule="exact"/>
        <w:ind w:firstLine="720" w:firstLineChars="200"/>
        <w:rPr>
          <w:rFonts w:hint="eastAsia" w:ascii="仿宋_GB2312" w:hAnsi="仿宋" w:eastAsia="仿宋_GB2312"/>
          <w:sz w:val="36"/>
          <w:szCs w:val="36"/>
          <w:highlight w:val="none"/>
          <w:lang w:val="en-US" w:eastAsia="zh-CN"/>
        </w:rPr>
      </w:pPr>
      <w:r>
        <w:rPr>
          <w:rFonts w:hint="eastAsia" w:ascii="仿宋_GB2312" w:hAnsi="仿宋" w:eastAsia="仿宋_GB2312"/>
          <w:sz w:val="36"/>
          <w:szCs w:val="36"/>
          <w:highlight w:val="none"/>
          <w:lang w:val="en-US" w:eastAsia="zh-CN"/>
        </w:rPr>
        <w:t>2021年，东疆各部门坚持以习近平新时代中国特色社会主义思想为指导，深入学习贯彻党的十九大和十九届二中三中四中全会精神，深入贯彻习近平总书记视察天津工作重要指示和在京津冀协同发展座谈会上的重要讲话精神，坚持稳中求进工作总基调，坚持新发展理念，打好“三大攻坚战”，经济持续稳中向好，财政收入质量进一步提高，预算执行情况总体较好。</w:t>
      </w:r>
    </w:p>
    <w:p>
      <w:pPr>
        <w:spacing w:line="640" w:lineRule="exact"/>
        <w:ind w:firstLine="720" w:firstLineChars="200"/>
        <w:rPr>
          <w:rFonts w:hint="eastAsia" w:ascii="黑体" w:hAnsi="黑体" w:eastAsia="黑体"/>
          <w:sz w:val="36"/>
          <w:szCs w:val="36"/>
          <w:highlight w:val="none"/>
        </w:rPr>
      </w:pPr>
      <w:r>
        <w:rPr>
          <w:rFonts w:hint="eastAsia" w:ascii="黑体" w:hAnsi="黑体" w:eastAsia="黑体"/>
          <w:sz w:val="36"/>
          <w:szCs w:val="36"/>
          <w:highlight w:val="none"/>
          <w:lang w:val="en-US" w:eastAsia="zh-CN"/>
        </w:rPr>
        <w:t>一、</w:t>
      </w:r>
      <w:r>
        <w:rPr>
          <w:rFonts w:hint="default" w:ascii="黑体" w:hAnsi="黑体" w:eastAsia="黑体"/>
          <w:sz w:val="36"/>
          <w:szCs w:val="36"/>
          <w:highlight w:val="none"/>
          <w:lang w:val="en-US" w:eastAsia="zh-CN"/>
        </w:rPr>
        <w:t>20</w:t>
      </w:r>
      <w:r>
        <w:rPr>
          <w:rFonts w:hint="eastAsia" w:ascii="黑体" w:hAnsi="黑体" w:eastAsia="黑体"/>
          <w:sz w:val="36"/>
          <w:szCs w:val="36"/>
          <w:highlight w:val="none"/>
          <w:lang w:val="en-US" w:eastAsia="zh-CN"/>
        </w:rPr>
        <w:t>21年决算情况</w:t>
      </w:r>
    </w:p>
    <w:p>
      <w:pPr>
        <w:keepNext w:val="0"/>
        <w:keepLines w:val="0"/>
        <w:widowControl/>
        <w:suppressLineNumbers w:val="0"/>
        <w:ind w:firstLine="722" w:firstLineChars="200"/>
        <w:jc w:val="left"/>
        <w:rPr>
          <w:rFonts w:hint="default" w:ascii="仿宋_GB2312" w:hAnsi="仿宋" w:eastAsia="仿宋_GB2312"/>
          <w:sz w:val="36"/>
          <w:szCs w:val="36"/>
          <w:highlight w:val="none"/>
          <w:lang w:val="en-US" w:eastAsia="zh-CN"/>
        </w:rPr>
      </w:pPr>
      <w:r>
        <w:rPr>
          <w:rFonts w:ascii="楷体_GB2312" w:hAnsi="楷体_GB2312" w:eastAsia="楷体_GB2312" w:cs="楷体_GB2312"/>
          <w:b/>
          <w:bCs/>
          <w:color w:val="000000"/>
          <w:kern w:val="0"/>
          <w:sz w:val="36"/>
          <w:szCs w:val="36"/>
          <w:highlight w:val="none"/>
          <w:lang w:val="en-US" w:eastAsia="zh-CN" w:bidi="ar"/>
        </w:rPr>
        <w:t>（一）财政收支情况</w:t>
      </w:r>
      <w:r>
        <w:rPr>
          <w:rFonts w:hint="eastAsia" w:ascii="楷体_GB2312" w:hAnsi="楷体_GB2312" w:eastAsia="楷体_GB2312" w:cs="楷体_GB2312"/>
          <w:b/>
          <w:bCs/>
          <w:color w:val="000000"/>
          <w:kern w:val="0"/>
          <w:sz w:val="36"/>
          <w:szCs w:val="36"/>
          <w:highlight w:val="none"/>
          <w:lang w:val="en-US" w:eastAsia="zh-CN" w:bidi="ar"/>
        </w:rPr>
        <w:t xml:space="preserve">   </w:t>
      </w:r>
      <w:r>
        <w:rPr>
          <w:rFonts w:hint="eastAsia" w:ascii="楷体_GB2312" w:hAnsi="楷体_GB2312" w:eastAsia="楷体_GB2312" w:cs="楷体_GB2312"/>
          <w:b/>
          <w:bCs/>
          <w:color w:val="000000"/>
          <w:kern w:val="0"/>
          <w:sz w:val="32"/>
          <w:szCs w:val="32"/>
          <w:highlight w:val="none"/>
          <w:lang w:val="en-US" w:eastAsia="zh-CN" w:bidi="ar"/>
        </w:rPr>
        <w:t xml:space="preserve">                             </w:t>
      </w:r>
    </w:p>
    <w:p>
      <w:pPr>
        <w:spacing w:line="640" w:lineRule="exact"/>
        <w:ind w:firstLine="720" w:firstLineChars="200"/>
        <w:rPr>
          <w:rFonts w:hint="eastAsia" w:ascii="仿宋_GB2312" w:hAnsi="仿宋" w:eastAsia="仿宋_GB2312"/>
          <w:sz w:val="36"/>
          <w:szCs w:val="36"/>
          <w:highlight w:val="none"/>
          <w:lang w:val="en-US" w:eastAsia="zh-CN"/>
        </w:rPr>
      </w:pPr>
      <w:r>
        <w:rPr>
          <w:rFonts w:hint="eastAsia" w:ascii="仿宋_GB2312" w:hAnsi="仿宋" w:eastAsia="仿宋_GB2312"/>
          <w:sz w:val="36"/>
          <w:szCs w:val="36"/>
          <w:highlight w:val="none"/>
          <w:lang w:val="en-US" w:eastAsia="zh-CN"/>
        </w:rPr>
        <w:t>一般公共预算收入108.23亿元，完成预算123.03</w:t>
      </w:r>
      <w:r>
        <w:rPr>
          <w:rFonts w:hint="default" w:ascii="仿宋_GB2312" w:hAnsi="仿宋" w:eastAsia="仿宋_GB2312"/>
          <w:sz w:val="36"/>
          <w:szCs w:val="36"/>
          <w:highlight w:val="none"/>
          <w:lang w:val="en-US" w:eastAsia="zh-CN"/>
        </w:rPr>
        <w:t>%</w:t>
      </w:r>
      <w:r>
        <w:rPr>
          <w:rFonts w:hint="eastAsia" w:ascii="仿宋_GB2312" w:hAnsi="仿宋" w:eastAsia="仿宋_GB2312"/>
          <w:sz w:val="36"/>
          <w:szCs w:val="36"/>
          <w:highlight w:val="none"/>
          <w:lang w:val="en-US" w:eastAsia="zh-CN"/>
        </w:rPr>
        <w:t>，比上年增长35.28</w:t>
      </w:r>
      <w:r>
        <w:rPr>
          <w:rFonts w:hint="default" w:ascii="仿宋_GB2312" w:hAnsi="仿宋" w:eastAsia="仿宋_GB2312"/>
          <w:sz w:val="36"/>
          <w:szCs w:val="36"/>
          <w:highlight w:val="none"/>
          <w:lang w:val="en-US" w:eastAsia="zh-CN"/>
        </w:rPr>
        <w:t>%</w:t>
      </w:r>
      <w:r>
        <w:rPr>
          <w:rFonts w:hint="eastAsia" w:ascii="仿宋_GB2312" w:hAnsi="仿宋" w:eastAsia="仿宋_GB2312"/>
          <w:sz w:val="36"/>
          <w:szCs w:val="36"/>
          <w:highlight w:val="none"/>
          <w:lang w:val="en-US" w:eastAsia="zh-CN"/>
        </w:rPr>
        <w:t>。加上上年结余、转移支付、调入调出等，总收入110.57亿元。支出110.51</w:t>
      </w:r>
      <w:r>
        <w:rPr>
          <w:rFonts w:hint="default" w:ascii="仿宋_GB2312" w:hAnsi="仿宋" w:eastAsia="仿宋_GB2312"/>
          <w:sz w:val="36"/>
          <w:szCs w:val="36"/>
          <w:highlight w:val="none"/>
          <w:lang w:val="en-US" w:eastAsia="zh-CN"/>
        </w:rPr>
        <w:t xml:space="preserve"> </w:t>
      </w:r>
      <w:r>
        <w:rPr>
          <w:rFonts w:hint="eastAsia" w:ascii="仿宋_GB2312" w:hAnsi="仿宋" w:eastAsia="仿宋_GB2312"/>
          <w:sz w:val="36"/>
          <w:szCs w:val="36"/>
          <w:highlight w:val="none"/>
          <w:lang w:val="en-US" w:eastAsia="zh-CN"/>
        </w:rPr>
        <w:t>亿元，完成预算80.39</w:t>
      </w:r>
      <w:r>
        <w:rPr>
          <w:rFonts w:hint="default" w:ascii="仿宋_GB2312" w:hAnsi="仿宋" w:eastAsia="仿宋_GB2312"/>
          <w:sz w:val="36"/>
          <w:szCs w:val="36"/>
          <w:highlight w:val="none"/>
          <w:lang w:val="en-US" w:eastAsia="zh-CN"/>
        </w:rPr>
        <w:t>%</w:t>
      </w:r>
      <w:r>
        <w:rPr>
          <w:rFonts w:hint="eastAsia" w:ascii="仿宋_GB2312" w:hAnsi="仿宋" w:eastAsia="仿宋_GB2312"/>
          <w:sz w:val="36"/>
          <w:szCs w:val="36"/>
          <w:highlight w:val="none"/>
          <w:lang w:val="en-US" w:eastAsia="zh-CN"/>
        </w:rPr>
        <w:t>，比上年增长20.97</w:t>
      </w:r>
      <w:r>
        <w:rPr>
          <w:rFonts w:hint="default" w:ascii="仿宋_GB2312" w:hAnsi="仿宋" w:eastAsia="仿宋_GB2312"/>
          <w:sz w:val="36"/>
          <w:szCs w:val="36"/>
          <w:highlight w:val="none"/>
          <w:lang w:val="en-US" w:eastAsia="zh-CN"/>
        </w:rPr>
        <w:t>%</w:t>
      </w:r>
      <w:r>
        <w:rPr>
          <w:rFonts w:hint="eastAsia" w:ascii="仿宋_GB2312" w:hAnsi="仿宋" w:eastAsia="仿宋_GB2312"/>
          <w:sz w:val="36"/>
          <w:szCs w:val="36"/>
          <w:highlight w:val="none"/>
          <w:lang w:val="en-US" w:eastAsia="zh-CN"/>
        </w:rPr>
        <w:t>。收支相抵，结余0.06亿元。政府性基金预算当年无收入、支出，无结余。国有资本经营预算收入</w:t>
      </w:r>
      <w:r>
        <w:rPr>
          <w:rFonts w:hint="default" w:ascii="仿宋_GB2312" w:hAnsi="仿宋" w:eastAsia="仿宋_GB2312"/>
          <w:sz w:val="36"/>
          <w:szCs w:val="36"/>
          <w:highlight w:val="none"/>
          <w:lang w:val="en-US" w:eastAsia="zh-CN"/>
        </w:rPr>
        <w:t>0.</w:t>
      </w:r>
      <w:r>
        <w:rPr>
          <w:rFonts w:hint="eastAsia" w:ascii="仿宋_GB2312" w:hAnsi="仿宋" w:eastAsia="仿宋_GB2312"/>
          <w:sz w:val="36"/>
          <w:szCs w:val="36"/>
          <w:highlight w:val="none"/>
          <w:lang w:val="en-US" w:eastAsia="zh-CN"/>
        </w:rPr>
        <w:t>1亿元，完成预算88.59</w:t>
      </w:r>
      <w:r>
        <w:rPr>
          <w:rFonts w:hint="default" w:ascii="仿宋_GB2312" w:hAnsi="仿宋" w:eastAsia="仿宋_GB2312"/>
          <w:sz w:val="36"/>
          <w:szCs w:val="36"/>
          <w:highlight w:val="none"/>
          <w:lang w:val="en-US" w:eastAsia="zh-CN"/>
        </w:rPr>
        <w:t>%</w:t>
      </w:r>
      <w:r>
        <w:rPr>
          <w:rFonts w:hint="eastAsia" w:ascii="仿宋_GB2312" w:hAnsi="仿宋" w:eastAsia="仿宋_GB2312"/>
          <w:sz w:val="36"/>
          <w:szCs w:val="36"/>
          <w:highlight w:val="none"/>
          <w:lang w:val="en-US" w:eastAsia="zh-CN"/>
        </w:rPr>
        <w:t>，比上年减少6.4</w:t>
      </w:r>
      <w:r>
        <w:rPr>
          <w:rFonts w:hint="default" w:ascii="仿宋_GB2312" w:hAnsi="仿宋" w:eastAsia="仿宋_GB2312"/>
          <w:sz w:val="36"/>
          <w:szCs w:val="36"/>
          <w:highlight w:val="none"/>
          <w:lang w:val="en-US" w:eastAsia="zh-CN"/>
        </w:rPr>
        <w:t>%</w:t>
      </w:r>
      <w:r>
        <w:rPr>
          <w:rFonts w:hint="eastAsia" w:ascii="仿宋_GB2312" w:hAnsi="仿宋" w:eastAsia="仿宋_GB2312"/>
          <w:sz w:val="36"/>
          <w:szCs w:val="36"/>
          <w:highlight w:val="none"/>
          <w:lang w:val="en-US" w:eastAsia="zh-CN"/>
        </w:rPr>
        <w:t>。加上上年结余、转移支付、调入调出等，总收入0亿元。国有资本经营预算无支出，收支相抵，无结余。</w:t>
      </w:r>
    </w:p>
    <w:p>
      <w:pPr>
        <w:keepNext w:val="0"/>
        <w:keepLines w:val="0"/>
        <w:widowControl/>
        <w:suppressLineNumbers w:val="0"/>
        <w:ind w:firstLine="722" w:firstLineChars="200"/>
        <w:jc w:val="left"/>
        <w:rPr>
          <w:rFonts w:ascii="楷体_GB2312" w:hAnsi="楷体_GB2312" w:eastAsia="楷体_GB2312" w:cs="楷体_GB2312"/>
          <w:b/>
          <w:bCs/>
          <w:color w:val="000000"/>
          <w:kern w:val="0"/>
          <w:sz w:val="36"/>
          <w:szCs w:val="36"/>
          <w:highlight w:val="none"/>
          <w:lang w:val="en-US" w:eastAsia="zh-CN" w:bidi="ar"/>
        </w:rPr>
      </w:pPr>
      <w:r>
        <w:rPr>
          <w:rFonts w:ascii="楷体_GB2312" w:hAnsi="楷体_GB2312" w:eastAsia="楷体_GB2312" w:cs="楷体_GB2312"/>
          <w:b/>
          <w:bCs/>
          <w:color w:val="000000"/>
          <w:kern w:val="0"/>
          <w:sz w:val="36"/>
          <w:szCs w:val="36"/>
          <w:highlight w:val="none"/>
          <w:lang w:val="en-US" w:eastAsia="zh-CN" w:bidi="ar"/>
        </w:rPr>
        <w:t>（二）政府债务情况</w:t>
      </w:r>
    </w:p>
    <w:p>
      <w:pPr>
        <w:spacing w:line="640" w:lineRule="exact"/>
        <w:ind w:firstLine="720" w:firstLineChars="200"/>
        <w:rPr>
          <w:rFonts w:hint="eastAsia" w:ascii="仿宋_GB2312" w:hAnsi="仿宋" w:eastAsia="仿宋_GB2312"/>
          <w:sz w:val="36"/>
          <w:szCs w:val="36"/>
          <w:highlight w:val="none"/>
          <w:lang w:val="en-US" w:eastAsia="zh-CN"/>
        </w:rPr>
      </w:pPr>
      <w:r>
        <w:rPr>
          <w:rFonts w:hint="eastAsia" w:ascii="仿宋_GB2312" w:hAnsi="仿宋" w:eastAsia="仿宋_GB2312"/>
          <w:sz w:val="36"/>
          <w:szCs w:val="36"/>
          <w:highlight w:val="none"/>
          <w:lang w:val="en-US" w:eastAsia="zh-CN"/>
        </w:rPr>
        <w:t>2021年东疆新增一般债券0.38亿元，用于东部沿海岸线基础设施环境提升生态修复工程。</w:t>
      </w:r>
    </w:p>
    <w:p>
      <w:pPr>
        <w:keepNext w:val="0"/>
        <w:keepLines w:val="0"/>
        <w:widowControl/>
        <w:suppressLineNumbers w:val="0"/>
        <w:ind w:firstLine="722" w:firstLineChars="200"/>
        <w:jc w:val="left"/>
        <w:rPr>
          <w:rFonts w:hint="eastAsia" w:ascii="楷体_GB2312" w:hAnsi="楷体_GB2312" w:eastAsia="楷体_GB2312" w:cs="楷体_GB2312"/>
          <w:b/>
          <w:bCs/>
          <w:color w:val="000000"/>
          <w:kern w:val="0"/>
          <w:sz w:val="36"/>
          <w:szCs w:val="36"/>
          <w:highlight w:val="none"/>
          <w:lang w:val="en-US" w:eastAsia="zh-CN" w:bidi="ar"/>
        </w:rPr>
      </w:pPr>
      <w:r>
        <w:rPr>
          <w:rFonts w:ascii="楷体_GB2312" w:hAnsi="楷体_GB2312" w:eastAsia="楷体_GB2312" w:cs="楷体_GB2312"/>
          <w:b/>
          <w:bCs/>
          <w:color w:val="000000"/>
          <w:kern w:val="0"/>
          <w:sz w:val="36"/>
          <w:szCs w:val="36"/>
          <w:highlight w:val="none"/>
          <w:lang w:val="en-US" w:eastAsia="zh-CN" w:bidi="ar"/>
        </w:rPr>
        <w:t>（三）</w:t>
      </w:r>
      <w:r>
        <w:rPr>
          <w:rFonts w:hint="default" w:ascii="楷体_GB2312" w:hAnsi="楷体_GB2312" w:eastAsia="楷体_GB2312" w:cs="楷体_GB2312"/>
          <w:b/>
          <w:bCs/>
          <w:color w:val="000000"/>
          <w:kern w:val="0"/>
          <w:sz w:val="36"/>
          <w:szCs w:val="36"/>
          <w:highlight w:val="none"/>
          <w:lang w:val="en-US" w:eastAsia="zh-CN" w:bidi="ar"/>
        </w:rPr>
        <w:t>“</w:t>
      </w:r>
      <w:r>
        <w:rPr>
          <w:rFonts w:hint="eastAsia" w:ascii="楷体_GB2312" w:hAnsi="楷体_GB2312" w:eastAsia="楷体_GB2312" w:cs="楷体_GB2312"/>
          <w:b/>
          <w:bCs/>
          <w:color w:val="000000"/>
          <w:kern w:val="0"/>
          <w:sz w:val="36"/>
          <w:szCs w:val="36"/>
          <w:highlight w:val="none"/>
          <w:lang w:val="en-US" w:eastAsia="zh-CN" w:bidi="ar"/>
        </w:rPr>
        <w:t>三公</w:t>
      </w:r>
      <w:r>
        <w:rPr>
          <w:rFonts w:hint="default" w:ascii="楷体_GB2312" w:hAnsi="楷体_GB2312" w:eastAsia="楷体_GB2312" w:cs="楷体_GB2312"/>
          <w:b/>
          <w:bCs/>
          <w:color w:val="000000"/>
          <w:kern w:val="0"/>
          <w:sz w:val="36"/>
          <w:szCs w:val="36"/>
          <w:highlight w:val="none"/>
          <w:lang w:val="en-US" w:eastAsia="zh-CN" w:bidi="ar"/>
        </w:rPr>
        <w:t>”</w:t>
      </w:r>
      <w:r>
        <w:rPr>
          <w:rFonts w:hint="eastAsia" w:ascii="楷体_GB2312" w:hAnsi="楷体_GB2312" w:eastAsia="楷体_GB2312" w:cs="楷体_GB2312"/>
          <w:b/>
          <w:bCs/>
          <w:color w:val="000000"/>
          <w:kern w:val="0"/>
          <w:sz w:val="36"/>
          <w:szCs w:val="36"/>
          <w:highlight w:val="none"/>
          <w:lang w:val="en-US" w:eastAsia="zh-CN" w:bidi="ar"/>
        </w:rPr>
        <w:t>经费情况</w:t>
      </w:r>
    </w:p>
    <w:p>
      <w:pPr>
        <w:spacing w:line="640" w:lineRule="exact"/>
        <w:ind w:firstLine="720" w:firstLineChars="200"/>
        <w:rPr>
          <w:rFonts w:hint="eastAsia" w:ascii="仿宋_GB2312" w:hAnsi="仿宋" w:eastAsia="仿宋_GB2312"/>
          <w:sz w:val="36"/>
          <w:szCs w:val="36"/>
          <w:highlight w:val="none"/>
          <w:lang w:val="en-US" w:eastAsia="zh-CN"/>
        </w:rPr>
      </w:pPr>
      <w:r>
        <w:rPr>
          <w:rFonts w:hint="eastAsia" w:ascii="仿宋_GB2312" w:hAnsi="仿宋" w:eastAsia="仿宋_GB2312"/>
          <w:color w:val="auto"/>
          <w:sz w:val="36"/>
          <w:szCs w:val="36"/>
          <w:highlight w:val="none"/>
          <w:lang w:val="en-US" w:eastAsia="zh-CN"/>
        </w:rPr>
        <w:t>东疆财政拨款“三公”经费支出0.0038亿元，其中，公务用车购置及运行费0.0021亿元，全部为公务用车运行维护费，公务接待费0.0017亿元。</w:t>
      </w:r>
    </w:p>
    <w:p>
      <w:pPr>
        <w:keepNext w:val="0"/>
        <w:keepLines w:val="0"/>
        <w:widowControl/>
        <w:suppressLineNumbers w:val="0"/>
        <w:ind w:firstLine="722" w:firstLineChars="200"/>
        <w:jc w:val="left"/>
        <w:rPr>
          <w:rFonts w:ascii="楷体_GB2312" w:hAnsi="楷体_GB2312" w:eastAsia="楷体_GB2312" w:cs="楷体_GB2312"/>
          <w:b/>
          <w:bCs/>
          <w:color w:val="000000"/>
          <w:kern w:val="0"/>
          <w:sz w:val="36"/>
          <w:szCs w:val="36"/>
          <w:highlight w:val="none"/>
          <w:lang w:val="en-US" w:eastAsia="zh-CN" w:bidi="ar"/>
        </w:rPr>
      </w:pPr>
      <w:r>
        <w:rPr>
          <w:rFonts w:hint="eastAsia" w:ascii="楷体_GB2312" w:hAnsi="楷体_GB2312" w:eastAsia="楷体_GB2312" w:cs="楷体_GB2312"/>
          <w:b/>
          <w:bCs/>
          <w:color w:val="000000"/>
          <w:kern w:val="0"/>
          <w:sz w:val="36"/>
          <w:szCs w:val="36"/>
          <w:highlight w:val="none"/>
          <w:lang w:val="en-US" w:eastAsia="zh-CN" w:bidi="ar"/>
        </w:rPr>
        <w:t>（四）</w:t>
      </w:r>
      <w:r>
        <w:rPr>
          <w:rFonts w:ascii="楷体_GB2312" w:hAnsi="楷体_GB2312" w:eastAsia="楷体_GB2312" w:cs="楷体_GB2312"/>
          <w:b/>
          <w:bCs/>
          <w:color w:val="000000"/>
          <w:kern w:val="0"/>
          <w:sz w:val="36"/>
          <w:szCs w:val="36"/>
          <w:highlight w:val="none"/>
          <w:lang w:val="en-US" w:eastAsia="zh-CN" w:bidi="ar"/>
        </w:rPr>
        <w:t>绩效工作开展情况</w:t>
      </w:r>
    </w:p>
    <w:p>
      <w:pPr>
        <w:spacing w:line="640" w:lineRule="exact"/>
        <w:ind w:firstLine="720" w:firstLineChars="200"/>
        <w:rPr>
          <w:rFonts w:hint="eastAsia" w:ascii="仿宋_GB2312" w:hAnsi="仿宋" w:eastAsia="仿宋_GB2312"/>
          <w:sz w:val="36"/>
          <w:szCs w:val="36"/>
          <w:highlight w:val="none"/>
          <w:lang w:val="en-US" w:eastAsia="zh-CN"/>
        </w:rPr>
      </w:pPr>
      <w:r>
        <w:rPr>
          <w:rFonts w:hint="eastAsia" w:ascii="仿宋_GB2312" w:hAnsi="仿宋" w:eastAsia="仿宋_GB2312"/>
          <w:sz w:val="36"/>
          <w:szCs w:val="36"/>
          <w:highlight w:val="none"/>
          <w:lang w:val="en-US" w:eastAsia="zh-CN"/>
        </w:rPr>
        <w:t>按照上级财政部门有关要求，2021年东疆各部门预算绩效管理实现项目全覆盖，全面开展所有项目的绩效目标申报和预算绩效管理工作，并圆满完成部分重点项目绩效评价工作，进一步强化“花钱必问效，无效必问责”的预算管理要求，不断提升财政资金使用效益。</w:t>
      </w:r>
    </w:p>
    <w:p>
      <w:pPr>
        <w:spacing w:line="640" w:lineRule="exact"/>
        <w:ind w:firstLine="720" w:firstLineChars="200"/>
        <w:rPr>
          <w:rFonts w:hint="default" w:ascii="仿宋_GB2312" w:hAnsi="仿宋" w:eastAsia="仿宋_GB2312"/>
          <w:sz w:val="36"/>
          <w:szCs w:val="36"/>
          <w:highlight w:val="none"/>
          <w:lang w:val="en-US" w:eastAsia="zh-CN"/>
        </w:rPr>
      </w:pPr>
      <w:r>
        <w:rPr>
          <w:rFonts w:hint="eastAsia" w:ascii="黑体" w:hAnsi="黑体" w:eastAsia="黑体"/>
          <w:sz w:val="36"/>
          <w:szCs w:val="36"/>
          <w:highlight w:val="none"/>
          <w:lang w:val="en-US" w:eastAsia="zh-CN"/>
        </w:rPr>
        <w:t>二、</w:t>
      </w:r>
      <w:r>
        <w:rPr>
          <w:rFonts w:hint="default" w:ascii="黑体" w:hAnsi="黑体" w:eastAsia="黑体"/>
          <w:sz w:val="36"/>
          <w:szCs w:val="36"/>
          <w:highlight w:val="none"/>
          <w:lang w:val="en-US" w:eastAsia="zh-CN"/>
        </w:rPr>
        <w:t>202</w:t>
      </w:r>
      <w:r>
        <w:rPr>
          <w:rFonts w:hint="eastAsia" w:ascii="黑体" w:hAnsi="黑体" w:eastAsia="黑体"/>
          <w:sz w:val="36"/>
          <w:szCs w:val="36"/>
          <w:highlight w:val="none"/>
          <w:lang w:val="en-US" w:eastAsia="zh-CN"/>
        </w:rPr>
        <w:t>2年以来财政预算执行情况</w:t>
      </w:r>
    </w:p>
    <w:p>
      <w:pPr>
        <w:spacing w:line="640" w:lineRule="exact"/>
        <w:ind w:firstLine="720" w:firstLineChars="200"/>
        <w:rPr>
          <w:rFonts w:hint="eastAsia" w:ascii="仿宋_GB2312" w:hAnsi="仿宋" w:eastAsia="仿宋_GB2312"/>
          <w:sz w:val="36"/>
          <w:szCs w:val="36"/>
          <w:highlight w:val="none"/>
          <w:lang w:val="en-US" w:eastAsia="zh-CN"/>
        </w:rPr>
      </w:pPr>
      <w:bookmarkStart w:id="0" w:name="OLE_LINK1"/>
      <w:r>
        <w:rPr>
          <w:rFonts w:hint="default" w:ascii="仿宋_GB2312" w:hAnsi="仿宋" w:eastAsia="仿宋_GB2312"/>
          <w:sz w:val="36"/>
          <w:szCs w:val="36"/>
          <w:highlight w:val="none"/>
          <w:lang w:val="en-US" w:eastAsia="zh-CN"/>
        </w:rPr>
        <w:t>1至7月份，</w:t>
      </w:r>
      <w:r>
        <w:rPr>
          <w:rFonts w:hint="eastAsia" w:ascii="仿宋_GB2312" w:hAnsi="仿宋" w:eastAsia="仿宋_GB2312"/>
          <w:sz w:val="36"/>
          <w:szCs w:val="36"/>
          <w:highlight w:val="none"/>
          <w:lang w:val="en-US" w:eastAsia="zh-CN"/>
        </w:rPr>
        <w:t>东疆综合保税区</w:t>
      </w:r>
      <w:r>
        <w:rPr>
          <w:rFonts w:hint="default" w:ascii="仿宋_GB2312" w:hAnsi="仿宋" w:eastAsia="仿宋_GB2312"/>
          <w:sz w:val="36"/>
          <w:szCs w:val="36"/>
          <w:highlight w:val="none"/>
          <w:lang w:val="en-US" w:eastAsia="zh-CN"/>
        </w:rPr>
        <w:t>一般公共预算收入73.6亿元，完成年初预算64.4%，较去年同期73.7亿元减少0.1亿元，降幅0.1%，税收收入70.8亿元，降幅0.1%，税收占比96.1%；按照新的对外提供口径剔除留抵退税因素后，一般公共预算收入为83.76亿元，较去年同期可比口径73.7亿元增加10.06亿元，可比增幅13.6%。</w:t>
      </w:r>
      <w:bookmarkEnd w:id="0"/>
      <w:r>
        <w:rPr>
          <w:rFonts w:hint="eastAsia" w:ascii="仿宋_GB2312" w:hAnsi="仿宋" w:eastAsia="仿宋_GB2312"/>
          <w:sz w:val="36"/>
          <w:szCs w:val="36"/>
          <w:highlight w:val="none"/>
          <w:lang w:val="en-US" w:eastAsia="zh-CN"/>
        </w:rPr>
        <w:t>一般公共预算支出63.96亿元，完成年初预算44.57</w:t>
      </w:r>
      <w:r>
        <w:rPr>
          <w:rFonts w:hint="default" w:ascii="仿宋_GB2312" w:hAnsi="仿宋" w:eastAsia="仿宋_GB2312"/>
          <w:sz w:val="36"/>
          <w:szCs w:val="36"/>
          <w:highlight w:val="none"/>
          <w:lang w:val="en-US" w:eastAsia="zh-CN"/>
        </w:rPr>
        <w:t>%</w:t>
      </w:r>
      <w:r>
        <w:rPr>
          <w:rFonts w:hint="eastAsia" w:ascii="仿宋_GB2312" w:hAnsi="仿宋" w:eastAsia="仿宋_GB2312"/>
          <w:sz w:val="36"/>
          <w:szCs w:val="36"/>
          <w:highlight w:val="none"/>
          <w:lang w:val="en-US" w:eastAsia="zh-CN"/>
        </w:rPr>
        <w:t>，减少22.35</w:t>
      </w:r>
      <w:r>
        <w:rPr>
          <w:rFonts w:hint="default" w:ascii="仿宋_GB2312" w:hAnsi="仿宋" w:eastAsia="仿宋_GB2312"/>
          <w:sz w:val="36"/>
          <w:szCs w:val="36"/>
          <w:highlight w:val="none"/>
          <w:lang w:val="en-US" w:eastAsia="zh-CN"/>
        </w:rPr>
        <w:t>%</w:t>
      </w:r>
      <w:r>
        <w:rPr>
          <w:rFonts w:hint="eastAsia" w:ascii="仿宋_GB2312" w:hAnsi="仿宋" w:eastAsia="仿宋_GB2312"/>
          <w:sz w:val="36"/>
          <w:szCs w:val="36"/>
          <w:highlight w:val="none"/>
          <w:lang w:val="en-US" w:eastAsia="zh-CN"/>
        </w:rPr>
        <w:t>。预算执行主要特点：</w:t>
      </w:r>
    </w:p>
    <w:p>
      <w:pPr>
        <w:spacing w:line="640" w:lineRule="exact"/>
        <w:ind w:firstLine="720" w:firstLineChars="200"/>
        <w:rPr>
          <w:rFonts w:hint="default" w:ascii="仿宋_GB2312" w:hAnsi="仿宋" w:eastAsia="仿宋_GB2312"/>
          <w:sz w:val="36"/>
          <w:szCs w:val="36"/>
          <w:highlight w:val="none"/>
          <w:lang w:val="en-US" w:eastAsia="zh-CN"/>
        </w:rPr>
      </w:pPr>
      <w:r>
        <w:rPr>
          <w:rFonts w:hint="eastAsia" w:ascii="仿宋_GB2312" w:hAnsi="仿宋" w:eastAsia="仿宋_GB2312"/>
          <w:sz w:val="36"/>
          <w:szCs w:val="36"/>
          <w:highlight w:val="none"/>
          <w:lang w:val="en-US" w:eastAsia="zh-CN"/>
        </w:rPr>
        <w:t>一是收入持续增长。1-7月份完成年初预算64.4%，坚决落实好减税降费政策，全力克服经济下行和疫情双重影响。剔除减税降费因素后，一般公共预算收入较去年同期增加13.6%，呈现良好态势。</w:t>
      </w:r>
    </w:p>
    <w:p>
      <w:pPr>
        <w:ind w:firstLine="720" w:firstLineChars="200"/>
        <w:rPr>
          <w:highlight w:val="none"/>
        </w:rPr>
      </w:pPr>
      <w:r>
        <w:rPr>
          <w:rFonts w:hint="eastAsia" w:ascii="仿宋_GB2312" w:hAnsi="仿宋" w:eastAsia="仿宋_GB2312"/>
          <w:sz w:val="36"/>
          <w:szCs w:val="36"/>
          <w:highlight w:val="none"/>
          <w:lang w:val="en-US" w:eastAsia="zh-CN"/>
        </w:rPr>
        <w:t>二是落实真过紧日子要求，强化预算约束，集中财力保障重点支出。严格按照要求大力压减一般性支出和三公支出，对第三方购买服务严格审核把关，优先保证本年度必须执行的重点项目，把有限资金用在落实“三保”等经济社会发展急需领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ZjZjZGNjYzc1ZTRjM2U2MDc3NzhlMGNmYTJjZjIifQ=="/>
  </w:docVars>
  <w:rsids>
    <w:rsidRoot w:val="161D4BE5"/>
    <w:rsid w:val="02A4476B"/>
    <w:rsid w:val="09126158"/>
    <w:rsid w:val="0ABC3F80"/>
    <w:rsid w:val="161D4BE5"/>
    <w:rsid w:val="1B2A78EB"/>
    <w:rsid w:val="1DFD7DB0"/>
    <w:rsid w:val="28943F98"/>
    <w:rsid w:val="2C5D2EEC"/>
    <w:rsid w:val="3AB105AA"/>
    <w:rsid w:val="41466E72"/>
    <w:rsid w:val="41D76380"/>
    <w:rsid w:val="42BF18E0"/>
    <w:rsid w:val="47B57F53"/>
    <w:rsid w:val="5B853A54"/>
    <w:rsid w:val="5DA4EFAC"/>
    <w:rsid w:val="67087B42"/>
    <w:rsid w:val="673459DD"/>
    <w:rsid w:val="69B471A8"/>
    <w:rsid w:val="726208AB"/>
    <w:rsid w:val="78542BE7"/>
    <w:rsid w:val="79F2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983</Words>
  <Characters>1138</Characters>
  <Lines>0</Lines>
  <Paragraphs>0</Paragraphs>
  <TotalTime>14</TotalTime>
  <ScaleCrop>false</ScaleCrop>
  <LinksUpToDate>false</LinksUpToDate>
  <CharactersWithSpaces>1171</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2022-06-20T14:34:00Z</dcterms:created>
  <dc:creator>小萍</dc:creator>
  <cp:lastModifiedBy>kylin</cp:lastModifiedBy>
  <cp:lastPrinted>2022-11-03T16:39:00Z</cp:lastPrinted>
  <dcterms:modified xsi:type="dcterms:W3CDTF">2022-11-08T09:58:48Z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ADA919346E8D4FB1BC136FBD09989902</vt:lpwstr>
  </property>
</Properties>
</file>