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color w:val="000000"/>
          <w:sz w:val="44"/>
          <w:szCs w:val="44"/>
        </w:rPr>
      </w:pPr>
      <w:bookmarkStart w:id="0" w:name="_Toc153282009"/>
    </w:p>
    <w:p>
      <w:pPr>
        <w:spacing w:line="640" w:lineRule="exact"/>
        <w:jc w:val="center"/>
        <w:rPr>
          <w:rFonts w:hint="eastAsia" w:ascii="方正小标宋简体" w:eastAsia="方正小标宋简体"/>
          <w:color w:val="000000"/>
          <w:sz w:val="44"/>
          <w:szCs w:val="44"/>
        </w:rPr>
      </w:pPr>
      <w:r>
        <w:rPr>
          <w:rFonts w:hint="eastAsia" w:eastAsia="方正小标宋简体"/>
          <w:color w:val="000000"/>
          <w:sz w:val="44"/>
          <w:szCs w:val="44"/>
        </w:rPr>
        <w:t>天津港保税区</w:t>
      </w:r>
      <w:r>
        <w:rPr>
          <w:rFonts w:eastAsia="方正小标宋简体"/>
          <w:color w:val="000000"/>
          <w:sz w:val="44"/>
          <w:szCs w:val="44"/>
        </w:rPr>
        <w:t>管理委员会</w:t>
      </w:r>
      <w:r>
        <w:rPr>
          <w:rFonts w:hint="eastAsia" w:ascii="方正小标宋简体" w:eastAsia="方正小标宋简体"/>
          <w:color w:val="000000"/>
          <w:sz w:val="44"/>
          <w:szCs w:val="44"/>
          <w:lang w:val="en"/>
        </w:rPr>
        <w:t>关于印发</w:t>
      </w:r>
      <w:r>
        <w:rPr>
          <w:rFonts w:hint="eastAsia" w:ascii="方正小标宋简体" w:eastAsia="方正小标宋简体"/>
          <w:color w:val="000000"/>
          <w:sz w:val="44"/>
          <w:szCs w:val="44"/>
        </w:rPr>
        <w:t>《天津港</w:t>
      </w:r>
    </w:p>
    <w:p>
      <w:pPr>
        <w:spacing w:line="64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保税区石油天然气长输管道事故应急</w:t>
      </w:r>
    </w:p>
    <w:p>
      <w:pPr>
        <w:spacing w:line="640" w:lineRule="exact"/>
        <w:jc w:val="center"/>
        <w:rPr>
          <w:rFonts w:ascii="方正小标宋简体" w:eastAsia="方正小标宋简体"/>
          <w:color w:val="000000"/>
          <w:sz w:val="44"/>
          <w:szCs w:val="44"/>
          <w:lang w:val="en"/>
        </w:rPr>
      </w:pPr>
      <w:r>
        <w:rPr>
          <w:rFonts w:hint="eastAsia" w:ascii="方正小标宋简体" w:eastAsia="方正小标宋简体"/>
          <w:color w:val="000000"/>
          <w:sz w:val="44"/>
          <w:szCs w:val="44"/>
        </w:rPr>
        <w:t>预案》</w:t>
      </w:r>
      <w:r>
        <w:rPr>
          <w:rFonts w:ascii="方正小标宋简体" w:eastAsia="方正小标宋简体"/>
          <w:color w:val="000000"/>
          <w:sz w:val="44"/>
          <w:szCs w:val="44"/>
          <w:lang w:val="en"/>
        </w:rPr>
        <w:t>的</w:t>
      </w:r>
      <w:r>
        <w:rPr>
          <w:rFonts w:hint="eastAsia" w:ascii="方正小标宋简体" w:eastAsia="方正小标宋简体"/>
          <w:color w:val="000000"/>
          <w:sz w:val="44"/>
          <w:szCs w:val="44"/>
          <w:lang w:val="en"/>
        </w:rPr>
        <w:t>通知</w:t>
      </w:r>
    </w:p>
    <w:p>
      <w:pPr>
        <w:snapToGrid w:val="0"/>
        <w:spacing w:line="560" w:lineRule="exact"/>
        <w:ind w:firstLine="880" w:firstLineChars="200"/>
        <w:jc w:val="both"/>
        <w:outlineLvl w:val="0"/>
        <w:rPr>
          <w:rFonts w:ascii="方正小标宋简体" w:eastAsia="方正小标宋简体"/>
          <w:color w:val="000000"/>
          <w:sz w:val="44"/>
          <w:szCs w:val="44"/>
        </w:rPr>
      </w:pPr>
    </w:p>
    <w:p>
      <w:pPr>
        <w:snapToGrid w:val="0"/>
        <w:spacing w:line="560" w:lineRule="exact"/>
        <w:jc w:val="left"/>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各有关单位：</w:t>
      </w:r>
    </w:p>
    <w:p>
      <w:pPr>
        <w:snapToGrid w:val="0"/>
        <w:spacing w:line="560" w:lineRule="exact"/>
        <w:ind w:firstLine="640" w:firstLineChars="200"/>
        <w:jc w:val="left"/>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现将《天津港保税区石油天然气长输管道事故应急预案》印发给你们，请严格遵照执行。</w:t>
      </w:r>
    </w:p>
    <w:p>
      <w:pPr>
        <w:snapToGrid w:val="0"/>
        <w:spacing w:line="440" w:lineRule="exact"/>
        <w:ind w:firstLine="640" w:firstLineChars="200"/>
        <w:jc w:val="left"/>
        <w:outlineLvl w:val="0"/>
        <w:rPr>
          <w:rFonts w:ascii="仿宋_GB2312" w:hAnsi="仿宋_GB2312" w:eastAsia="仿宋_GB2312" w:cs="仿宋_GB2312"/>
          <w:color w:val="000000"/>
          <w:sz w:val="32"/>
          <w:szCs w:val="32"/>
        </w:rPr>
      </w:pPr>
    </w:p>
    <w:p>
      <w:pPr>
        <w:snapToGrid w:val="0"/>
        <w:spacing w:line="440" w:lineRule="exact"/>
        <w:ind w:firstLine="640" w:firstLineChars="200"/>
        <w:jc w:val="left"/>
        <w:outlineLvl w:val="0"/>
        <w:rPr>
          <w:rFonts w:hint="eastAsia" w:ascii="仿宋_GB2312" w:hAnsi="仿宋_GB2312" w:eastAsia="仿宋_GB2312" w:cs="仿宋_GB2312"/>
          <w:color w:val="000000"/>
          <w:sz w:val="32"/>
          <w:szCs w:val="32"/>
        </w:rPr>
      </w:pPr>
    </w:p>
    <w:p>
      <w:pPr>
        <w:pStyle w:val="2"/>
        <w:snapToGrid w:val="0"/>
        <w:spacing w:before="0" w:after="0" w:line="440" w:lineRule="exact"/>
        <w:ind w:firstLine="643" w:firstLineChars="200"/>
        <w:jc w:val="left"/>
        <w:outlineLvl w:val="0"/>
        <w:rPr>
          <w:rFonts w:hint="eastAsia"/>
          <w:color w:val="000000"/>
          <w:lang w:val="en-US"/>
        </w:rPr>
      </w:pPr>
    </w:p>
    <w:p>
      <w:pPr>
        <w:snapToGrid/>
        <w:spacing w:line="440" w:lineRule="exact"/>
        <w:ind w:firstLine="480" w:firstLineChars="200"/>
        <w:jc w:val="both"/>
        <w:outlineLvl w:val="9"/>
        <w:rPr>
          <w:rFonts w:ascii="Times New Roman" w:hAnsi="Times New Roman" w:eastAsia="宋体" w:cs="Times New Roman"/>
          <w:color w:val="000000"/>
          <w:sz w:val="24"/>
          <w:szCs w:val="24"/>
        </w:rPr>
      </w:pPr>
    </w:p>
    <w:p>
      <w:pPr>
        <w:snapToGrid w:val="0"/>
        <w:spacing w:line="560" w:lineRule="exact"/>
        <w:ind w:firstLine="640" w:firstLineChars="200"/>
        <w:jc w:val="left"/>
        <w:outlineLvl w:val="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202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br w:type="textWrapping"/>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此件主动公开）</w:t>
      </w:r>
    </w:p>
    <w:p>
      <w:pPr>
        <w:snapToGrid/>
        <w:spacing w:line="640" w:lineRule="exact"/>
        <w:jc w:val="center"/>
        <w:outlineLvl w:val="9"/>
        <w:rPr>
          <w:rFonts w:hint="eastAsia" w:ascii="方正小标宋简体" w:eastAsia="方正小标宋简体"/>
          <w:color w:val="000000"/>
          <w:sz w:val="44"/>
          <w:szCs w:val="44"/>
        </w:rPr>
      </w:pPr>
      <w:r>
        <w:rPr>
          <w:rFonts w:ascii="方正小标宋简体" w:eastAsia="方正小标宋简体"/>
          <w:sz w:val="44"/>
          <w:szCs w:val="44"/>
        </w:rPr>
        <w:br w:type="page"/>
      </w:r>
      <w:r>
        <w:rPr>
          <w:rFonts w:hint="eastAsia" w:ascii="方正小标宋简体" w:eastAsia="方正小标宋简体"/>
          <w:color w:val="000000"/>
          <w:sz w:val="44"/>
          <w:szCs w:val="44"/>
        </w:rPr>
        <w:t>天津港保税区</w:t>
      </w:r>
      <w:bookmarkEnd w:id="0"/>
      <w:bookmarkStart w:id="1" w:name="_Toc153282010"/>
      <w:r>
        <w:rPr>
          <w:rFonts w:hint="eastAsia" w:ascii="方正小标宋简体" w:eastAsia="方正小标宋简体"/>
          <w:color w:val="000000"/>
          <w:sz w:val="44"/>
          <w:szCs w:val="44"/>
        </w:rPr>
        <w:t>石油天然气长输管道事故</w:t>
      </w:r>
    </w:p>
    <w:p>
      <w:pPr>
        <w:snapToGrid/>
        <w:spacing w:line="640" w:lineRule="exact"/>
        <w:jc w:val="center"/>
        <w:outlineLvl w:val="9"/>
        <w:rPr>
          <w:rFonts w:ascii="方正小标宋简体" w:eastAsia="方正小标宋简体"/>
          <w:color w:val="000000"/>
          <w:sz w:val="44"/>
          <w:szCs w:val="44"/>
        </w:rPr>
      </w:pPr>
      <w:r>
        <w:rPr>
          <w:rFonts w:hint="eastAsia" w:ascii="方正小标宋简体" w:eastAsia="方正小标宋简体"/>
          <w:color w:val="000000"/>
          <w:sz w:val="44"/>
          <w:szCs w:val="44"/>
        </w:rPr>
        <w:t>应急预案</w:t>
      </w:r>
      <w:bookmarkEnd w:id="1"/>
    </w:p>
    <w:p>
      <w:pPr>
        <w:pStyle w:val="2"/>
        <w:spacing w:before="0" w:after="0" w:line="520" w:lineRule="exact"/>
        <w:ind w:firstLine="640" w:firstLineChars="200"/>
        <w:jc w:val="both"/>
        <w:outlineLvl w:val="9"/>
        <w:rPr>
          <w:rFonts w:hint="eastAsia" w:ascii="仿宋_GB2312" w:eastAsia="仿宋_GB2312"/>
          <w:b w:val="0"/>
          <w:color w:val="000000"/>
          <w:lang w:val="en-US"/>
        </w:rPr>
      </w:pPr>
    </w:p>
    <w:p>
      <w:pPr>
        <w:pStyle w:val="6"/>
        <w:keepNext w:val="0"/>
        <w:keepLines w:val="0"/>
        <w:numPr>
          <w:ilvl w:val="0"/>
          <w:numId w:val="0"/>
        </w:numPr>
        <w:pBdr>
          <w:bottom w:val="none" w:color="auto" w:sz="0" w:space="0"/>
        </w:pBdr>
        <w:spacing w:line="520" w:lineRule="exact"/>
        <w:ind w:firstLine="640" w:firstLineChars="200"/>
        <w:jc w:val="both"/>
        <w:outlineLvl w:val="0"/>
        <w:rPr>
          <w:rFonts w:hint="eastAsia" w:ascii="黑体" w:hAnsi="黑体" w:eastAsia="黑体" w:cs="黑体"/>
          <w:bCs/>
          <w:color w:val="000000"/>
          <w:kern w:val="44"/>
          <w:sz w:val="32"/>
          <w:szCs w:val="32"/>
          <w:lang w:val="zh-CN"/>
        </w:rPr>
      </w:pPr>
      <w:bookmarkStart w:id="2" w:name="_Toc153282012"/>
      <w:r>
        <w:rPr>
          <w:rFonts w:hint="eastAsia" w:ascii="黑体" w:hAnsi="黑体" w:eastAsia="黑体" w:cs="黑体"/>
          <w:bCs/>
          <w:color w:val="000000"/>
          <w:kern w:val="44"/>
          <w:sz w:val="32"/>
          <w:szCs w:val="32"/>
        </w:rPr>
        <w:t xml:space="preserve">1 </w:t>
      </w:r>
      <w:bookmarkStart w:id="3" w:name="_Toc97825463"/>
      <w:r>
        <w:rPr>
          <w:rFonts w:hint="eastAsia" w:ascii="黑体" w:hAnsi="黑体" w:eastAsia="黑体" w:cs="黑体"/>
          <w:bCs/>
          <w:color w:val="000000"/>
          <w:kern w:val="44"/>
          <w:sz w:val="32"/>
          <w:szCs w:val="32"/>
          <w:lang w:val="zh-CN"/>
        </w:rPr>
        <w:t>总则</w:t>
      </w:r>
      <w:bookmarkEnd w:id="2"/>
      <w:bookmarkEnd w:id="3"/>
    </w:p>
    <w:p>
      <w:pPr>
        <w:keepNext w:val="0"/>
        <w:keepLines w:val="0"/>
        <w:snapToGrid w:val="0"/>
        <w:spacing w:line="520" w:lineRule="exact"/>
        <w:ind w:firstLine="643" w:firstLineChars="200"/>
        <w:outlineLvl w:val="1"/>
        <w:rPr>
          <w:rFonts w:hint="eastAsia" w:ascii="楷体_GB2312" w:eastAsia="楷体_GB2312"/>
          <w:b/>
          <w:bCs/>
          <w:color w:val="000000"/>
          <w:sz w:val="32"/>
          <w:szCs w:val="32"/>
        </w:rPr>
      </w:pPr>
      <w:bookmarkStart w:id="4" w:name="_Toc97825464"/>
      <w:bookmarkStart w:id="5" w:name="_Toc10816"/>
      <w:bookmarkStart w:id="6" w:name="_Toc153282013"/>
      <w:r>
        <w:rPr>
          <w:rFonts w:hint="eastAsia" w:ascii="楷体_GB2312" w:eastAsia="楷体_GB2312"/>
          <w:b/>
          <w:bCs/>
          <w:color w:val="000000"/>
          <w:sz w:val="32"/>
          <w:szCs w:val="32"/>
        </w:rPr>
        <w:t>1.1 编制目的</w:t>
      </w:r>
      <w:bookmarkEnd w:id="4"/>
      <w:bookmarkEnd w:id="5"/>
      <w:bookmarkEnd w:id="6"/>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有效预防和处置</w:t>
      </w:r>
      <w:r>
        <w:rPr>
          <w:rFonts w:hint="eastAsia" w:ascii="仿宋_GB2312" w:eastAsia="仿宋_GB2312"/>
          <w:color w:val="000000"/>
          <w:spacing w:val="0"/>
          <w:sz w:val="32"/>
          <w:szCs w:val="32"/>
        </w:rPr>
        <w:t>天津港保税区（以下简称“保税区”）</w:t>
      </w:r>
      <w:r>
        <w:rPr>
          <w:rFonts w:hint="eastAsia" w:ascii="仿宋_GB2312" w:eastAsia="仿宋_GB2312"/>
          <w:color w:val="000000"/>
          <w:spacing w:val="0"/>
          <w:sz w:val="32"/>
          <w:szCs w:val="32"/>
          <w:lang w:val="zh-CN"/>
        </w:rPr>
        <w:t>石油、天然气长输管道（以下简称“油气长输管道”）事故，规范应急响应程序，提高应急处置能力，最大限度降低事故危害程度，维护国家能源安全和公共安全，促进经济社会协调健康发展，维护社会稳定。</w:t>
      </w:r>
    </w:p>
    <w:p>
      <w:pPr>
        <w:keepNext w:val="0"/>
        <w:keepLines w:val="0"/>
        <w:snapToGrid w:val="0"/>
        <w:spacing w:line="520" w:lineRule="exact"/>
        <w:ind w:firstLine="643" w:firstLineChars="200"/>
        <w:outlineLvl w:val="1"/>
        <w:rPr>
          <w:rFonts w:hint="eastAsia" w:ascii="楷体_GB2312" w:eastAsia="楷体_GB2312"/>
          <w:b/>
          <w:bCs/>
          <w:color w:val="000000"/>
          <w:sz w:val="32"/>
          <w:szCs w:val="32"/>
        </w:rPr>
      </w:pPr>
      <w:bookmarkStart w:id="7" w:name="_Toc20755"/>
      <w:bookmarkStart w:id="8" w:name="_Toc97825465"/>
      <w:bookmarkStart w:id="9" w:name="_Toc153282014"/>
      <w:r>
        <w:rPr>
          <w:rFonts w:hint="eastAsia" w:ascii="楷体_GB2312" w:eastAsia="楷体_GB2312"/>
          <w:b/>
          <w:bCs/>
          <w:color w:val="000000"/>
          <w:sz w:val="32"/>
          <w:szCs w:val="32"/>
        </w:rPr>
        <w:t>1.2 编制依据</w:t>
      </w:r>
      <w:bookmarkEnd w:id="7"/>
      <w:bookmarkEnd w:id="8"/>
      <w:bookmarkEnd w:id="9"/>
    </w:p>
    <w:p>
      <w:pPr>
        <w:adjustRightInd w:val="0"/>
        <w:snapToGrid w:val="0"/>
        <w:spacing w:line="520" w:lineRule="exact"/>
        <w:ind w:firstLine="640" w:firstLineChars="200"/>
        <w:rPr>
          <w:rFonts w:hint="eastAsia" w:ascii="仿宋_GB2312" w:eastAsia="仿宋_GB2312"/>
          <w:color w:val="000000"/>
          <w:sz w:val="32"/>
          <w:szCs w:val="32"/>
        </w:rPr>
      </w:pPr>
      <w:bookmarkStart w:id="10" w:name="OLE_LINK6"/>
      <w:bookmarkStart w:id="11" w:name="OLE_LINK5"/>
      <w:r>
        <w:rPr>
          <w:rFonts w:hint="eastAsia" w:ascii="仿宋_GB2312" w:eastAsia="仿宋_GB2312"/>
          <w:color w:val="000000"/>
          <w:sz w:val="32"/>
          <w:szCs w:val="32"/>
        </w:rPr>
        <w:t>依据《中华人民共和国突发事件应对法》</w:t>
      </w:r>
      <w:r>
        <w:rPr>
          <w:rFonts w:hint="eastAsia" w:ascii="仿宋_GB2312" w:eastAsia="仿宋_GB2312"/>
          <w:color w:val="000000"/>
          <w:sz w:val="32"/>
          <w:szCs w:val="32"/>
          <w:lang w:val="zh-CN"/>
        </w:rPr>
        <w:t>《中华人民共和国石油天然气管道保护法》</w:t>
      </w:r>
      <w:r>
        <w:rPr>
          <w:rFonts w:hint="eastAsia" w:ascii="仿宋_GB2312" w:eastAsia="仿宋_GB2312"/>
          <w:color w:val="000000"/>
          <w:sz w:val="32"/>
          <w:szCs w:val="32"/>
        </w:rPr>
        <w:t>《中华人民共和国安全生产法》《危险化学品安全管理条例》《生产安全事故报告和调查处理条例》《天津市石油天然气管道保护条例》《天津市滨海新区石油天然气长输管道事故应急预案》《天津港保税区突发事件总体应急预案》</w:t>
      </w:r>
      <w:r>
        <w:rPr>
          <w:rFonts w:hint="eastAsia" w:ascii="仿宋_GB2312" w:eastAsia="仿宋_GB2312"/>
          <w:color w:val="000000"/>
          <w:sz w:val="32"/>
          <w:szCs w:val="32"/>
          <w:lang w:val="zh-CN"/>
        </w:rPr>
        <w:t>等法律、法规、规章和文件</w:t>
      </w:r>
      <w:r>
        <w:rPr>
          <w:rFonts w:hint="eastAsia" w:ascii="仿宋_GB2312" w:eastAsia="仿宋_GB2312"/>
          <w:color w:val="000000"/>
          <w:sz w:val="32"/>
          <w:szCs w:val="32"/>
        </w:rPr>
        <w:t>的规定</w:t>
      </w:r>
      <w:r>
        <w:rPr>
          <w:rFonts w:hint="eastAsia" w:ascii="仿宋_GB2312" w:eastAsia="仿宋_GB2312"/>
          <w:color w:val="000000"/>
          <w:sz w:val="32"/>
          <w:szCs w:val="32"/>
          <w:lang w:val="zh-CN"/>
        </w:rPr>
        <w:t>，</w:t>
      </w:r>
      <w:r>
        <w:rPr>
          <w:rFonts w:hint="eastAsia" w:ascii="仿宋_GB2312" w:eastAsia="仿宋_GB2312"/>
          <w:color w:val="000000"/>
          <w:spacing w:val="0"/>
          <w:sz w:val="32"/>
          <w:szCs w:val="32"/>
        </w:rPr>
        <w:t>结合保税区实际，</w:t>
      </w:r>
      <w:r>
        <w:rPr>
          <w:rFonts w:hint="eastAsia" w:ascii="仿宋_GB2312" w:eastAsia="仿宋_GB2312"/>
          <w:color w:val="000000"/>
          <w:sz w:val="32"/>
          <w:szCs w:val="32"/>
          <w:lang w:val="zh-CN"/>
        </w:rPr>
        <w:t>制定本预案</w:t>
      </w:r>
      <w:r>
        <w:rPr>
          <w:rFonts w:hint="eastAsia" w:ascii="仿宋_GB2312" w:eastAsia="仿宋_GB2312"/>
          <w:color w:val="000000"/>
          <w:sz w:val="32"/>
          <w:szCs w:val="32"/>
        </w:rPr>
        <w:t>。</w:t>
      </w:r>
      <w:bookmarkEnd w:id="10"/>
      <w:bookmarkEnd w:id="11"/>
    </w:p>
    <w:p>
      <w:pPr>
        <w:keepNext w:val="0"/>
        <w:keepLines w:val="0"/>
        <w:snapToGrid w:val="0"/>
        <w:spacing w:line="520" w:lineRule="exact"/>
        <w:ind w:firstLine="643" w:firstLineChars="200"/>
        <w:outlineLvl w:val="1"/>
        <w:rPr>
          <w:rFonts w:hint="eastAsia" w:ascii="楷体_GB2312" w:eastAsia="楷体_GB2312"/>
          <w:b/>
          <w:bCs/>
          <w:color w:val="000000"/>
          <w:sz w:val="32"/>
          <w:szCs w:val="32"/>
        </w:rPr>
      </w:pPr>
      <w:bookmarkStart w:id="12" w:name="_Toc153282015"/>
      <w:bookmarkStart w:id="13" w:name="_Toc97825466"/>
      <w:bookmarkStart w:id="14" w:name="_Toc5430"/>
      <w:r>
        <w:rPr>
          <w:rFonts w:hint="eastAsia" w:ascii="楷体_GB2312" w:eastAsia="楷体_GB2312"/>
          <w:b/>
          <w:bCs/>
          <w:color w:val="000000"/>
          <w:sz w:val="32"/>
          <w:szCs w:val="32"/>
        </w:rPr>
        <w:t>1.3 适用范围</w:t>
      </w:r>
      <w:bookmarkEnd w:id="12"/>
      <w:bookmarkEnd w:id="13"/>
      <w:bookmarkEnd w:id="14"/>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本预案适用于</w:t>
      </w:r>
      <w:r>
        <w:rPr>
          <w:rFonts w:hint="eastAsia" w:ascii="仿宋_GB2312" w:eastAsia="仿宋_GB2312"/>
          <w:color w:val="000000"/>
          <w:spacing w:val="0"/>
          <w:sz w:val="32"/>
          <w:szCs w:val="32"/>
        </w:rPr>
        <w:t>保税区</w:t>
      </w:r>
      <w:r>
        <w:rPr>
          <w:rFonts w:hint="eastAsia" w:ascii="仿宋_GB2312" w:eastAsia="仿宋_GB2312"/>
          <w:color w:val="000000"/>
          <w:spacing w:val="0"/>
          <w:sz w:val="32"/>
          <w:szCs w:val="32"/>
          <w:lang w:val="zh-CN"/>
        </w:rPr>
        <w:t>行政区域内陆上油气长输管道</w:t>
      </w:r>
      <w:r>
        <w:rPr>
          <w:rFonts w:hint="eastAsia" w:ascii="仿宋_GB2312" w:eastAsia="仿宋_GB2312"/>
          <w:color w:val="000000"/>
          <w:spacing w:val="0"/>
          <w:sz w:val="32"/>
          <w:szCs w:val="32"/>
        </w:rPr>
        <w:t>在运行、停止运行、封存、报废等过程中，发生的泄漏、火灾或者爆炸等事故</w:t>
      </w:r>
      <w:r>
        <w:rPr>
          <w:rFonts w:hint="eastAsia" w:ascii="仿宋_GB2312" w:eastAsia="仿宋_GB2312"/>
          <w:color w:val="000000"/>
          <w:spacing w:val="0"/>
          <w:sz w:val="32"/>
          <w:szCs w:val="32"/>
          <w:lang w:val="zh-CN"/>
        </w:rPr>
        <w:t>的应急处置。</w:t>
      </w:r>
    </w:p>
    <w:p>
      <w:pPr>
        <w:adjustRightInd w:val="0"/>
        <w:snapToGrid w:val="0"/>
        <w:spacing w:line="52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本预案与</w:t>
      </w:r>
      <w:r>
        <w:rPr>
          <w:rFonts w:hint="eastAsia" w:ascii="仿宋_GB2312" w:eastAsia="仿宋_GB2312"/>
          <w:color w:val="000000"/>
          <w:sz w:val="32"/>
          <w:szCs w:val="32"/>
        </w:rPr>
        <w:t>《天津市滨海新区石油天然气长输管道事故应急预案》《天津港保税区突发事件总体应急预案》《天津港保税区危险化学品事故应急预案》</w:t>
      </w:r>
      <w:r>
        <w:rPr>
          <w:rFonts w:hint="eastAsia" w:ascii="仿宋_GB2312" w:eastAsia="仿宋_GB2312"/>
          <w:color w:val="000000"/>
          <w:spacing w:val="0"/>
          <w:sz w:val="32"/>
          <w:szCs w:val="32"/>
        </w:rPr>
        <w:t>相衔接。对各成员单位、油气长输管道企业制定油气长输管道事故相关的应急预案或保障方案具有指导作用。</w:t>
      </w:r>
    </w:p>
    <w:p>
      <w:pPr>
        <w:keepNext w:val="0"/>
        <w:keepLines w:val="0"/>
        <w:snapToGrid w:val="0"/>
        <w:spacing w:line="520" w:lineRule="exact"/>
        <w:ind w:firstLine="643" w:firstLineChars="200"/>
        <w:outlineLvl w:val="1"/>
        <w:rPr>
          <w:rFonts w:hint="eastAsia" w:ascii="楷体_GB2312" w:eastAsia="楷体_GB2312"/>
          <w:b/>
          <w:bCs/>
          <w:color w:val="000000"/>
          <w:sz w:val="32"/>
          <w:szCs w:val="32"/>
        </w:rPr>
      </w:pPr>
      <w:bookmarkStart w:id="15" w:name="_Toc153282016"/>
      <w:bookmarkStart w:id="16" w:name="_Toc27732"/>
      <w:bookmarkStart w:id="17" w:name="_Toc97825467"/>
      <w:r>
        <w:rPr>
          <w:rFonts w:hint="eastAsia" w:ascii="楷体_GB2312" w:eastAsia="楷体_GB2312"/>
          <w:b/>
          <w:bCs/>
          <w:color w:val="000000"/>
          <w:sz w:val="32"/>
          <w:szCs w:val="32"/>
        </w:rPr>
        <w:t>1.4 工作原则</w:t>
      </w:r>
      <w:bookmarkEnd w:id="15"/>
      <w:bookmarkEnd w:id="16"/>
      <w:bookmarkEnd w:id="17"/>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1）坚持以人为本，预防为主。始终把保障人民群众的生命健康和财产安全放在首位，完善机制，强化措施。贯彻落实安全第一、预防为主、综合治理的方针，坚持预防与应急处置相结合，加强防范，最大限度减少事故发生和人员、财产损失。</w:t>
      </w:r>
    </w:p>
    <w:p>
      <w:pPr>
        <w:adjustRightInd w:val="0"/>
        <w:snapToGrid w:val="0"/>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pacing w:val="0"/>
          <w:sz w:val="32"/>
          <w:szCs w:val="32"/>
          <w:lang w:val="zh-CN"/>
        </w:rPr>
        <w:t>（2）坚持统一指挥，</w:t>
      </w:r>
      <w:r>
        <w:rPr>
          <w:rFonts w:hint="eastAsia" w:ascii="仿宋_GB2312" w:eastAsia="仿宋_GB2312"/>
          <w:color w:val="000000"/>
          <w:spacing w:val="0"/>
          <w:sz w:val="32"/>
          <w:szCs w:val="32"/>
        </w:rPr>
        <w:t>分工负责</w:t>
      </w:r>
      <w:r>
        <w:rPr>
          <w:rFonts w:hint="eastAsia" w:ascii="仿宋_GB2312" w:eastAsia="仿宋_GB2312"/>
          <w:color w:val="000000"/>
          <w:spacing w:val="0"/>
          <w:sz w:val="32"/>
          <w:szCs w:val="32"/>
          <w:lang w:val="zh-CN"/>
        </w:rPr>
        <w:t>。</w:t>
      </w:r>
      <w:r>
        <w:rPr>
          <w:rFonts w:hint="eastAsia" w:ascii="仿宋_GB2312" w:eastAsia="仿宋_GB2312"/>
          <w:color w:val="000000"/>
          <w:sz w:val="32"/>
          <w:szCs w:val="32"/>
          <w:lang w:val="zh-CN"/>
        </w:rPr>
        <w:t>在保税区管委会的统一领导下，保税区各有关职能部门按照各自职责和权限，</w:t>
      </w:r>
      <w:r>
        <w:rPr>
          <w:rFonts w:hint="eastAsia" w:ascii="仿宋_GB2312" w:eastAsia="仿宋_GB2312"/>
          <w:color w:val="000000"/>
          <w:sz w:val="32"/>
          <w:szCs w:val="32"/>
        </w:rPr>
        <w:t>负责油气长输管道事故应急救援工作。</w:t>
      </w:r>
      <w:r>
        <w:rPr>
          <w:rFonts w:hint="eastAsia" w:ascii="仿宋_GB2312" w:eastAsia="仿宋_GB2312"/>
          <w:color w:val="000000"/>
          <w:spacing w:val="0"/>
          <w:sz w:val="32"/>
          <w:szCs w:val="32"/>
        </w:rPr>
        <w:t>管道企业</w:t>
      </w:r>
      <w:r>
        <w:rPr>
          <w:rFonts w:hint="eastAsia" w:ascii="仿宋_GB2312" w:eastAsia="仿宋_GB2312"/>
          <w:color w:val="000000"/>
          <w:spacing w:val="0"/>
          <w:sz w:val="32"/>
          <w:szCs w:val="32"/>
          <w:lang w:val="zh-CN"/>
        </w:rPr>
        <w:t>认真履行</w:t>
      </w:r>
      <w:r>
        <w:rPr>
          <w:rFonts w:hint="eastAsia" w:ascii="仿宋_GB2312" w:eastAsia="仿宋_GB2312"/>
          <w:color w:val="000000"/>
          <w:spacing w:val="0"/>
          <w:sz w:val="32"/>
          <w:szCs w:val="32"/>
        </w:rPr>
        <w:t>企业</w:t>
      </w:r>
      <w:r>
        <w:rPr>
          <w:rFonts w:hint="eastAsia" w:ascii="仿宋_GB2312" w:eastAsia="仿宋_GB2312"/>
          <w:color w:val="000000"/>
          <w:spacing w:val="0"/>
          <w:sz w:val="32"/>
          <w:szCs w:val="32"/>
          <w:lang w:val="zh-CN"/>
        </w:rPr>
        <w:t>主体责任，</w:t>
      </w:r>
      <w:r>
        <w:rPr>
          <w:rFonts w:hint="eastAsia" w:ascii="仿宋_GB2312" w:eastAsia="仿宋_GB2312"/>
          <w:color w:val="000000"/>
          <w:spacing w:val="0"/>
          <w:sz w:val="32"/>
          <w:szCs w:val="32"/>
        </w:rPr>
        <w:t>充分发挥企业应急救援力量，开展油气长输管道</w:t>
      </w:r>
      <w:r>
        <w:rPr>
          <w:rFonts w:hint="eastAsia" w:ascii="仿宋_GB2312" w:eastAsia="仿宋_GB2312"/>
          <w:color w:val="000000"/>
          <w:spacing w:val="0"/>
          <w:sz w:val="32"/>
          <w:szCs w:val="32"/>
          <w:lang w:val="zh-CN"/>
        </w:rPr>
        <w:t>事故的应对</w:t>
      </w:r>
      <w:r>
        <w:rPr>
          <w:rFonts w:hint="eastAsia" w:ascii="仿宋_GB2312" w:eastAsia="仿宋_GB2312"/>
          <w:color w:val="000000"/>
          <w:spacing w:val="0"/>
          <w:sz w:val="32"/>
          <w:szCs w:val="32"/>
        </w:rPr>
        <w:t>、处置</w:t>
      </w:r>
      <w:r>
        <w:rPr>
          <w:rFonts w:hint="eastAsia" w:ascii="仿宋_GB2312" w:eastAsia="仿宋_GB2312"/>
          <w:color w:val="000000"/>
          <w:spacing w:val="0"/>
          <w:sz w:val="32"/>
          <w:szCs w:val="32"/>
          <w:lang w:val="zh-CN"/>
        </w:rPr>
        <w:t>工作。</w:t>
      </w:r>
    </w:p>
    <w:p>
      <w:pPr>
        <w:adjustRightInd w:val="0"/>
        <w:snapToGrid w:val="0"/>
        <w:spacing w:line="520" w:lineRule="exact"/>
        <w:ind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（3）坚持备用结合、专兼结合。</w:t>
      </w:r>
      <w:r>
        <w:rPr>
          <w:rFonts w:hint="eastAsia" w:ascii="仿宋_GB2312" w:eastAsia="仿宋_GB2312"/>
          <w:color w:val="000000"/>
          <w:spacing w:val="0"/>
          <w:sz w:val="32"/>
          <w:szCs w:val="32"/>
        </w:rPr>
        <w:t>各相关单位依据职责范围和工作实际，</w:t>
      </w:r>
      <w:r>
        <w:rPr>
          <w:rFonts w:hint="eastAsia" w:ascii="仿宋_GB2312" w:eastAsia="仿宋_GB2312"/>
          <w:color w:val="000000"/>
          <w:spacing w:val="0"/>
          <w:sz w:val="32"/>
          <w:szCs w:val="32"/>
          <w:lang w:val="zh-CN"/>
        </w:rPr>
        <w:t>统筹整合</w:t>
      </w:r>
      <w:r>
        <w:rPr>
          <w:rFonts w:hint="eastAsia" w:ascii="仿宋_GB2312" w:eastAsia="仿宋_GB2312"/>
          <w:color w:val="000000"/>
          <w:spacing w:val="0"/>
          <w:sz w:val="32"/>
          <w:szCs w:val="32"/>
        </w:rPr>
        <w:t>应急</w:t>
      </w:r>
      <w:r>
        <w:rPr>
          <w:rFonts w:hint="eastAsia" w:ascii="仿宋_GB2312" w:eastAsia="仿宋_GB2312"/>
          <w:color w:val="000000"/>
          <w:spacing w:val="0"/>
          <w:sz w:val="32"/>
          <w:szCs w:val="32"/>
          <w:lang w:val="zh-CN"/>
        </w:rPr>
        <w:t>资源，</w:t>
      </w:r>
      <w:r>
        <w:rPr>
          <w:rFonts w:hint="eastAsia" w:ascii="仿宋_GB2312" w:eastAsia="仿宋_GB2312"/>
          <w:color w:val="000000"/>
          <w:spacing w:val="0"/>
          <w:sz w:val="32"/>
          <w:szCs w:val="32"/>
        </w:rPr>
        <w:t>组建</w:t>
      </w:r>
      <w:r>
        <w:rPr>
          <w:rFonts w:hint="eastAsia" w:ascii="仿宋_GB2312" w:eastAsia="仿宋_GB2312"/>
          <w:color w:val="000000"/>
          <w:spacing w:val="0"/>
          <w:sz w:val="32"/>
          <w:szCs w:val="32"/>
          <w:lang w:val="zh-CN"/>
        </w:rPr>
        <w:t>各类专业和兼职应急队伍，扎实做好应对事故的准备工作。</w:t>
      </w:r>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4）坚持科学处置、加强管理。严格按照法律、法规、预案等要求组织开展应急救援工作，不断提升应急救援能力。充分发挥专家队伍和专业技术、专用装备作用，科学处置，提高管理水平，不断提升应急处置能力。</w:t>
      </w:r>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（5）坚持公开透明、正确引导。全面、及时、依法、准确发布事故的事态发展及处置工作情况，正确引导社会舆论。</w:t>
      </w:r>
    </w:p>
    <w:p>
      <w:pPr>
        <w:keepNext w:val="0"/>
        <w:keepLines w:val="0"/>
        <w:snapToGrid w:val="0"/>
        <w:spacing w:line="520" w:lineRule="exact"/>
        <w:ind w:firstLine="643" w:firstLineChars="200"/>
        <w:outlineLvl w:val="1"/>
        <w:rPr>
          <w:rFonts w:hint="eastAsia" w:ascii="楷体_GB2312" w:eastAsia="楷体_GB2312"/>
          <w:b/>
          <w:bCs/>
          <w:color w:val="000000"/>
          <w:sz w:val="32"/>
          <w:szCs w:val="32"/>
        </w:rPr>
      </w:pPr>
      <w:bookmarkStart w:id="18" w:name="_Toc97825468"/>
      <w:bookmarkStart w:id="19" w:name="_Toc153282017"/>
      <w:r>
        <w:rPr>
          <w:rFonts w:hint="eastAsia" w:ascii="楷体_GB2312" w:eastAsia="楷体_GB2312"/>
          <w:b/>
          <w:bCs/>
          <w:color w:val="000000"/>
          <w:sz w:val="32"/>
          <w:szCs w:val="32"/>
        </w:rPr>
        <w:t>1.5 事故分级</w:t>
      </w:r>
      <w:bookmarkEnd w:id="18"/>
      <w:bookmarkEnd w:id="19"/>
    </w:p>
    <w:p>
      <w:pPr>
        <w:adjustRightInd w:val="0"/>
        <w:snapToGrid w:val="0"/>
        <w:spacing w:line="52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lang w:val="zh-CN"/>
        </w:rPr>
        <w:t>根据油气长输管道事故造成的人员伤亡或者直接经济损失，油气长输管道</w:t>
      </w:r>
      <w:r>
        <w:rPr>
          <w:rFonts w:hint="eastAsia" w:ascii="仿宋_GB2312" w:eastAsia="仿宋_GB2312"/>
          <w:color w:val="000000"/>
          <w:spacing w:val="0"/>
          <w:sz w:val="32"/>
          <w:szCs w:val="32"/>
        </w:rPr>
        <w:t>事故划分为特别重大、重大、较大、一般四个等级，具体分级标准见附件1。</w:t>
      </w:r>
    </w:p>
    <w:p>
      <w:pPr>
        <w:pStyle w:val="6"/>
        <w:keepNext w:val="0"/>
        <w:keepLines w:val="0"/>
        <w:numPr>
          <w:ilvl w:val="0"/>
          <w:numId w:val="0"/>
        </w:numPr>
        <w:pBdr>
          <w:bottom w:val="none" w:color="auto" w:sz="0" w:space="0"/>
        </w:pBdr>
        <w:spacing w:line="520" w:lineRule="exact"/>
        <w:ind w:firstLine="640" w:firstLineChars="200"/>
        <w:jc w:val="both"/>
        <w:outlineLvl w:val="0"/>
        <w:rPr>
          <w:rFonts w:hint="eastAsia" w:ascii="黑体" w:hAnsi="黑体" w:eastAsia="黑体" w:cs="黑体"/>
          <w:bCs/>
          <w:color w:val="000000"/>
          <w:kern w:val="44"/>
          <w:sz w:val="32"/>
          <w:szCs w:val="32"/>
        </w:rPr>
      </w:pPr>
      <w:bookmarkStart w:id="20" w:name="_Toc97809552"/>
      <w:bookmarkEnd w:id="20"/>
      <w:bookmarkStart w:id="21" w:name="_Toc97812060"/>
      <w:bookmarkEnd w:id="21"/>
      <w:bookmarkStart w:id="22" w:name="_Toc97812141"/>
      <w:bookmarkEnd w:id="22"/>
      <w:bookmarkStart w:id="23" w:name="_Toc97809473"/>
      <w:bookmarkEnd w:id="23"/>
      <w:bookmarkStart w:id="24" w:name="_Toc97822873"/>
      <w:bookmarkEnd w:id="24"/>
      <w:bookmarkStart w:id="25" w:name="_Toc97809475"/>
      <w:bookmarkEnd w:id="25"/>
      <w:bookmarkStart w:id="26" w:name="_Toc97812047"/>
      <w:bookmarkEnd w:id="26"/>
      <w:bookmarkStart w:id="27" w:name="_Toc97812142"/>
      <w:bookmarkEnd w:id="27"/>
      <w:bookmarkStart w:id="28" w:name="_Toc97812135"/>
      <w:bookmarkEnd w:id="28"/>
      <w:bookmarkStart w:id="29" w:name="_Toc97822894"/>
      <w:bookmarkEnd w:id="29"/>
      <w:bookmarkStart w:id="30" w:name="_Toc97809556"/>
      <w:bookmarkEnd w:id="30"/>
      <w:bookmarkStart w:id="31" w:name="_Toc97812056"/>
      <w:bookmarkEnd w:id="31"/>
      <w:bookmarkStart w:id="32" w:name="_Toc97822863"/>
      <w:bookmarkEnd w:id="32"/>
      <w:bookmarkStart w:id="33" w:name="_Toc97809479"/>
      <w:bookmarkEnd w:id="33"/>
      <w:bookmarkStart w:id="34" w:name="_Toc97809544"/>
      <w:bookmarkEnd w:id="34"/>
      <w:bookmarkStart w:id="35" w:name="_Toc97822866"/>
      <w:bookmarkEnd w:id="35"/>
      <w:bookmarkStart w:id="36" w:name="_Toc97822867"/>
      <w:bookmarkEnd w:id="36"/>
      <w:bookmarkStart w:id="37" w:name="_Toc97812082"/>
      <w:bookmarkEnd w:id="37"/>
      <w:bookmarkStart w:id="38" w:name="_Toc97812163"/>
      <w:bookmarkEnd w:id="38"/>
      <w:bookmarkStart w:id="39" w:name="_Toc97809551"/>
      <w:bookmarkEnd w:id="39"/>
      <w:bookmarkStart w:id="40" w:name="_Toc97812128"/>
      <w:bookmarkEnd w:id="40"/>
      <w:bookmarkStart w:id="41" w:name="_Toc97822861"/>
      <w:bookmarkEnd w:id="41"/>
      <w:bookmarkStart w:id="42" w:name="_Toc97825476"/>
      <w:bookmarkEnd w:id="42"/>
      <w:bookmarkStart w:id="43" w:name="_Toc97809480"/>
      <w:bookmarkEnd w:id="43"/>
      <w:bookmarkStart w:id="44" w:name="_Toc97812063"/>
      <w:bookmarkEnd w:id="44"/>
      <w:bookmarkStart w:id="45" w:name="_Toc97825504"/>
      <w:bookmarkEnd w:id="45"/>
      <w:bookmarkStart w:id="46" w:name="_Toc97809555"/>
      <w:bookmarkEnd w:id="46"/>
      <w:bookmarkStart w:id="47" w:name="_Toc97812058"/>
      <w:bookmarkEnd w:id="47"/>
      <w:bookmarkStart w:id="48" w:name="_Toc97825484"/>
      <w:bookmarkEnd w:id="48"/>
      <w:bookmarkStart w:id="49" w:name="_Toc97822870"/>
      <w:bookmarkEnd w:id="49"/>
      <w:bookmarkStart w:id="50" w:name="_Toc97812136"/>
      <w:bookmarkEnd w:id="50"/>
      <w:bookmarkStart w:id="51" w:name="_Toc97809546"/>
      <w:bookmarkEnd w:id="51"/>
      <w:bookmarkStart w:id="52" w:name="_Toc97809554"/>
      <w:bookmarkEnd w:id="52"/>
      <w:bookmarkStart w:id="53" w:name="_Toc97825482"/>
      <w:bookmarkEnd w:id="53"/>
      <w:bookmarkStart w:id="54" w:name="_Toc97809481"/>
      <w:bookmarkEnd w:id="54"/>
      <w:bookmarkStart w:id="55" w:name="_Toc97812132"/>
      <w:bookmarkEnd w:id="55"/>
      <w:bookmarkStart w:id="56" w:name="_Toc97809548"/>
      <w:bookmarkEnd w:id="56"/>
      <w:bookmarkStart w:id="57" w:name="_Toc97812053"/>
      <w:bookmarkEnd w:id="57"/>
      <w:bookmarkStart w:id="58" w:name="_Toc97812051"/>
      <w:bookmarkEnd w:id="58"/>
      <w:bookmarkStart w:id="59" w:name="_Toc97812140"/>
      <w:bookmarkEnd w:id="59"/>
      <w:bookmarkStart w:id="60" w:name="_Toc97809553"/>
      <w:bookmarkEnd w:id="60"/>
      <w:bookmarkStart w:id="61" w:name="_Toc97809471"/>
      <w:bookmarkEnd w:id="61"/>
      <w:bookmarkStart w:id="62" w:name="_Toc97825481"/>
      <w:bookmarkEnd w:id="62"/>
      <w:bookmarkStart w:id="63" w:name="_Toc97822871"/>
      <w:bookmarkEnd w:id="63"/>
      <w:bookmarkStart w:id="64" w:name="_Toc97825479"/>
      <w:bookmarkEnd w:id="64"/>
      <w:bookmarkStart w:id="65" w:name="_Toc97809485"/>
      <w:bookmarkEnd w:id="65"/>
      <w:bookmarkStart w:id="66" w:name="_Toc97825483"/>
      <w:bookmarkEnd w:id="66"/>
      <w:bookmarkStart w:id="67" w:name="_Toc97825470"/>
      <w:bookmarkEnd w:id="67"/>
      <w:bookmarkStart w:id="68" w:name="_Toc97812062"/>
      <w:bookmarkEnd w:id="68"/>
      <w:bookmarkStart w:id="69" w:name="_Toc97812050"/>
      <w:bookmarkEnd w:id="69"/>
      <w:bookmarkStart w:id="70" w:name="_Toc97822874"/>
      <w:bookmarkEnd w:id="70"/>
      <w:bookmarkStart w:id="71" w:name="_Toc97825477"/>
      <w:bookmarkEnd w:id="71"/>
      <w:bookmarkStart w:id="72" w:name="_Toc97822872"/>
      <w:bookmarkEnd w:id="72"/>
      <w:bookmarkStart w:id="73" w:name="_Toc97812138"/>
      <w:bookmarkEnd w:id="73"/>
      <w:bookmarkStart w:id="74" w:name="_Toc97822862"/>
      <w:bookmarkEnd w:id="74"/>
      <w:bookmarkStart w:id="75" w:name="_Toc97825469"/>
      <w:bookmarkEnd w:id="75"/>
      <w:bookmarkStart w:id="76" w:name="_Toc97822865"/>
      <w:bookmarkEnd w:id="76"/>
      <w:bookmarkStart w:id="77" w:name="_Toc97809483"/>
      <w:bookmarkEnd w:id="77"/>
      <w:bookmarkStart w:id="78" w:name="_Toc97822864"/>
      <w:bookmarkEnd w:id="78"/>
      <w:bookmarkStart w:id="79" w:name="_Toc97809474"/>
      <w:bookmarkEnd w:id="79"/>
      <w:bookmarkStart w:id="80" w:name="_Toc97812134"/>
      <w:bookmarkEnd w:id="80"/>
      <w:bookmarkStart w:id="81" w:name="_Toc97825473"/>
      <w:bookmarkEnd w:id="81"/>
      <w:bookmarkStart w:id="82" w:name="_Toc97822860"/>
      <w:bookmarkEnd w:id="82"/>
      <w:bookmarkStart w:id="83" w:name="_Toc97809547"/>
      <w:bookmarkEnd w:id="83"/>
      <w:bookmarkStart w:id="84" w:name="_Toc97812130"/>
      <w:bookmarkEnd w:id="84"/>
      <w:bookmarkStart w:id="85" w:name="_Toc97809550"/>
      <w:bookmarkEnd w:id="85"/>
      <w:bookmarkStart w:id="86" w:name="_Toc97812144"/>
      <w:bookmarkEnd w:id="86"/>
      <w:bookmarkStart w:id="87" w:name="_Toc97822868"/>
      <w:bookmarkEnd w:id="87"/>
      <w:bookmarkStart w:id="88" w:name="_Toc97812057"/>
      <w:bookmarkEnd w:id="88"/>
      <w:bookmarkStart w:id="89" w:name="_Toc97809484"/>
      <w:bookmarkEnd w:id="89"/>
      <w:bookmarkStart w:id="90" w:name="_Toc97825478"/>
      <w:bookmarkEnd w:id="90"/>
      <w:bookmarkStart w:id="91" w:name="_Toc97809478"/>
      <w:bookmarkEnd w:id="91"/>
      <w:bookmarkStart w:id="92" w:name="_Toc97812054"/>
      <w:bookmarkEnd w:id="92"/>
      <w:bookmarkStart w:id="93" w:name="_Toc97825472"/>
      <w:bookmarkEnd w:id="93"/>
      <w:bookmarkStart w:id="94" w:name="_Toc97809476"/>
      <w:bookmarkEnd w:id="94"/>
      <w:bookmarkStart w:id="95" w:name="_Toc97825474"/>
      <w:bookmarkEnd w:id="95"/>
      <w:bookmarkStart w:id="96" w:name="_Toc97809557"/>
      <w:bookmarkEnd w:id="96"/>
      <w:bookmarkStart w:id="97" w:name="_Toc97809504"/>
      <w:bookmarkEnd w:id="97"/>
      <w:bookmarkStart w:id="98" w:name="_Toc97812052"/>
      <w:bookmarkEnd w:id="98"/>
      <w:bookmarkStart w:id="99" w:name="_Toc97822859"/>
      <w:bookmarkEnd w:id="99"/>
      <w:bookmarkStart w:id="100" w:name="_Toc97809470"/>
      <w:bookmarkEnd w:id="100"/>
      <w:bookmarkStart w:id="101" w:name="_Toc97812139"/>
      <w:bookmarkEnd w:id="101"/>
      <w:bookmarkStart w:id="102" w:name="_Toc97812055"/>
      <w:bookmarkEnd w:id="102"/>
      <w:bookmarkStart w:id="103" w:name="_Toc97809545"/>
      <w:bookmarkEnd w:id="103"/>
      <w:bookmarkStart w:id="104" w:name="_Toc97822869"/>
      <w:bookmarkEnd w:id="104"/>
      <w:bookmarkStart w:id="105" w:name="_Toc97812133"/>
      <w:bookmarkEnd w:id="105"/>
      <w:bookmarkStart w:id="106" w:name="_Toc97809469"/>
      <w:bookmarkEnd w:id="106"/>
      <w:bookmarkStart w:id="107" w:name="_Toc97812131"/>
      <w:bookmarkEnd w:id="107"/>
      <w:bookmarkStart w:id="108" w:name="_Toc97812059"/>
      <w:bookmarkEnd w:id="108"/>
      <w:bookmarkStart w:id="109" w:name="_Toc97809482"/>
      <w:bookmarkEnd w:id="109"/>
      <w:bookmarkStart w:id="110" w:name="_Toc97809558"/>
      <w:bookmarkEnd w:id="110"/>
      <w:bookmarkStart w:id="111" w:name="_Toc97809542"/>
      <w:bookmarkEnd w:id="111"/>
      <w:bookmarkStart w:id="112" w:name="_Toc97812129"/>
      <w:bookmarkEnd w:id="112"/>
      <w:bookmarkStart w:id="113" w:name="_Toc97825480"/>
      <w:bookmarkEnd w:id="113"/>
      <w:bookmarkStart w:id="114" w:name="_Toc97812137"/>
      <w:bookmarkEnd w:id="114"/>
      <w:bookmarkStart w:id="115" w:name="_Toc97809472"/>
      <w:bookmarkEnd w:id="115"/>
      <w:bookmarkStart w:id="116" w:name="_Toc97825475"/>
      <w:bookmarkEnd w:id="116"/>
      <w:bookmarkStart w:id="117" w:name="_Toc97809477"/>
      <w:bookmarkEnd w:id="117"/>
      <w:bookmarkStart w:id="118" w:name="_Toc97825471"/>
      <w:bookmarkEnd w:id="118"/>
      <w:bookmarkStart w:id="119" w:name="_Toc97809543"/>
      <w:bookmarkEnd w:id="119"/>
      <w:bookmarkStart w:id="120" w:name="_Toc97812061"/>
      <w:bookmarkEnd w:id="120"/>
      <w:bookmarkStart w:id="121" w:name="_Toc97822875"/>
      <w:bookmarkEnd w:id="121"/>
      <w:bookmarkStart w:id="122" w:name="_Toc97825485"/>
      <w:bookmarkEnd w:id="122"/>
      <w:bookmarkStart w:id="123" w:name="_Toc97809577"/>
      <w:bookmarkEnd w:id="123"/>
      <w:bookmarkStart w:id="124" w:name="_Toc97812143"/>
      <w:bookmarkEnd w:id="124"/>
      <w:bookmarkStart w:id="125" w:name="_Toc97812048"/>
      <w:bookmarkEnd w:id="125"/>
      <w:bookmarkStart w:id="126" w:name="_Toc97809549"/>
      <w:bookmarkEnd w:id="126"/>
      <w:bookmarkStart w:id="127" w:name="_Toc97812049"/>
      <w:bookmarkEnd w:id="127"/>
      <w:bookmarkStart w:id="128" w:name="_Toc97825505"/>
      <w:bookmarkStart w:id="129" w:name="_Toc153282018"/>
      <w:bookmarkStart w:id="130" w:name="_Toc4710"/>
      <w:bookmarkStart w:id="131" w:name="_Toc5791"/>
      <w:r>
        <w:rPr>
          <w:rFonts w:hint="eastAsia" w:ascii="黑体" w:hAnsi="黑体" w:eastAsia="黑体" w:cs="黑体"/>
          <w:bCs/>
          <w:color w:val="000000"/>
          <w:kern w:val="44"/>
          <w:sz w:val="32"/>
          <w:szCs w:val="32"/>
        </w:rPr>
        <w:t>2 应急</w:t>
      </w:r>
      <w:r>
        <w:rPr>
          <w:rFonts w:hint="eastAsia" w:ascii="黑体" w:hAnsi="黑体" w:eastAsia="黑体" w:cs="黑体"/>
          <w:bCs/>
          <w:color w:val="000000"/>
          <w:kern w:val="44"/>
          <w:sz w:val="32"/>
          <w:szCs w:val="32"/>
          <w:lang w:val="zh-CN"/>
        </w:rPr>
        <w:t>组织</w:t>
      </w:r>
      <w:bookmarkEnd w:id="128"/>
      <w:r>
        <w:rPr>
          <w:rFonts w:hint="eastAsia" w:ascii="黑体" w:hAnsi="黑体" w:eastAsia="黑体" w:cs="黑体"/>
          <w:bCs/>
          <w:color w:val="000000"/>
          <w:kern w:val="44"/>
          <w:sz w:val="32"/>
          <w:szCs w:val="32"/>
        </w:rPr>
        <w:t>机构及职责</w:t>
      </w:r>
      <w:bookmarkEnd w:id="129"/>
    </w:p>
    <w:bookmarkEnd w:id="130"/>
    <w:p>
      <w:pPr>
        <w:keepNext w:val="0"/>
        <w:keepLines w:val="0"/>
        <w:snapToGrid w:val="0"/>
        <w:spacing w:line="520" w:lineRule="exact"/>
        <w:ind w:firstLine="643" w:firstLineChars="200"/>
        <w:outlineLvl w:val="1"/>
        <w:rPr>
          <w:rFonts w:hint="eastAsia" w:ascii="楷体_GB2312" w:eastAsia="楷体_GB2312"/>
          <w:b/>
          <w:bCs/>
          <w:color w:val="000000"/>
          <w:sz w:val="32"/>
          <w:szCs w:val="32"/>
        </w:rPr>
      </w:pPr>
      <w:bookmarkStart w:id="132" w:name="_Toc153282019"/>
      <w:bookmarkStart w:id="133" w:name="_Toc97825506"/>
      <w:r>
        <w:rPr>
          <w:rFonts w:hint="eastAsia" w:ascii="楷体_GB2312" w:eastAsia="楷体_GB2312"/>
          <w:b/>
          <w:bCs/>
          <w:color w:val="000000"/>
          <w:sz w:val="32"/>
          <w:szCs w:val="32"/>
        </w:rPr>
        <w:t>2.1 指挥机构</w:t>
      </w:r>
      <w:bookmarkEnd w:id="132"/>
      <w:bookmarkEnd w:id="133"/>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z w:val="32"/>
          <w:szCs w:val="32"/>
          <w:lang w:bidi="zh-CN"/>
        </w:rPr>
        <w:t>设立保税区油气长输管道事故专项应急指挥部（以下简称“专项应急指挥部”），总指挥由分管发展改革工作的管委会副主任担任，副总指挥分别由保税区发改局、保税区应急局主要负责人担任。</w:t>
      </w:r>
      <w:r>
        <w:rPr>
          <w:rFonts w:hint="eastAsia" w:ascii="仿宋_GB2312" w:eastAsia="仿宋_GB2312"/>
          <w:color w:val="000000"/>
          <w:spacing w:val="0"/>
          <w:sz w:val="32"/>
          <w:szCs w:val="32"/>
          <w:lang w:val="zh-CN"/>
        </w:rPr>
        <w:t>主要职责：</w:t>
      </w:r>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（1）</w:t>
      </w:r>
      <w:r>
        <w:rPr>
          <w:rFonts w:hint="eastAsia" w:ascii="仿宋_GB2312" w:eastAsia="仿宋_GB2312"/>
          <w:color w:val="000000"/>
          <w:spacing w:val="0"/>
          <w:sz w:val="32"/>
          <w:szCs w:val="32"/>
        </w:rPr>
        <w:t>认真</w:t>
      </w:r>
      <w:r>
        <w:rPr>
          <w:rFonts w:hint="eastAsia" w:ascii="仿宋_GB2312" w:eastAsia="仿宋_GB2312"/>
          <w:color w:val="000000"/>
          <w:spacing w:val="0"/>
          <w:sz w:val="32"/>
          <w:szCs w:val="32"/>
          <w:lang w:val="zh-CN"/>
        </w:rPr>
        <w:t>贯彻落实</w:t>
      </w:r>
      <w:r>
        <w:rPr>
          <w:rFonts w:hint="eastAsia" w:ascii="仿宋_GB2312" w:eastAsia="仿宋_GB2312"/>
          <w:color w:val="000000"/>
          <w:spacing w:val="0"/>
          <w:sz w:val="32"/>
          <w:szCs w:val="32"/>
        </w:rPr>
        <w:t>天津市市委、市政府、滨海新区区委、区政府和保税区管委会</w:t>
      </w:r>
      <w:r>
        <w:rPr>
          <w:rFonts w:hint="eastAsia" w:ascii="仿宋_GB2312" w:eastAsia="仿宋_GB2312"/>
          <w:color w:val="000000"/>
          <w:spacing w:val="0"/>
          <w:sz w:val="32"/>
          <w:szCs w:val="32"/>
          <w:lang w:val="zh-CN"/>
        </w:rPr>
        <w:t>关于</w:t>
      </w:r>
      <w:r>
        <w:rPr>
          <w:rFonts w:hint="eastAsia" w:ascii="仿宋_GB2312" w:eastAsia="仿宋_GB2312"/>
          <w:color w:val="000000"/>
          <w:spacing w:val="0"/>
          <w:sz w:val="32"/>
          <w:szCs w:val="32"/>
        </w:rPr>
        <w:t>油气长输管道</w:t>
      </w:r>
      <w:r>
        <w:rPr>
          <w:rFonts w:hint="eastAsia" w:ascii="仿宋_GB2312" w:eastAsia="仿宋_GB2312"/>
          <w:color w:val="000000"/>
          <w:spacing w:val="0"/>
          <w:sz w:val="32"/>
          <w:szCs w:val="32"/>
          <w:lang w:val="zh-CN"/>
        </w:rPr>
        <w:t>事故应急救援的部署要求；</w:t>
      </w:r>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（2</w:t>
      </w:r>
      <w:r>
        <w:rPr>
          <w:rFonts w:hint="eastAsia" w:ascii="仿宋_GB2312" w:eastAsia="仿宋_GB2312"/>
          <w:color w:val="000000"/>
          <w:spacing w:val="0"/>
          <w:sz w:val="32"/>
          <w:szCs w:val="32"/>
        </w:rPr>
        <w:t>）按照上级要求，</w:t>
      </w:r>
      <w:r>
        <w:rPr>
          <w:rFonts w:hint="eastAsia" w:ascii="仿宋_GB2312" w:eastAsia="仿宋_GB2312"/>
          <w:color w:val="000000"/>
          <w:spacing w:val="0"/>
          <w:sz w:val="32"/>
          <w:szCs w:val="32"/>
          <w:lang w:val="zh-CN"/>
        </w:rPr>
        <w:t>组织</w:t>
      </w:r>
      <w:r>
        <w:rPr>
          <w:rFonts w:hint="eastAsia" w:ascii="仿宋_GB2312" w:eastAsia="仿宋_GB2312"/>
          <w:color w:val="000000"/>
          <w:spacing w:val="0"/>
          <w:sz w:val="32"/>
          <w:szCs w:val="32"/>
        </w:rPr>
        <w:t>或配合上级</w:t>
      </w:r>
      <w:r>
        <w:rPr>
          <w:rFonts w:hint="eastAsia" w:ascii="仿宋_GB2312" w:eastAsia="仿宋_GB2312"/>
          <w:color w:val="000000"/>
          <w:spacing w:val="0"/>
          <w:sz w:val="32"/>
          <w:szCs w:val="32"/>
          <w:lang w:val="zh-CN"/>
        </w:rPr>
        <w:t>开展保税区</w:t>
      </w:r>
      <w:r>
        <w:rPr>
          <w:rFonts w:hint="eastAsia" w:ascii="仿宋_GB2312" w:eastAsia="仿宋_GB2312"/>
          <w:color w:val="000000"/>
          <w:spacing w:val="0"/>
          <w:sz w:val="32"/>
          <w:szCs w:val="32"/>
        </w:rPr>
        <w:t>一般</w:t>
      </w:r>
      <w:r>
        <w:rPr>
          <w:rFonts w:hint="eastAsia" w:ascii="仿宋_GB2312" w:eastAsia="仿宋_GB2312"/>
          <w:color w:val="000000"/>
          <w:spacing w:val="0"/>
          <w:sz w:val="32"/>
          <w:szCs w:val="32"/>
          <w:lang w:val="zh-CN"/>
        </w:rPr>
        <w:t>油气长输管道事故应急处置工作；</w:t>
      </w:r>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3）按照上级要求，及时开展</w:t>
      </w:r>
      <w:r>
        <w:rPr>
          <w:rFonts w:hint="eastAsia" w:ascii="仿宋_GB2312" w:eastAsia="仿宋_GB2312"/>
          <w:color w:val="000000"/>
          <w:spacing w:val="0"/>
          <w:sz w:val="32"/>
          <w:szCs w:val="32"/>
          <w:lang w:val="zh-CN"/>
        </w:rPr>
        <w:t>保税区</w:t>
      </w:r>
      <w:r>
        <w:rPr>
          <w:rFonts w:hint="eastAsia" w:ascii="仿宋_GB2312" w:eastAsia="仿宋_GB2312"/>
          <w:color w:val="000000"/>
          <w:spacing w:val="0"/>
          <w:sz w:val="32"/>
          <w:szCs w:val="32"/>
        </w:rPr>
        <w:t>较大及以上油气长输管道事故先期处置，配合上级指挥部做好应急处置工作</w:t>
      </w:r>
      <w:r>
        <w:rPr>
          <w:rFonts w:hint="eastAsia" w:ascii="仿宋_GB2312" w:eastAsia="仿宋_GB2312"/>
          <w:color w:val="000000"/>
          <w:spacing w:val="0"/>
          <w:sz w:val="32"/>
          <w:szCs w:val="32"/>
          <w:lang w:val="zh-CN"/>
        </w:rPr>
        <w:t>；</w:t>
      </w:r>
    </w:p>
    <w:p>
      <w:pPr>
        <w:adjustRightInd w:val="0"/>
        <w:snapToGrid w:val="0"/>
        <w:spacing w:line="520" w:lineRule="exact"/>
        <w:ind w:firstLine="640" w:firstLineChars="200"/>
        <w:rPr>
          <w:rFonts w:hint="eastAsia" w:ascii="仿宋_GB2312" w:hAnsi="宋体" w:eastAsia="仿宋_GB2312" w:cs="宋体"/>
          <w:color w:val="000000"/>
          <w:sz w:val="32"/>
          <w:szCs w:val="32"/>
        </w:rPr>
      </w:pP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4</w:t>
      </w: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按照上级要求，对</w:t>
      </w:r>
      <w:r>
        <w:rPr>
          <w:rFonts w:hint="eastAsia" w:ascii="仿宋_GB2312" w:hAnsi="仿宋_GB2312" w:eastAsia="仿宋_GB2312" w:cs="仿宋_GB2312"/>
          <w:color w:val="000000"/>
          <w:sz w:val="32"/>
          <w:szCs w:val="32"/>
        </w:rPr>
        <w:t>跨区的油气长输管道事故做好相关协调工作</w:t>
      </w:r>
      <w:r>
        <w:rPr>
          <w:rFonts w:hint="eastAsia" w:ascii="仿宋_GB2312" w:hAnsi="宋体" w:eastAsia="仿宋_GB2312" w:cs="宋体"/>
          <w:color w:val="000000"/>
          <w:sz w:val="32"/>
          <w:szCs w:val="32"/>
        </w:rPr>
        <w:t>；</w:t>
      </w:r>
    </w:p>
    <w:p>
      <w:pPr>
        <w:adjustRightInd w:val="0"/>
        <w:snapToGrid w:val="0"/>
        <w:spacing w:line="520" w:lineRule="exact"/>
        <w:ind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（5）完成保税区管委会交办的其他任务。</w:t>
      </w:r>
    </w:p>
    <w:p>
      <w:pPr>
        <w:keepNext w:val="0"/>
        <w:keepLines w:val="0"/>
        <w:snapToGrid w:val="0"/>
        <w:spacing w:line="520" w:lineRule="exact"/>
        <w:ind w:firstLine="643" w:firstLineChars="200"/>
        <w:outlineLvl w:val="1"/>
        <w:rPr>
          <w:rFonts w:hint="eastAsia" w:ascii="楷体_GB2312" w:eastAsia="楷体_GB2312"/>
          <w:b/>
          <w:bCs/>
          <w:color w:val="000000"/>
          <w:sz w:val="32"/>
          <w:szCs w:val="32"/>
        </w:rPr>
      </w:pPr>
      <w:bookmarkStart w:id="134" w:name="_Toc153282020"/>
      <w:bookmarkStart w:id="135" w:name="_Toc97825507"/>
      <w:r>
        <w:rPr>
          <w:rFonts w:hint="eastAsia" w:ascii="楷体_GB2312" w:eastAsia="楷体_GB2312"/>
          <w:b/>
          <w:bCs/>
          <w:color w:val="000000"/>
          <w:sz w:val="32"/>
          <w:szCs w:val="32"/>
        </w:rPr>
        <w:t>2.2 办事机构</w:t>
      </w:r>
      <w:bookmarkEnd w:id="134"/>
      <w:bookmarkEnd w:id="135"/>
    </w:p>
    <w:p>
      <w:pPr>
        <w:adjustRightInd w:val="0"/>
        <w:snapToGrid w:val="0"/>
        <w:spacing w:line="52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z w:val="32"/>
          <w:szCs w:val="32"/>
          <w:lang w:bidi="zh-CN"/>
        </w:rPr>
        <w:t>专项应急指挥部</w:t>
      </w:r>
      <w:r>
        <w:rPr>
          <w:rFonts w:hint="eastAsia" w:ascii="仿宋_GB2312" w:eastAsia="仿宋_GB2312"/>
          <w:color w:val="000000"/>
          <w:spacing w:val="0"/>
          <w:sz w:val="32"/>
          <w:szCs w:val="32"/>
          <w:lang w:val="zh-CN"/>
        </w:rPr>
        <w:t>下设</w:t>
      </w:r>
      <w:bookmarkStart w:id="136" w:name="_Hlk153263615"/>
      <w:r>
        <w:rPr>
          <w:rFonts w:hint="eastAsia" w:ascii="仿宋_GB2312" w:eastAsia="仿宋_GB2312"/>
          <w:color w:val="000000"/>
          <w:spacing w:val="0"/>
          <w:sz w:val="32"/>
          <w:szCs w:val="32"/>
        </w:rPr>
        <w:t>保税区油气长输管道事故专项应急指挥部</w:t>
      </w:r>
      <w:r>
        <w:rPr>
          <w:rFonts w:hint="eastAsia" w:ascii="仿宋_GB2312" w:eastAsia="仿宋_GB2312"/>
          <w:color w:val="000000"/>
          <w:spacing w:val="0"/>
          <w:sz w:val="32"/>
          <w:szCs w:val="32"/>
          <w:lang w:val="zh-CN"/>
        </w:rPr>
        <w:t>办公室</w:t>
      </w:r>
      <w:bookmarkEnd w:id="136"/>
      <w:r>
        <w:rPr>
          <w:rFonts w:hint="eastAsia" w:ascii="仿宋_GB2312" w:eastAsia="仿宋_GB2312"/>
          <w:color w:val="000000"/>
          <w:spacing w:val="0"/>
          <w:sz w:val="32"/>
          <w:szCs w:val="32"/>
          <w:lang w:val="zh-CN"/>
        </w:rPr>
        <w:t>（以下简称“专项应急办”），设在</w:t>
      </w:r>
      <w:r>
        <w:rPr>
          <w:rFonts w:hint="eastAsia" w:ascii="仿宋_GB2312" w:eastAsia="仿宋_GB2312"/>
          <w:color w:val="000000"/>
          <w:spacing w:val="0"/>
          <w:sz w:val="32"/>
          <w:szCs w:val="32"/>
        </w:rPr>
        <w:t>保税区发改局</w:t>
      </w:r>
      <w:r>
        <w:rPr>
          <w:rFonts w:hint="eastAsia" w:ascii="仿宋_GB2312" w:eastAsia="仿宋_GB2312"/>
          <w:color w:val="000000"/>
          <w:spacing w:val="0"/>
          <w:sz w:val="32"/>
          <w:szCs w:val="32"/>
          <w:lang w:val="zh-CN"/>
        </w:rPr>
        <w:t>，办公室主任由</w:t>
      </w:r>
      <w:r>
        <w:rPr>
          <w:rFonts w:hint="eastAsia" w:ascii="仿宋_GB2312" w:eastAsia="仿宋_GB2312"/>
          <w:color w:val="000000"/>
          <w:spacing w:val="0"/>
          <w:sz w:val="32"/>
          <w:szCs w:val="32"/>
        </w:rPr>
        <w:t>发改局主要负责同志</w:t>
      </w:r>
      <w:r>
        <w:rPr>
          <w:rFonts w:hint="eastAsia" w:ascii="仿宋_GB2312" w:eastAsia="仿宋_GB2312"/>
          <w:color w:val="000000"/>
          <w:spacing w:val="0"/>
          <w:sz w:val="32"/>
          <w:szCs w:val="32"/>
          <w:lang w:val="zh-CN"/>
        </w:rPr>
        <w:t>兼任，</w:t>
      </w:r>
      <w:r>
        <w:rPr>
          <w:rFonts w:hint="eastAsia" w:ascii="仿宋_GB2312" w:eastAsia="仿宋_GB2312"/>
          <w:color w:val="000000"/>
          <w:spacing w:val="0"/>
          <w:sz w:val="32"/>
          <w:szCs w:val="32"/>
        </w:rPr>
        <w:t>专项应急办配备专（兼）职工作人员</w:t>
      </w:r>
      <w:r>
        <w:rPr>
          <w:rFonts w:hint="eastAsia" w:ascii="仿宋_GB2312" w:eastAsia="仿宋_GB2312"/>
          <w:color w:val="000000"/>
          <w:spacing w:val="0"/>
          <w:sz w:val="32"/>
          <w:szCs w:val="32"/>
          <w:lang w:val="zh-CN"/>
        </w:rPr>
        <w:t>负责</w:t>
      </w:r>
      <w:r>
        <w:rPr>
          <w:rFonts w:hint="eastAsia" w:ascii="仿宋_GB2312" w:eastAsia="仿宋_GB2312"/>
          <w:color w:val="000000"/>
          <w:sz w:val="32"/>
          <w:szCs w:val="32"/>
          <w:lang w:bidi="zh-CN"/>
        </w:rPr>
        <w:t>日常</w:t>
      </w:r>
      <w:r>
        <w:rPr>
          <w:rFonts w:hint="eastAsia" w:ascii="仿宋_GB2312" w:eastAsia="仿宋_GB2312"/>
          <w:color w:val="000000"/>
          <w:spacing w:val="0"/>
          <w:sz w:val="32"/>
          <w:szCs w:val="32"/>
          <w:lang w:val="zh-CN"/>
        </w:rPr>
        <w:t>工作。</w:t>
      </w:r>
      <w:r>
        <w:rPr>
          <w:rFonts w:hint="eastAsia" w:ascii="仿宋_GB2312" w:eastAsia="仿宋_GB2312"/>
          <w:color w:val="000000"/>
          <w:spacing w:val="0"/>
          <w:sz w:val="32"/>
          <w:szCs w:val="32"/>
        </w:rPr>
        <w:t>主要职责是：</w:t>
      </w:r>
    </w:p>
    <w:p>
      <w:pPr>
        <w:adjustRightInd w:val="0"/>
        <w:snapToGrid w:val="0"/>
        <w:spacing w:line="52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（1）承担专项应急指挥部日常工作；</w:t>
      </w:r>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2</w:t>
      </w:r>
      <w:r>
        <w:rPr>
          <w:rFonts w:hint="eastAsia" w:ascii="仿宋_GB2312" w:eastAsia="仿宋_GB2312"/>
          <w:color w:val="000000"/>
          <w:spacing w:val="0"/>
          <w:sz w:val="32"/>
          <w:szCs w:val="32"/>
          <w:lang w:val="zh-CN"/>
        </w:rPr>
        <w:t>）组织落实</w:t>
      </w:r>
      <w:r>
        <w:rPr>
          <w:rFonts w:hint="eastAsia" w:ascii="仿宋_GB2312" w:eastAsia="仿宋_GB2312"/>
          <w:color w:val="000000"/>
          <w:spacing w:val="0"/>
          <w:sz w:val="32"/>
          <w:szCs w:val="32"/>
        </w:rPr>
        <w:t>专项应急指挥部</w:t>
      </w:r>
      <w:r>
        <w:rPr>
          <w:rFonts w:hint="eastAsia" w:ascii="仿宋_GB2312" w:eastAsia="仿宋_GB2312"/>
          <w:color w:val="000000"/>
          <w:spacing w:val="0"/>
          <w:sz w:val="32"/>
          <w:szCs w:val="32"/>
          <w:lang w:val="zh-CN"/>
        </w:rPr>
        <w:t>各项工作部署；</w:t>
      </w:r>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3）</w:t>
      </w:r>
      <w:r>
        <w:rPr>
          <w:rFonts w:hint="eastAsia" w:ascii="仿宋_GB2312" w:eastAsia="仿宋_GB2312"/>
          <w:color w:val="000000"/>
          <w:spacing w:val="0"/>
          <w:sz w:val="32"/>
          <w:szCs w:val="32"/>
          <w:lang w:val="zh-CN"/>
        </w:rPr>
        <w:t>开展</w:t>
      </w:r>
      <w:r>
        <w:rPr>
          <w:rFonts w:hint="eastAsia" w:ascii="仿宋_GB2312" w:eastAsia="仿宋_GB2312"/>
          <w:color w:val="000000"/>
          <w:spacing w:val="0"/>
          <w:sz w:val="32"/>
          <w:szCs w:val="32"/>
        </w:rPr>
        <w:t>保税区</w:t>
      </w:r>
      <w:r>
        <w:rPr>
          <w:rFonts w:hint="eastAsia" w:ascii="仿宋_GB2312" w:eastAsia="仿宋_GB2312"/>
          <w:color w:val="000000"/>
          <w:spacing w:val="0"/>
          <w:sz w:val="32"/>
          <w:szCs w:val="32"/>
          <w:lang w:val="zh-CN"/>
        </w:rPr>
        <w:t>油气长输管道事故应急预案编修；</w:t>
      </w:r>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4</w:t>
      </w:r>
      <w:r>
        <w:rPr>
          <w:rFonts w:hint="eastAsia" w:ascii="仿宋_GB2312" w:eastAsia="仿宋_GB2312"/>
          <w:color w:val="000000"/>
          <w:spacing w:val="0"/>
          <w:sz w:val="32"/>
          <w:szCs w:val="32"/>
          <w:lang w:val="zh-CN"/>
        </w:rPr>
        <w:t>）汇集、上报事故情况和应急救援情况。</w:t>
      </w:r>
    </w:p>
    <w:p>
      <w:pPr>
        <w:keepNext w:val="0"/>
        <w:keepLines w:val="0"/>
        <w:snapToGrid w:val="0"/>
        <w:spacing w:line="520" w:lineRule="exact"/>
        <w:ind w:firstLine="643" w:firstLineChars="200"/>
        <w:outlineLvl w:val="1"/>
        <w:rPr>
          <w:rFonts w:hint="eastAsia" w:ascii="楷体_GB2312" w:eastAsia="楷体_GB2312"/>
          <w:b/>
          <w:bCs/>
          <w:color w:val="000000"/>
          <w:sz w:val="32"/>
          <w:szCs w:val="32"/>
        </w:rPr>
      </w:pPr>
      <w:bookmarkStart w:id="137" w:name="_Toc153282021"/>
      <w:bookmarkStart w:id="138" w:name="_Toc97825508"/>
      <w:r>
        <w:rPr>
          <w:rFonts w:hint="eastAsia" w:ascii="楷体_GB2312" w:eastAsia="楷体_GB2312"/>
          <w:b/>
          <w:bCs/>
          <w:color w:val="000000"/>
          <w:sz w:val="32"/>
          <w:szCs w:val="32"/>
        </w:rPr>
        <w:t>2.3 成员单位</w:t>
      </w:r>
      <w:bookmarkEnd w:id="137"/>
      <w:bookmarkEnd w:id="138"/>
    </w:p>
    <w:p>
      <w:pPr>
        <w:widowControl w:val="0"/>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bookmarkStart w:id="139" w:name="_Hlk97046088"/>
      <w:r>
        <w:rPr>
          <w:rFonts w:hint="eastAsia" w:ascii="仿宋_GB2312" w:eastAsia="仿宋_GB2312"/>
          <w:color w:val="000000"/>
          <w:spacing w:val="0"/>
          <w:sz w:val="32"/>
          <w:szCs w:val="32"/>
        </w:rPr>
        <w:t>发改局</w:t>
      </w:r>
      <w:r>
        <w:rPr>
          <w:rFonts w:hint="eastAsia" w:ascii="仿宋_GB2312" w:eastAsia="仿宋_GB2312"/>
          <w:color w:val="000000"/>
          <w:spacing w:val="0"/>
          <w:sz w:val="32"/>
          <w:szCs w:val="32"/>
          <w:lang w:val="zh-CN"/>
        </w:rPr>
        <w:t>：负责</w:t>
      </w:r>
      <w:r>
        <w:rPr>
          <w:rFonts w:hint="eastAsia" w:ascii="仿宋_GB2312" w:eastAsia="仿宋_GB2312"/>
          <w:color w:val="000000"/>
          <w:spacing w:val="0"/>
          <w:sz w:val="32"/>
          <w:szCs w:val="32"/>
        </w:rPr>
        <w:t>保税区</w:t>
      </w:r>
      <w:r>
        <w:rPr>
          <w:rFonts w:hint="eastAsia" w:ascii="仿宋_GB2312" w:eastAsia="仿宋_GB2312"/>
          <w:color w:val="000000"/>
          <w:spacing w:val="0"/>
          <w:sz w:val="32"/>
          <w:szCs w:val="32"/>
          <w:lang w:val="zh-CN"/>
        </w:rPr>
        <w:t>内油气长输管道保护的监督管理工作，协调处理管道保护工作中的重大问题，指导、监督有关单位履行管道保护义务，</w:t>
      </w:r>
      <w:r>
        <w:rPr>
          <w:rFonts w:hint="eastAsia" w:ascii="仿宋_GB2312" w:eastAsia="仿宋_GB2312"/>
          <w:color w:val="000000"/>
          <w:spacing w:val="0"/>
          <w:sz w:val="32"/>
          <w:szCs w:val="32"/>
        </w:rPr>
        <w:t>配合上级部门</w:t>
      </w:r>
      <w:r>
        <w:rPr>
          <w:rFonts w:hint="eastAsia" w:ascii="仿宋_GB2312" w:eastAsia="仿宋_GB2312"/>
          <w:color w:val="000000"/>
          <w:spacing w:val="0"/>
          <w:sz w:val="32"/>
          <w:szCs w:val="32"/>
          <w:lang w:val="zh-CN"/>
        </w:rPr>
        <w:t>依法查处危害管道安全的违法行为；</w:t>
      </w:r>
      <w:r>
        <w:rPr>
          <w:rFonts w:hint="eastAsia" w:ascii="仿宋_GB2312" w:eastAsia="仿宋_GB2312"/>
          <w:color w:val="000000"/>
          <w:spacing w:val="0"/>
          <w:sz w:val="32"/>
          <w:szCs w:val="32"/>
        </w:rPr>
        <w:t>配合上级部门</w:t>
      </w:r>
      <w:r>
        <w:rPr>
          <w:rFonts w:hint="eastAsia" w:ascii="仿宋_GB2312" w:eastAsia="仿宋_GB2312"/>
          <w:color w:val="000000"/>
          <w:spacing w:val="0"/>
          <w:sz w:val="32"/>
          <w:szCs w:val="32"/>
          <w:lang w:val="zh-CN"/>
        </w:rPr>
        <w:t>协调油气长输管道事故发生后油气资源调度及供应安全；</w:t>
      </w:r>
      <w:r>
        <w:rPr>
          <w:rFonts w:hint="eastAsia" w:ascii="仿宋_GB2312" w:eastAsia="仿宋_GB2312"/>
          <w:color w:val="000000"/>
          <w:spacing w:val="0"/>
          <w:sz w:val="32"/>
          <w:szCs w:val="32"/>
        </w:rPr>
        <w:t>配合</w:t>
      </w:r>
      <w:r>
        <w:rPr>
          <w:rFonts w:hint="eastAsia" w:ascii="仿宋_GB2312" w:eastAsia="仿宋_GB2312"/>
          <w:color w:val="000000"/>
          <w:spacing w:val="0"/>
          <w:sz w:val="32"/>
          <w:szCs w:val="32"/>
          <w:lang w:val="zh-CN"/>
        </w:rPr>
        <w:t>做好应急通信</w:t>
      </w:r>
      <w:r>
        <w:rPr>
          <w:rFonts w:hint="eastAsia" w:ascii="仿宋_GB2312" w:eastAsia="仿宋_GB2312"/>
          <w:color w:val="000000"/>
          <w:spacing w:val="0"/>
          <w:sz w:val="32"/>
          <w:szCs w:val="32"/>
        </w:rPr>
        <w:t>和电力保障</w:t>
      </w:r>
      <w:r>
        <w:rPr>
          <w:rFonts w:hint="eastAsia" w:ascii="仿宋_GB2312" w:eastAsia="仿宋_GB2312"/>
          <w:color w:val="000000"/>
          <w:spacing w:val="0"/>
          <w:sz w:val="32"/>
          <w:szCs w:val="32"/>
          <w:lang w:val="zh-CN"/>
        </w:rPr>
        <w:t>；参与油气长输管道事故评估和调查处理工作。</w:t>
      </w:r>
    </w:p>
    <w:p>
      <w:pPr>
        <w:widowControl w:val="0"/>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应急局：负责组织油气长输管道事故现场应急救援工作；组织协调、调动相关专业应急救援队伍和专家参与事故应急处置；</w:t>
      </w:r>
      <w:r>
        <w:rPr>
          <w:rFonts w:hint="eastAsia" w:ascii="仿宋_GB2312" w:hAnsi="仿宋_GB2312" w:eastAsia="仿宋_GB2312" w:cs="仿宋_GB2312"/>
          <w:color w:val="000000"/>
          <w:sz w:val="32"/>
          <w:szCs w:val="32"/>
        </w:rPr>
        <w:t>负责对接气象部门，及时向专项应急指挥部提供气象预报预警信息；负责受灾群众的临时安置工作；</w:t>
      </w:r>
      <w:r>
        <w:rPr>
          <w:rFonts w:hint="eastAsia" w:ascii="仿宋_GB2312" w:eastAsia="仿宋_GB2312"/>
          <w:color w:val="000000"/>
          <w:spacing w:val="0"/>
          <w:sz w:val="32"/>
          <w:szCs w:val="32"/>
          <w:lang w:val="zh-CN"/>
        </w:rPr>
        <w:t>组织、</w:t>
      </w:r>
      <w:r>
        <w:rPr>
          <w:rFonts w:hint="eastAsia" w:ascii="仿宋_GB2312" w:eastAsia="仿宋_GB2312"/>
          <w:color w:val="000000"/>
          <w:spacing w:val="0"/>
          <w:sz w:val="32"/>
          <w:szCs w:val="32"/>
        </w:rPr>
        <w:t>配合</w:t>
      </w:r>
      <w:r>
        <w:rPr>
          <w:rFonts w:hint="eastAsia" w:ascii="仿宋_GB2312" w:eastAsia="仿宋_GB2312"/>
          <w:color w:val="000000"/>
          <w:spacing w:val="0"/>
          <w:sz w:val="32"/>
          <w:szCs w:val="32"/>
          <w:lang w:val="zh-CN"/>
        </w:rPr>
        <w:t>相应等级油气长输管道事故救援评估和调查处理工作。</w:t>
      </w:r>
    </w:p>
    <w:p>
      <w:pPr>
        <w:widowControl w:val="0"/>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消防救援支队：负责组织油气长输管道事故中火灾扑救工作；开展以抢救人员生命为主的应急救援工作。</w:t>
      </w:r>
    </w:p>
    <w:p>
      <w:pPr>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党建部：在长输管道事故应急处置过程中，</w:t>
      </w:r>
      <w:r>
        <w:rPr>
          <w:rFonts w:hint="eastAsia" w:ascii="仿宋_GB2312" w:eastAsia="仿宋_GB2312"/>
          <w:color w:val="000000"/>
          <w:spacing w:val="0"/>
          <w:sz w:val="32"/>
          <w:szCs w:val="32"/>
        </w:rPr>
        <w:t>负责开展</w:t>
      </w:r>
      <w:r>
        <w:rPr>
          <w:rFonts w:hint="eastAsia" w:ascii="仿宋_GB2312" w:eastAsia="仿宋_GB2312"/>
          <w:color w:val="000000"/>
          <w:spacing w:val="0"/>
          <w:sz w:val="32"/>
          <w:szCs w:val="32"/>
          <w:lang w:val="zh-CN"/>
        </w:rPr>
        <w:t>新闻舆情组工作，</w:t>
      </w:r>
      <w:r>
        <w:rPr>
          <w:rFonts w:hint="eastAsia" w:ascii="仿宋_GB2312" w:eastAsia="仿宋_GB2312"/>
          <w:color w:val="000000"/>
          <w:spacing w:val="0"/>
          <w:sz w:val="32"/>
          <w:szCs w:val="32"/>
        </w:rPr>
        <w:t>配合上级部门做好</w:t>
      </w:r>
      <w:r>
        <w:rPr>
          <w:rFonts w:hint="eastAsia" w:ascii="仿宋_GB2312" w:eastAsia="仿宋_GB2312"/>
          <w:color w:val="000000"/>
          <w:spacing w:val="0"/>
          <w:sz w:val="32"/>
          <w:szCs w:val="32"/>
          <w:lang w:val="zh-CN"/>
        </w:rPr>
        <w:t>油气长输管道事故有关新闻报道、信息发布和舆情处置等工作。</w:t>
      </w:r>
    </w:p>
    <w:p>
      <w:pPr>
        <w:numPr>
          <w:ilvl w:val="0"/>
          <w:numId w:val="1"/>
        </w:numPr>
        <w:adjustRightInd w:val="0"/>
        <w:snapToGrid w:val="0"/>
        <w:spacing w:line="520" w:lineRule="exact"/>
        <w:ind w:left="0"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lang w:val="zh-CN"/>
        </w:rPr>
        <w:t>社发局</w:t>
      </w:r>
      <w:r>
        <w:rPr>
          <w:rFonts w:hint="eastAsia" w:ascii="仿宋_GB2312" w:eastAsia="仿宋_GB2312"/>
          <w:color w:val="000000"/>
          <w:spacing w:val="0"/>
          <w:sz w:val="32"/>
          <w:szCs w:val="32"/>
        </w:rPr>
        <w:t>：联系协调急救中心及相关医疗机构对受伤人员组织开展现场医疗救治、转运、院内救治等工作；负责做好卫生防疫工作技术指导；负责将符合社会救助条件的受灾群众及时纳入救助范围；负责伤亡人员善后处理工作。</w:t>
      </w:r>
    </w:p>
    <w:p>
      <w:pPr>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财政局：负责为油气长输管道事故应急处置工作提供资金保障。</w:t>
      </w:r>
    </w:p>
    <w:p>
      <w:pPr>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城环局：负责对油气长输管道事故可能引发的环境污染进行评估、监测，提出污染处置建议，组织协调有关单位对事故污染物进行处置；负责指导督促相关单位对油气长输管道事故中受损的供热、供气、城市道路桥梁等公共设施开展抢修恢复工作；负责协调组织抢险区域内的用水保障工作。</w:t>
      </w:r>
    </w:p>
    <w:p>
      <w:pPr>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规建局：负责联合交警大队实行道路交通管制，建立应急救援“绿色通道”，保证所需救助人员、应急处置人员、应急装备和物资得到优先安排、优先调度；配合有关部门做好地质勘查和事故应急处置测绘保障工作；负责协助油气长输管道事故中</w:t>
      </w:r>
      <w:r>
        <w:rPr>
          <w:rFonts w:hint="eastAsia" w:ascii="仿宋_GB2312" w:eastAsia="仿宋_GB2312"/>
          <w:color w:val="000000"/>
          <w:spacing w:val="0"/>
          <w:sz w:val="32"/>
          <w:szCs w:val="32"/>
        </w:rPr>
        <w:t>与</w:t>
      </w:r>
      <w:r>
        <w:rPr>
          <w:rFonts w:hint="eastAsia" w:ascii="仿宋_GB2312" w:eastAsia="仿宋_GB2312"/>
          <w:color w:val="000000"/>
          <w:spacing w:val="0"/>
          <w:sz w:val="32"/>
          <w:szCs w:val="32"/>
          <w:lang w:val="zh-CN"/>
        </w:rPr>
        <w:t>建、构筑物有关的抢险救援、事故评估和调查处理工作，组织协调本行业专业救援队伍和大型建筑机械的调用工作。</w:t>
      </w:r>
    </w:p>
    <w:p>
      <w:pPr>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市场局：负责协助油气长输管道事故中与</w:t>
      </w:r>
      <w:bookmarkStart w:id="140" w:name="_Hlk153784427"/>
      <w:r>
        <w:rPr>
          <w:rFonts w:hint="eastAsia" w:ascii="仿宋_GB2312" w:eastAsia="仿宋_GB2312"/>
          <w:color w:val="000000"/>
          <w:spacing w:val="0"/>
          <w:sz w:val="32"/>
          <w:szCs w:val="32"/>
          <w:lang w:val="zh-CN"/>
        </w:rPr>
        <w:t>特种设备相关的抢险救援、事故评估和调查处理</w:t>
      </w:r>
      <w:bookmarkEnd w:id="140"/>
      <w:r>
        <w:rPr>
          <w:rFonts w:hint="eastAsia" w:ascii="仿宋_GB2312" w:eastAsia="仿宋_GB2312"/>
          <w:color w:val="000000"/>
          <w:spacing w:val="0"/>
          <w:sz w:val="32"/>
          <w:szCs w:val="32"/>
          <w:lang w:val="zh-CN"/>
        </w:rPr>
        <w:t>工作。</w:t>
      </w:r>
    </w:p>
    <w:p>
      <w:pPr>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管委会办公室、临港综合办</w:t>
      </w:r>
      <w:r>
        <w:rPr>
          <w:rFonts w:hint="eastAsia" w:ascii="仿宋_GB2312" w:eastAsia="仿宋_GB2312"/>
          <w:color w:val="000000"/>
          <w:spacing w:val="0"/>
          <w:sz w:val="32"/>
          <w:szCs w:val="32"/>
        </w:rPr>
        <w:t>和物流区管理局</w:t>
      </w:r>
      <w:r>
        <w:rPr>
          <w:rFonts w:hint="eastAsia" w:ascii="仿宋_GB2312" w:eastAsia="仿宋_GB2312"/>
          <w:color w:val="000000"/>
          <w:spacing w:val="0"/>
          <w:sz w:val="32"/>
          <w:szCs w:val="32"/>
          <w:lang w:val="zh-CN"/>
        </w:rPr>
        <w:t>:负责联系属地公安，设置油气长输管道事故警戒范围；协调</w:t>
      </w:r>
      <w:r>
        <w:rPr>
          <w:rFonts w:hint="eastAsia" w:ascii="仿宋_GB2312" w:eastAsia="仿宋_GB2312"/>
          <w:color w:val="000000"/>
          <w:spacing w:val="0"/>
          <w:sz w:val="32"/>
          <w:szCs w:val="32"/>
        </w:rPr>
        <w:t>开展</w:t>
      </w:r>
      <w:r>
        <w:rPr>
          <w:rFonts w:hint="eastAsia" w:ascii="仿宋_GB2312" w:eastAsia="仿宋_GB2312"/>
          <w:color w:val="000000"/>
          <w:spacing w:val="0"/>
          <w:sz w:val="32"/>
          <w:szCs w:val="32"/>
          <w:lang w:val="zh-CN"/>
        </w:rPr>
        <w:t>公共秩序和社会治安的维护工作。</w:t>
      </w:r>
    </w:p>
    <w:p>
      <w:pPr>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bookmarkStart w:id="141" w:name="_Hlk91164421"/>
      <w:r>
        <w:rPr>
          <w:rFonts w:hint="eastAsia" w:ascii="仿宋_GB2312" w:eastAsia="仿宋_GB2312"/>
          <w:color w:val="000000"/>
          <w:spacing w:val="0"/>
          <w:sz w:val="32"/>
          <w:szCs w:val="32"/>
          <w:lang w:val="zh-CN"/>
        </w:rPr>
        <w:t>各派出所：负责油气长输管道事故现场警戒封控与人员疏散；负责公共秩序和社会治安的维护工作；配合开展事故调查工作。</w:t>
      </w:r>
    </w:p>
    <w:p>
      <w:pPr>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各交警大队：组织实施油气长输管道事故周边区域的交通管制工作，开通应急抢险车辆的绿色通道，保障救援抢险车辆安全快速通行。</w:t>
      </w:r>
    </w:p>
    <w:bookmarkEnd w:id="139"/>
    <w:bookmarkEnd w:id="141"/>
    <w:p>
      <w:pPr>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供电单位：负责事故相关的供电保障工作。</w:t>
      </w:r>
    </w:p>
    <w:p>
      <w:pPr>
        <w:numPr>
          <w:ilvl w:val="0"/>
          <w:numId w:val="1"/>
        </w:numPr>
        <w:adjustRightInd w:val="0"/>
        <w:snapToGrid w:val="0"/>
        <w:spacing w:line="520" w:lineRule="exact"/>
        <w:ind w:left="0"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供水单位：负责事故相关的供水保障工作。</w:t>
      </w:r>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根据</w:t>
      </w:r>
      <w:r>
        <w:rPr>
          <w:rFonts w:hint="eastAsia" w:ascii="仿宋_GB2312" w:eastAsia="仿宋_GB2312"/>
          <w:color w:val="000000"/>
          <w:spacing w:val="0"/>
          <w:sz w:val="32"/>
          <w:szCs w:val="32"/>
        </w:rPr>
        <w:t>工作</w:t>
      </w:r>
      <w:r>
        <w:rPr>
          <w:rFonts w:hint="eastAsia" w:ascii="仿宋_GB2312" w:eastAsia="仿宋_GB2312"/>
          <w:color w:val="000000"/>
          <w:spacing w:val="0"/>
          <w:sz w:val="32"/>
          <w:szCs w:val="32"/>
          <w:lang w:val="zh-CN"/>
        </w:rPr>
        <w:t>需要，</w:t>
      </w:r>
      <w:r>
        <w:rPr>
          <w:rFonts w:hint="eastAsia" w:ascii="仿宋_GB2312" w:eastAsia="仿宋_GB2312"/>
          <w:color w:val="000000"/>
          <w:spacing w:val="0"/>
          <w:sz w:val="32"/>
          <w:szCs w:val="32"/>
        </w:rPr>
        <w:t>专项应急指挥部</w:t>
      </w:r>
      <w:r>
        <w:rPr>
          <w:rFonts w:hint="eastAsia" w:ascii="仿宋_GB2312" w:eastAsia="仿宋_GB2312"/>
          <w:color w:val="000000"/>
          <w:spacing w:val="0"/>
          <w:sz w:val="32"/>
          <w:szCs w:val="32"/>
          <w:lang w:val="zh-CN"/>
        </w:rPr>
        <w:t>适时对成员单位进行调整和补充。</w:t>
      </w:r>
    </w:p>
    <w:p>
      <w:pPr>
        <w:keepNext w:val="0"/>
        <w:keepLines w:val="0"/>
        <w:snapToGrid w:val="0"/>
        <w:spacing w:line="520" w:lineRule="exact"/>
        <w:ind w:firstLine="643" w:firstLineChars="200"/>
        <w:outlineLvl w:val="1"/>
        <w:rPr>
          <w:rFonts w:hint="eastAsia" w:ascii="楷体_GB2312" w:eastAsia="楷体_GB2312"/>
          <w:b/>
          <w:bCs/>
          <w:color w:val="000000"/>
          <w:sz w:val="32"/>
          <w:szCs w:val="32"/>
        </w:rPr>
      </w:pPr>
      <w:bookmarkStart w:id="142" w:name="_Toc97825510"/>
      <w:bookmarkStart w:id="143" w:name="_Toc153282022"/>
      <w:bookmarkStart w:id="144" w:name="_Hlk96358074"/>
      <w:r>
        <w:rPr>
          <w:rFonts w:hint="eastAsia" w:ascii="楷体_GB2312" w:eastAsia="楷体_GB2312"/>
          <w:b/>
          <w:bCs/>
          <w:color w:val="000000"/>
          <w:sz w:val="32"/>
          <w:szCs w:val="32"/>
        </w:rPr>
        <w:t>2.4 现场指挥</w:t>
      </w:r>
      <w:bookmarkEnd w:id="142"/>
      <w:r>
        <w:rPr>
          <w:rFonts w:hint="eastAsia" w:ascii="楷体_GB2312" w:eastAsia="楷体_GB2312"/>
          <w:b/>
          <w:bCs/>
          <w:color w:val="000000"/>
          <w:sz w:val="32"/>
          <w:szCs w:val="32"/>
        </w:rPr>
        <w:t>机构</w:t>
      </w:r>
      <w:bookmarkEnd w:id="143"/>
    </w:p>
    <w:p>
      <w:pPr>
        <w:widowControl w:val="0"/>
        <w:adjustRightInd w:val="0"/>
        <w:snapToGrid w:val="0"/>
        <w:spacing w:line="52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根据事故现场应急处置工作需要，专项应急指挥部视情况成立现场指挥部，及时开展先期处置。</w:t>
      </w:r>
    </w:p>
    <w:p>
      <w:pPr>
        <w:adjustRightInd w:val="0"/>
        <w:snapToGrid w:val="0"/>
        <w:spacing w:line="52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根据处置需要，现场指挥部可以设立综合协调组、应急处置组、秩序维护组、医疗救治组、环境监测组、综合保障组、新闻舆情组等</w:t>
      </w:r>
      <w:r>
        <w:rPr>
          <w:rFonts w:hint="eastAsia" w:ascii="仿宋_GB2312" w:eastAsia="仿宋_GB2312"/>
          <w:color w:val="000000"/>
          <w:spacing w:val="0"/>
          <w:sz w:val="32"/>
          <w:szCs w:val="32"/>
        </w:rPr>
        <w:t>现场</w:t>
      </w:r>
      <w:r>
        <w:rPr>
          <w:rFonts w:hint="eastAsia" w:ascii="仿宋_GB2312" w:eastAsia="仿宋_GB2312"/>
          <w:color w:val="000000"/>
          <w:spacing w:val="0"/>
          <w:sz w:val="32"/>
          <w:szCs w:val="32"/>
          <w:lang w:val="zh-CN"/>
        </w:rPr>
        <w:t>工作组，</w:t>
      </w:r>
      <w:r>
        <w:rPr>
          <w:rFonts w:hint="eastAsia" w:ascii="仿宋_GB2312" w:eastAsia="仿宋_GB2312"/>
          <w:color w:val="000000"/>
          <w:spacing w:val="0"/>
          <w:sz w:val="32"/>
          <w:szCs w:val="32"/>
        </w:rPr>
        <w:t>各现场工作组组成及主要职责见下表</w:t>
      </w:r>
      <w:r>
        <w:rPr>
          <w:rFonts w:hint="eastAsia" w:ascii="仿宋_GB2312" w:eastAsia="仿宋_GB2312"/>
          <w:color w:val="000000"/>
          <w:spacing w:val="0"/>
          <w:sz w:val="32"/>
          <w:szCs w:val="32"/>
          <w:lang w:val="zh-CN"/>
        </w:rPr>
        <w:t>。</w:t>
      </w:r>
    </w:p>
    <w:p>
      <w:pPr>
        <w:pStyle w:val="4"/>
        <w:spacing w:after="0" w:line="520" w:lineRule="exact"/>
        <w:ind w:firstLine="640" w:firstLineChars="200"/>
        <w:jc w:val="center"/>
        <w:rPr>
          <w:rFonts w:hint="eastAsia" w:ascii="仿宋_GB2312" w:eastAsia="仿宋_GB2312"/>
          <w:color w:val="000000"/>
          <w:sz w:val="32"/>
          <w:szCs w:val="32"/>
          <w:lang w:val="en-US"/>
        </w:rPr>
      </w:pPr>
      <w:r>
        <w:rPr>
          <w:rFonts w:hint="eastAsia" w:ascii="仿宋_GB2312" w:eastAsia="仿宋_GB2312"/>
          <w:color w:val="000000"/>
          <w:spacing w:val="0"/>
          <w:sz w:val="32"/>
          <w:szCs w:val="32"/>
          <w:lang w:val="en-US"/>
        </w:rPr>
        <w:t>表2.4-1  现场应急救援小组组成及主要职责</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913"/>
        <w:gridCol w:w="1284"/>
        <w:gridCol w:w="1859"/>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7" w:hRule="atLeast"/>
          <w:tblHeader/>
        </w:trPr>
        <w:tc>
          <w:tcPr>
            <w:tcW w:w="507" w:type="pct"/>
            <w:noWrap w:val="0"/>
            <w:vAlign w:val="center"/>
          </w:tcPr>
          <w:p>
            <w:pPr>
              <w:pStyle w:val="4"/>
              <w:spacing w:after="0" w:line="260" w:lineRule="exact"/>
              <w:jc w:val="center"/>
              <w:rPr>
                <w:rFonts w:ascii="黑体" w:hAnsi="黑体" w:eastAsia="黑体" w:cs="宋体"/>
                <w:sz w:val="21"/>
                <w:szCs w:val="21"/>
                <w:lang w:eastAsia="zh-CN"/>
              </w:rPr>
            </w:pPr>
            <w:r>
              <w:rPr>
                <w:rFonts w:hint="eastAsia" w:ascii="黑体" w:hAnsi="黑体" w:eastAsia="黑体" w:cs="宋体"/>
                <w:sz w:val="21"/>
                <w:szCs w:val="21"/>
                <w:lang w:eastAsia="zh-CN"/>
              </w:rPr>
              <w:t>工作组</w:t>
            </w:r>
          </w:p>
        </w:tc>
        <w:tc>
          <w:tcPr>
            <w:tcW w:w="712" w:type="pct"/>
            <w:noWrap w:val="0"/>
            <w:vAlign w:val="center"/>
          </w:tcPr>
          <w:p>
            <w:pPr>
              <w:pStyle w:val="4"/>
              <w:spacing w:after="0" w:line="260" w:lineRule="exact"/>
              <w:jc w:val="center"/>
              <w:rPr>
                <w:rFonts w:ascii="黑体" w:hAnsi="黑体" w:eastAsia="黑体" w:cs="宋体"/>
                <w:sz w:val="21"/>
                <w:szCs w:val="21"/>
                <w:lang w:eastAsia="zh-CN"/>
              </w:rPr>
            </w:pPr>
            <w:r>
              <w:rPr>
                <w:rFonts w:hint="eastAsia" w:ascii="黑体" w:hAnsi="黑体" w:eastAsia="黑体" w:cs="宋体"/>
                <w:sz w:val="21"/>
                <w:szCs w:val="21"/>
                <w:lang w:eastAsia="zh-CN"/>
              </w:rPr>
              <w:t>牵头单位</w:t>
            </w:r>
          </w:p>
        </w:tc>
        <w:tc>
          <w:tcPr>
            <w:tcW w:w="1031" w:type="pct"/>
            <w:noWrap w:val="0"/>
            <w:vAlign w:val="center"/>
          </w:tcPr>
          <w:p>
            <w:pPr>
              <w:pStyle w:val="4"/>
              <w:spacing w:after="0" w:line="260" w:lineRule="exact"/>
              <w:jc w:val="center"/>
              <w:rPr>
                <w:rFonts w:ascii="黑体" w:hAnsi="黑体" w:eastAsia="黑体" w:cs="宋体"/>
                <w:sz w:val="21"/>
                <w:szCs w:val="21"/>
                <w:lang w:eastAsia="zh-CN"/>
              </w:rPr>
            </w:pPr>
            <w:r>
              <w:rPr>
                <w:rFonts w:hint="eastAsia" w:ascii="黑体" w:hAnsi="黑体" w:eastAsia="黑体" w:cs="宋体"/>
                <w:sz w:val="21"/>
                <w:szCs w:val="21"/>
                <w:lang w:eastAsia="zh-CN"/>
              </w:rPr>
              <w:t>参与单位</w:t>
            </w:r>
          </w:p>
        </w:tc>
        <w:tc>
          <w:tcPr>
            <w:tcW w:w="2750" w:type="pct"/>
            <w:noWrap w:val="0"/>
            <w:vAlign w:val="center"/>
          </w:tcPr>
          <w:p>
            <w:pPr>
              <w:pStyle w:val="4"/>
              <w:spacing w:after="0" w:line="260" w:lineRule="exact"/>
              <w:jc w:val="center"/>
              <w:rPr>
                <w:rFonts w:ascii="黑体" w:hAnsi="黑体" w:eastAsia="黑体" w:cs="宋体"/>
                <w:sz w:val="21"/>
                <w:szCs w:val="21"/>
                <w:lang w:eastAsia="zh-CN"/>
              </w:rPr>
            </w:pPr>
            <w:r>
              <w:rPr>
                <w:rFonts w:hint="eastAsia" w:ascii="黑体" w:hAnsi="黑体" w:eastAsia="黑体" w:cs="宋体"/>
                <w:sz w:val="21"/>
                <w:szCs w:val="21"/>
                <w:lang w:eastAsia="zh-CN"/>
              </w:rPr>
              <w:t>主要应急职责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507"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综合协调组</w:t>
            </w:r>
          </w:p>
        </w:tc>
        <w:tc>
          <w:tcPr>
            <w:tcW w:w="712"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val="en-US" w:eastAsia="zh-CN"/>
              </w:rPr>
              <w:t>发改局</w:t>
            </w:r>
          </w:p>
        </w:tc>
        <w:tc>
          <w:tcPr>
            <w:tcW w:w="1031"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相关成员单位</w:t>
            </w:r>
          </w:p>
        </w:tc>
        <w:tc>
          <w:tcPr>
            <w:tcW w:w="2750" w:type="pct"/>
            <w:noWrap w:val="0"/>
            <w:vAlign w:val="center"/>
          </w:tcPr>
          <w:p>
            <w:pPr>
              <w:pStyle w:val="4"/>
              <w:spacing w:after="0" w:line="280" w:lineRule="exact"/>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配合上级部门协调事故发生后油气资源调度及供应安全；承担现场指挥部的值守工作，接收与转发</w:t>
            </w:r>
            <w:r>
              <w:rPr>
                <w:rFonts w:hint="eastAsia" w:ascii="仿宋_GB2312" w:hAnsi="宋体" w:eastAsia="仿宋_GB2312" w:cs="宋体"/>
                <w:sz w:val="21"/>
                <w:szCs w:val="21"/>
                <w:lang w:val="en-US" w:eastAsia="zh-CN"/>
              </w:rPr>
              <w:t>专项应急指挥部</w:t>
            </w:r>
            <w:r>
              <w:rPr>
                <w:rFonts w:hint="eastAsia" w:ascii="仿宋_GB2312" w:hAnsi="宋体" w:eastAsia="仿宋_GB2312" w:cs="宋体"/>
                <w:sz w:val="21"/>
                <w:szCs w:val="21"/>
                <w:lang w:eastAsia="zh-CN"/>
              </w:rPr>
              <w:t>指令；收集、汇总现场处置和应急救援工作文件资料。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507"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应急处置组</w:t>
            </w:r>
          </w:p>
        </w:tc>
        <w:tc>
          <w:tcPr>
            <w:tcW w:w="712"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应急局</w:t>
            </w:r>
          </w:p>
        </w:tc>
        <w:tc>
          <w:tcPr>
            <w:tcW w:w="1031"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bidi="zh-CN"/>
              </w:rPr>
              <w:t>消防救援支队、城环局、市场局</w:t>
            </w:r>
          </w:p>
        </w:tc>
        <w:tc>
          <w:tcPr>
            <w:tcW w:w="2750" w:type="pct"/>
            <w:noWrap w:val="0"/>
            <w:vAlign w:val="center"/>
          </w:tcPr>
          <w:p>
            <w:pPr>
              <w:pStyle w:val="4"/>
              <w:spacing w:after="0" w:line="280" w:lineRule="exact"/>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收集汇总相关数据，事故态势判断，组织制定事故应急处置工作方案，组织推进方案实施；现场控制、遇险人员搜救；组织协调应急专家、救援队伍、有关力量。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507" w:type="pct"/>
            <w:vMerge w:val="restar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秩序维护组</w:t>
            </w:r>
          </w:p>
        </w:tc>
        <w:tc>
          <w:tcPr>
            <w:tcW w:w="712"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bidi="zh-CN"/>
              </w:rPr>
              <w:t>办公室、临港综合办</w:t>
            </w:r>
          </w:p>
        </w:tc>
        <w:tc>
          <w:tcPr>
            <w:tcW w:w="1031"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val="en-US" w:eastAsia="zh-CN" w:bidi="zh-CN"/>
              </w:rPr>
              <w:t>物流区管理局、</w:t>
            </w:r>
            <w:r>
              <w:rPr>
                <w:rFonts w:hint="eastAsia" w:ascii="仿宋_GB2312" w:hAnsi="宋体" w:eastAsia="仿宋_GB2312" w:cs="宋体"/>
                <w:sz w:val="21"/>
                <w:szCs w:val="21"/>
                <w:lang w:val="en-US" w:eastAsia="zh-CN"/>
              </w:rPr>
              <w:t>有关</w:t>
            </w:r>
            <w:r>
              <w:rPr>
                <w:rFonts w:hint="eastAsia" w:ascii="仿宋_GB2312" w:hAnsi="宋体" w:eastAsia="仿宋_GB2312" w:cs="宋体"/>
                <w:sz w:val="21"/>
                <w:szCs w:val="21"/>
                <w:lang w:val="en-US" w:eastAsia="zh-CN" w:bidi="zh-CN"/>
              </w:rPr>
              <w:t>派出所</w:t>
            </w:r>
          </w:p>
        </w:tc>
        <w:tc>
          <w:tcPr>
            <w:tcW w:w="2750" w:type="pct"/>
            <w:noWrap w:val="0"/>
            <w:vAlign w:val="center"/>
          </w:tcPr>
          <w:p>
            <w:pPr>
              <w:pStyle w:val="4"/>
              <w:spacing w:after="0" w:line="280" w:lineRule="exact"/>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 xml:space="preserve">根据事故现场情况，划定警戒区；维护公共秩序和治安，组织人员疏散。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507" w:type="pct"/>
            <w:vMerge w:val="continue"/>
            <w:noWrap w:val="0"/>
            <w:vAlign w:val="center"/>
          </w:tcPr>
          <w:p>
            <w:pPr>
              <w:pStyle w:val="4"/>
              <w:spacing w:after="0" w:line="280" w:lineRule="exact"/>
              <w:jc w:val="center"/>
              <w:rPr>
                <w:rFonts w:hint="eastAsia" w:ascii="仿宋_GB2312" w:hAnsi="宋体" w:eastAsia="仿宋_GB2312" w:cs="宋体"/>
                <w:sz w:val="21"/>
                <w:szCs w:val="21"/>
                <w:lang w:eastAsia="zh-CN"/>
              </w:rPr>
            </w:pPr>
          </w:p>
        </w:tc>
        <w:tc>
          <w:tcPr>
            <w:tcW w:w="712" w:type="pct"/>
            <w:noWrap w:val="0"/>
            <w:vAlign w:val="center"/>
          </w:tcPr>
          <w:p>
            <w:pPr>
              <w:pStyle w:val="4"/>
              <w:spacing w:after="0" w:line="280" w:lineRule="exact"/>
              <w:jc w:val="center"/>
              <w:rPr>
                <w:rFonts w:hint="eastAsia" w:ascii="仿宋_GB2312" w:hAnsi="宋体" w:eastAsia="仿宋_GB2312" w:cs="宋体"/>
                <w:sz w:val="21"/>
                <w:szCs w:val="21"/>
                <w:lang w:eastAsia="zh-CN" w:bidi="zh-CN"/>
              </w:rPr>
            </w:pPr>
            <w:r>
              <w:rPr>
                <w:rFonts w:hint="eastAsia" w:ascii="仿宋_GB2312" w:hAnsi="宋体" w:eastAsia="仿宋_GB2312" w:cs="宋体"/>
                <w:sz w:val="21"/>
                <w:szCs w:val="21"/>
                <w:lang w:val="en-US" w:eastAsia="zh-CN" w:bidi="zh-CN"/>
              </w:rPr>
              <w:t>规建局</w:t>
            </w:r>
          </w:p>
        </w:tc>
        <w:tc>
          <w:tcPr>
            <w:tcW w:w="1031" w:type="pct"/>
            <w:noWrap w:val="0"/>
            <w:vAlign w:val="center"/>
          </w:tcPr>
          <w:p>
            <w:pPr>
              <w:pStyle w:val="4"/>
              <w:spacing w:after="0" w:line="280" w:lineRule="exact"/>
              <w:jc w:val="center"/>
              <w:rPr>
                <w:rFonts w:hint="eastAsia" w:ascii="仿宋_GB2312" w:hAnsi="宋体" w:eastAsia="仿宋_GB2312" w:cs="宋体"/>
                <w:sz w:val="21"/>
                <w:szCs w:val="21"/>
                <w:lang w:eastAsia="zh-CN" w:bidi="zh-CN"/>
              </w:rPr>
            </w:pPr>
            <w:r>
              <w:rPr>
                <w:rFonts w:hint="eastAsia" w:ascii="仿宋_GB2312" w:hAnsi="宋体" w:eastAsia="仿宋_GB2312" w:cs="宋体"/>
                <w:sz w:val="21"/>
                <w:szCs w:val="21"/>
                <w:lang w:val="en-US" w:eastAsia="zh-CN" w:bidi="zh-CN"/>
              </w:rPr>
              <w:t>交警大队</w:t>
            </w:r>
          </w:p>
        </w:tc>
        <w:tc>
          <w:tcPr>
            <w:tcW w:w="2750" w:type="pct"/>
            <w:noWrap w:val="0"/>
            <w:vAlign w:val="center"/>
          </w:tcPr>
          <w:p>
            <w:pPr>
              <w:pStyle w:val="4"/>
              <w:spacing w:after="0" w:line="280" w:lineRule="exact"/>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实施交通管制，保障抢险救援道路畅通。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507"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医疗救治组</w:t>
            </w:r>
          </w:p>
        </w:tc>
        <w:tc>
          <w:tcPr>
            <w:tcW w:w="712"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bidi="zh-CN"/>
              </w:rPr>
              <w:t>社发局</w:t>
            </w:r>
          </w:p>
        </w:tc>
        <w:tc>
          <w:tcPr>
            <w:tcW w:w="1031"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有关医疗机构</w:t>
            </w:r>
          </w:p>
        </w:tc>
        <w:tc>
          <w:tcPr>
            <w:tcW w:w="2750" w:type="pct"/>
            <w:noWrap w:val="0"/>
            <w:vAlign w:val="center"/>
          </w:tcPr>
          <w:p>
            <w:pPr>
              <w:pStyle w:val="4"/>
              <w:spacing w:after="0" w:line="280" w:lineRule="exact"/>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组织伤员救治和转运；向现场指挥部通报伤员救治情况。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507"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环境监测组</w:t>
            </w:r>
          </w:p>
        </w:tc>
        <w:tc>
          <w:tcPr>
            <w:tcW w:w="712"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bidi="zh-CN"/>
              </w:rPr>
              <w:t>城环局</w:t>
            </w:r>
          </w:p>
        </w:tc>
        <w:tc>
          <w:tcPr>
            <w:tcW w:w="1031"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val="en-US" w:eastAsia="zh-CN"/>
              </w:rPr>
              <w:t>应急局</w:t>
            </w:r>
          </w:p>
        </w:tc>
        <w:tc>
          <w:tcPr>
            <w:tcW w:w="2750" w:type="pct"/>
            <w:noWrap w:val="0"/>
            <w:vAlign w:val="center"/>
          </w:tcPr>
          <w:p>
            <w:pPr>
              <w:pStyle w:val="4"/>
              <w:spacing w:after="0" w:line="280" w:lineRule="exact"/>
              <w:rPr>
                <w:rFonts w:hint="eastAsia" w:ascii="仿宋_GB2312" w:hAnsi="宋体" w:eastAsia="仿宋_GB2312" w:cs="宋体"/>
                <w:sz w:val="21"/>
                <w:szCs w:val="21"/>
                <w:lang w:eastAsia="zh-CN"/>
              </w:rPr>
            </w:pPr>
            <w:r>
              <w:rPr>
                <w:rFonts w:hint="eastAsia" w:ascii="仿宋_GB2312" w:hAnsi="宋体" w:eastAsia="仿宋_GB2312" w:cs="宋体"/>
                <w:spacing w:val="6"/>
                <w:sz w:val="21"/>
                <w:szCs w:val="21"/>
                <w:lang w:eastAsia="zh-CN"/>
              </w:rPr>
              <w:t>提供事发地及周边的气象预报、预警信息等气象保障；</w:t>
            </w:r>
            <w:r>
              <w:rPr>
                <w:rFonts w:hint="eastAsia" w:ascii="仿宋_GB2312" w:hAnsi="宋体" w:eastAsia="仿宋_GB2312" w:cs="宋体"/>
                <w:spacing w:val="6"/>
                <w:sz w:val="21"/>
                <w:szCs w:val="21"/>
                <w:lang w:val="en-US" w:eastAsia="zh-CN"/>
              </w:rPr>
              <w:t>协助</w:t>
            </w:r>
            <w:r>
              <w:rPr>
                <w:rFonts w:hint="eastAsia" w:ascii="仿宋_GB2312" w:hAnsi="宋体" w:eastAsia="仿宋_GB2312" w:cs="宋体"/>
                <w:sz w:val="21"/>
                <w:szCs w:val="21"/>
                <w:lang w:eastAsia="zh-CN"/>
              </w:rPr>
              <w:t>事故现场环境监测、生态损害监测、核实污染损害情况。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507"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综合保障组</w:t>
            </w:r>
          </w:p>
        </w:tc>
        <w:tc>
          <w:tcPr>
            <w:tcW w:w="712" w:type="pct"/>
            <w:noWrap w:val="0"/>
            <w:vAlign w:val="center"/>
          </w:tcPr>
          <w:p>
            <w:pPr>
              <w:pStyle w:val="4"/>
              <w:spacing w:after="0" w:line="280" w:lineRule="exact"/>
              <w:jc w:val="center"/>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应急局</w:t>
            </w:r>
          </w:p>
        </w:tc>
        <w:tc>
          <w:tcPr>
            <w:tcW w:w="1031"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val="en-US" w:eastAsia="zh-CN"/>
              </w:rPr>
              <w:t>发改局、</w:t>
            </w:r>
            <w:r>
              <w:rPr>
                <w:rFonts w:hint="eastAsia" w:ascii="仿宋_GB2312" w:hAnsi="宋体" w:eastAsia="仿宋_GB2312" w:cs="宋体"/>
                <w:sz w:val="21"/>
                <w:szCs w:val="21"/>
                <w:lang w:eastAsia="zh-CN" w:bidi="zh-CN"/>
              </w:rPr>
              <w:t>财政局、社发局</w:t>
            </w:r>
            <w:r>
              <w:rPr>
                <w:rFonts w:hint="eastAsia" w:ascii="仿宋_GB2312" w:hAnsi="宋体" w:eastAsia="仿宋_GB2312" w:cs="宋体"/>
                <w:sz w:val="21"/>
                <w:szCs w:val="21"/>
                <w:lang w:val="en-US" w:eastAsia="zh-CN" w:bidi="zh-CN"/>
              </w:rPr>
              <w:t>、</w:t>
            </w:r>
            <w:r>
              <w:rPr>
                <w:rFonts w:hint="eastAsia" w:ascii="仿宋_GB2312" w:hAnsi="宋体" w:eastAsia="仿宋_GB2312" w:cs="宋体"/>
                <w:sz w:val="21"/>
                <w:szCs w:val="21"/>
                <w:lang w:eastAsia="zh-CN" w:bidi="zh-CN"/>
              </w:rPr>
              <w:t>规建局、城环局</w:t>
            </w:r>
            <w:r>
              <w:rPr>
                <w:rFonts w:hint="eastAsia" w:ascii="仿宋_GB2312" w:hAnsi="宋体" w:eastAsia="仿宋_GB2312" w:cs="宋体"/>
                <w:sz w:val="21"/>
                <w:szCs w:val="21"/>
                <w:lang w:eastAsia="zh-CN"/>
              </w:rPr>
              <w:t>和事故单位</w:t>
            </w:r>
          </w:p>
        </w:tc>
        <w:tc>
          <w:tcPr>
            <w:tcW w:w="2750" w:type="pct"/>
            <w:noWrap w:val="0"/>
            <w:vAlign w:val="center"/>
          </w:tcPr>
          <w:p>
            <w:pPr>
              <w:pStyle w:val="4"/>
              <w:spacing w:after="0" w:line="280" w:lineRule="exact"/>
              <w:rPr>
                <w:rFonts w:hint="eastAsia" w:ascii="仿宋_GB2312" w:hAnsi="宋体" w:eastAsia="仿宋_GB2312" w:cs="宋体"/>
                <w:sz w:val="21"/>
                <w:szCs w:val="21"/>
                <w:lang w:eastAsia="zh-CN"/>
              </w:rPr>
            </w:pPr>
            <w:r>
              <w:rPr>
                <w:rFonts w:hint="eastAsia" w:ascii="仿宋_GB2312" w:hAnsi="宋体" w:eastAsia="仿宋_GB2312" w:cs="宋体"/>
                <w:spacing w:val="6"/>
                <w:sz w:val="21"/>
                <w:szCs w:val="21"/>
                <w:lang w:eastAsia="zh-CN"/>
              </w:rPr>
              <w:t>调运抢险物资、交通</w:t>
            </w:r>
            <w:r>
              <w:rPr>
                <w:rFonts w:hint="eastAsia" w:ascii="仿宋_GB2312" w:hAnsi="宋体" w:eastAsia="仿宋_GB2312" w:cs="宋体"/>
                <w:spacing w:val="6"/>
                <w:sz w:val="21"/>
                <w:szCs w:val="21"/>
                <w:lang w:val="en-US" w:eastAsia="zh-CN"/>
              </w:rPr>
              <w:t>线路畅通</w:t>
            </w:r>
            <w:r>
              <w:rPr>
                <w:rFonts w:hint="eastAsia" w:ascii="仿宋_GB2312" w:hAnsi="宋体" w:eastAsia="仿宋_GB2312" w:cs="宋体"/>
                <w:spacing w:val="6"/>
                <w:sz w:val="21"/>
                <w:szCs w:val="21"/>
                <w:lang w:eastAsia="zh-CN"/>
              </w:rPr>
              <w:t>、运输车辆</w:t>
            </w:r>
            <w:r>
              <w:rPr>
                <w:rFonts w:hint="eastAsia" w:ascii="仿宋_GB2312" w:hAnsi="宋体" w:eastAsia="仿宋_GB2312" w:cs="宋体"/>
                <w:spacing w:val="6"/>
                <w:sz w:val="21"/>
                <w:szCs w:val="21"/>
                <w:lang w:val="en-US" w:eastAsia="zh-CN"/>
              </w:rPr>
              <w:t>保障</w:t>
            </w:r>
            <w:r>
              <w:rPr>
                <w:rFonts w:hint="eastAsia" w:ascii="仿宋_GB2312" w:hAnsi="宋体" w:eastAsia="仿宋_GB2312" w:cs="宋体"/>
                <w:spacing w:val="6"/>
                <w:sz w:val="21"/>
                <w:szCs w:val="21"/>
                <w:lang w:eastAsia="zh-CN"/>
              </w:rPr>
              <w:t>；转移安置群众、生活保障、资金保障。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507"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新闻舆情组</w:t>
            </w:r>
          </w:p>
        </w:tc>
        <w:tc>
          <w:tcPr>
            <w:tcW w:w="712"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val="en-US" w:eastAsia="zh-CN"/>
              </w:rPr>
              <w:t>党建部</w:t>
            </w:r>
          </w:p>
        </w:tc>
        <w:tc>
          <w:tcPr>
            <w:tcW w:w="1031" w:type="pct"/>
            <w:noWrap w:val="0"/>
            <w:vAlign w:val="center"/>
          </w:tcPr>
          <w:p>
            <w:pPr>
              <w:pStyle w:val="4"/>
              <w:spacing w:after="0" w:line="280" w:lineRule="exact"/>
              <w:jc w:val="center"/>
              <w:rPr>
                <w:rFonts w:hint="eastAsia" w:ascii="仿宋_GB2312" w:hAnsi="宋体" w:eastAsia="仿宋_GB2312" w:cs="宋体"/>
                <w:sz w:val="21"/>
                <w:szCs w:val="21"/>
                <w:lang w:eastAsia="zh-CN"/>
              </w:rPr>
            </w:pPr>
            <w:r>
              <w:rPr>
                <w:rFonts w:hint="eastAsia" w:ascii="仿宋_GB2312" w:hAnsi="宋体" w:eastAsia="仿宋_GB2312" w:cs="宋体"/>
                <w:sz w:val="21"/>
                <w:szCs w:val="21"/>
                <w:lang w:val="en-US" w:eastAsia="zh-CN"/>
              </w:rPr>
              <w:t>办公室</w:t>
            </w:r>
            <w:r>
              <w:rPr>
                <w:rFonts w:hint="eastAsia" w:ascii="仿宋_GB2312" w:hAnsi="宋体" w:eastAsia="仿宋_GB2312" w:cs="宋体"/>
                <w:sz w:val="21"/>
                <w:szCs w:val="21"/>
                <w:lang w:eastAsia="zh-CN" w:bidi="zh-CN"/>
              </w:rPr>
              <w:t>、社发局</w:t>
            </w:r>
            <w:r>
              <w:rPr>
                <w:rFonts w:hint="eastAsia" w:ascii="仿宋_GB2312" w:hAnsi="宋体" w:eastAsia="仿宋_GB2312" w:cs="宋体"/>
                <w:sz w:val="21"/>
                <w:szCs w:val="21"/>
                <w:lang w:val="en-US" w:eastAsia="zh-CN" w:bidi="zh-CN"/>
              </w:rPr>
              <w:t>及</w:t>
            </w:r>
            <w:r>
              <w:rPr>
                <w:rFonts w:hint="eastAsia" w:ascii="仿宋_GB2312" w:hAnsi="宋体" w:eastAsia="仿宋_GB2312" w:cs="宋体"/>
                <w:sz w:val="21"/>
                <w:szCs w:val="21"/>
                <w:lang w:eastAsia="zh-CN"/>
              </w:rPr>
              <w:t>事故单位</w:t>
            </w:r>
          </w:p>
        </w:tc>
        <w:tc>
          <w:tcPr>
            <w:tcW w:w="2750" w:type="pct"/>
            <w:noWrap w:val="0"/>
            <w:vAlign w:val="center"/>
          </w:tcPr>
          <w:p>
            <w:pPr>
              <w:pStyle w:val="4"/>
              <w:spacing w:after="0" w:line="280" w:lineRule="exact"/>
              <w:rPr>
                <w:rFonts w:hint="eastAsia" w:ascii="仿宋_GB2312" w:hAnsi="宋体" w:eastAsia="仿宋_GB2312" w:cs="宋体"/>
                <w:sz w:val="21"/>
                <w:szCs w:val="21"/>
                <w:lang w:eastAsia="zh-CN"/>
              </w:rPr>
            </w:pPr>
            <w:r>
              <w:rPr>
                <w:rFonts w:hint="eastAsia" w:ascii="仿宋_GB2312" w:hAnsi="宋体" w:eastAsia="仿宋_GB2312" w:cs="宋体"/>
                <w:sz w:val="21"/>
                <w:szCs w:val="21"/>
                <w:lang w:eastAsia="zh-CN"/>
              </w:rPr>
              <w:t>配合上级部门开展新闻报道、信息发布和舆情处置等工作。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5000" w:type="pct"/>
            <w:gridSpan w:val="4"/>
            <w:noWrap w:val="0"/>
            <w:vAlign w:val="center"/>
          </w:tcPr>
          <w:p>
            <w:pPr>
              <w:pStyle w:val="4"/>
              <w:spacing w:after="0" w:line="280" w:lineRule="exact"/>
              <w:rPr>
                <w:rFonts w:hint="eastAsia" w:ascii="仿宋_GB2312" w:hAnsi="宋体" w:eastAsia="仿宋_GB2312" w:cs="宋体"/>
                <w:sz w:val="21"/>
                <w:szCs w:val="21"/>
                <w:lang w:eastAsia="zh-CN"/>
              </w:rPr>
            </w:pPr>
            <w:r>
              <w:rPr>
                <w:rFonts w:hint="eastAsia" w:ascii="仿宋_GB2312" w:hAnsi="宋体" w:eastAsia="仿宋_GB2312" w:cs="宋体"/>
                <w:spacing w:val="6"/>
                <w:sz w:val="21"/>
                <w:szCs w:val="21"/>
                <w:lang w:eastAsia="zh-CN"/>
              </w:rPr>
              <w:t>其他成员单位按照职责做好油气长输管道事故应急抢险准备与保障工作，并完成</w:t>
            </w:r>
            <w:r>
              <w:rPr>
                <w:rFonts w:hint="eastAsia" w:ascii="仿宋_GB2312" w:hAnsi="宋体" w:eastAsia="仿宋_GB2312" w:cs="宋体"/>
                <w:spacing w:val="6"/>
                <w:sz w:val="21"/>
                <w:szCs w:val="21"/>
                <w:lang w:val="en-US" w:eastAsia="zh-CN"/>
              </w:rPr>
              <w:t>保税区</w:t>
            </w:r>
            <w:r>
              <w:rPr>
                <w:rFonts w:hint="eastAsia" w:ascii="仿宋_GB2312" w:hAnsi="宋体" w:eastAsia="仿宋_GB2312" w:cs="宋体"/>
                <w:spacing w:val="6"/>
                <w:sz w:val="21"/>
                <w:szCs w:val="21"/>
                <w:lang w:eastAsia="zh-CN"/>
              </w:rPr>
              <w:t>管委会交办的其他事项。</w:t>
            </w:r>
          </w:p>
        </w:tc>
      </w:tr>
      <w:bookmarkEnd w:id="131"/>
      <w:bookmarkEnd w:id="144"/>
    </w:tbl>
    <w:p>
      <w:pPr>
        <w:pStyle w:val="6"/>
        <w:keepNext w:val="0"/>
        <w:keepLines w:val="0"/>
        <w:numPr>
          <w:ilvl w:val="0"/>
          <w:numId w:val="0"/>
        </w:numPr>
        <w:pBdr>
          <w:bottom w:val="none" w:color="auto" w:sz="0" w:space="0"/>
        </w:pBdr>
        <w:spacing w:before="0" w:beforeLines="0" w:line="540" w:lineRule="exact"/>
        <w:ind w:firstLine="640" w:firstLineChars="200"/>
        <w:jc w:val="both"/>
        <w:outlineLvl w:val="0"/>
        <w:rPr>
          <w:rFonts w:hint="eastAsia" w:ascii="黑体" w:hAnsi="黑体" w:eastAsia="黑体" w:cs="黑体"/>
          <w:bCs/>
          <w:color w:val="000000"/>
          <w:kern w:val="44"/>
          <w:sz w:val="32"/>
          <w:szCs w:val="32"/>
          <w:lang w:val="zh-CN"/>
        </w:rPr>
      </w:pPr>
      <w:bookmarkStart w:id="145" w:name="_Toc153282023"/>
      <w:bookmarkStart w:id="146" w:name="_Toc97825511"/>
      <w:bookmarkStart w:id="147" w:name="_Toc159031098"/>
      <w:r>
        <w:rPr>
          <w:rFonts w:hint="eastAsia" w:ascii="黑体" w:hAnsi="黑体" w:eastAsia="黑体" w:cs="黑体"/>
          <w:bCs/>
          <w:color w:val="000000"/>
          <w:kern w:val="44"/>
          <w:sz w:val="32"/>
          <w:szCs w:val="32"/>
        </w:rPr>
        <w:t xml:space="preserve">3 </w:t>
      </w:r>
      <w:r>
        <w:rPr>
          <w:rFonts w:hint="eastAsia" w:ascii="黑体" w:hAnsi="黑体" w:eastAsia="黑体" w:cs="黑体"/>
          <w:bCs/>
          <w:color w:val="000000"/>
          <w:kern w:val="44"/>
          <w:sz w:val="32"/>
          <w:szCs w:val="32"/>
          <w:lang w:val="zh-CN"/>
        </w:rPr>
        <w:t>预防和预警</w:t>
      </w:r>
      <w:bookmarkEnd w:id="145"/>
      <w:bookmarkEnd w:id="146"/>
    </w:p>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148" w:name="_Toc19234"/>
      <w:bookmarkStart w:id="149" w:name="_Toc153282024"/>
      <w:bookmarkStart w:id="150" w:name="_Toc97825512"/>
      <w:r>
        <w:rPr>
          <w:rFonts w:hint="eastAsia" w:ascii="楷体_GB2312" w:eastAsia="楷体_GB2312"/>
          <w:b/>
          <w:bCs/>
          <w:color w:val="000000"/>
          <w:sz w:val="32"/>
          <w:szCs w:val="32"/>
        </w:rPr>
        <w:t>3.1</w:t>
      </w:r>
      <w:bookmarkEnd w:id="147"/>
      <w:bookmarkEnd w:id="148"/>
      <w:r>
        <w:rPr>
          <w:rFonts w:hint="eastAsia" w:ascii="楷体_GB2312" w:eastAsia="楷体_GB2312"/>
          <w:b/>
          <w:bCs/>
          <w:color w:val="000000"/>
          <w:sz w:val="32"/>
          <w:szCs w:val="32"/>
        </w:rPr>
        <w:t xml:space="preserve"> 监测</w:t>
      </w:r>
      <w:bookmarkEnd w:id="149"/>
      <w:bookmarkEnd w:id="150"/>
      <w:bookmarkStart w:id="151" w:name="OLE_LINK8"/>
      <w:bookmarkStart w:id="152" w:name="OLE_LINK9"/>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油气长输管道企业应建立油气长输管道运行监测机制，落实企业主体责任，组织开展风险评估、风险管理，及早治理风险，妥善控制风险，对可能引发管道事故或者其他灾害的信息，要及时向</w:t>
      </w:r>
      <w:r>
        <w:rPr>
          <w:rFonts w:hint="eastAsia" w:ascii="仿宋_GB2312" w:eastAsia="仿宋_GB2312"/>
          <w:color w:val="000000"/>
          <w:spacing w:val="0"/>
          <w:sz w:val="32"/>
          <w:szCs w:val="32"/>
        </w:rPr>
        <w:t>保税区</w:t>
      </w:r>
      <w:r>
        <w:rPr>
          <w:rFonts w:hint="eastAsia" w:ascii="仿宋_GB2312" w:eastAsia="仿宋_GB2312"/>
          <w:color w:val="000000"/>
          <w:spacing w:val="0"/>
          <w:sz w:val="32"/>
          <w:szCs w:val="32"/>
          <w:lang w:val="zh-CN"/>
        </w:rPr>
        <w:t>相关部门报告。</w:t>
      </w:r>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rPr>
        <w:t>保税区相关部门依据职责，定期组织油气长输管道企业开展涉及油气长输管道安全的风险源、隐患点等排查，对可能发生油气长输管道事故的管段、区域、风险源等进行持续跟踪或监测，有效防范和遏制管道本体失效、人为损害、自然灾害等危险因素导致的油气长输管道事故。同时，通过日常巡查、基层单位上报、社会公众报告等多种</w:t>
      </w:r>
      <w:r>
        <w:rPr>
          <w:rFonts w:hint="eastAsia" w:ascii="仿宋_GB2312" w:eastAsia="仿宋_GB2312"/>
          <w:color w:val="000000"/>
          <w:spacing w:val="0"/>
          <w:sz w:val="32"/>
          <w:szCs w:val="32"/>
          <w:lang w:val="zh-CN"/>
        </w:rPr>
        <w:t>渠道收集信息，加强信息综合分析与评估，提高相关预报的准确性和时效性。重大节假日、重大活动、敏感时段、灾害性天气等特殊时段，应当加大监督检查力度，强化应急值守和信息报告工作。</w:t>
      </w:r>
    </w:p>
    <w:bookmarkEnd w:id="151"/>
    <w:bookmarkEnd w:id="152"/>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153" w:name="_Toc153282025"/>
      <w:bookmarkStart w:id="154" w:name="_Toc97825513"/>
      <w:bookmarkStart w:id="155" w:name="_Toc159031099"/>
      <w:r>
        <w:rPr>
          <w:rFonts w:hint="eastAsia" w:ascii="楷体_GB2312" w:eastAsia="楷体_GB2312"/>
          <w:b/>
          <w:bCs/>
          <w:color w:val="000000"/>
          <w:sz w:val="32"/>
          <w:szCs w:val="32"/>
        </w:rPr>
        <w:t>3.2 预警</w:t>
      </w:r>
      <w:bookmarkEnd w:id="153"/>
      <w:bookmarkEnd w:id="154"/>
    </w:p>
    <w:p>
      <w:pPr>
        <w:adjustRightInd w:val="0"/>
        <w:snapToGrid w:val="0"/>
        <w:spacing w:line="540" w:lineRule="exact"/>
        <w:ind w:firstLine="640" w:firstLineChars="200"/>
        <w:outlineLvl w:val="2"/>
        <w:rPr>
          <w:rFonts w:hint="eastAsia" w:ascii="仿宋_GB2312" w:eastAsia="仿宋_GB2312"/>
          <w:color w:val="000000"/>
          <w:spacing w:val="0"/>
          <w:sz w:val="32"/>
          <w:szCs w:val="32"/>
        </w:rPr>
      </w:pPr>
      <w:bookmarkStart w:id="156" w:name="_Toc153282026"/>
      <w:r>
        <w:rPr>
          <w:rFonts w:hint="eastAsia" w:ascii="仿宋_GB2312" w:eastAsia="仿宋_GB2312"/>
          <w:color w:val="000000"/>
          <w:spacing w:val="0"/>
          <w:sz w:val="32"/>
          <w:szCs w:val="32"/>
          <w:lang w:val="zh-CN"/>
        </w:rPr>
        <w:t>3.2.1 预警</w:t>
      </w:r>
      <w:r>
        <w:rPr>
          <w:rFonts w:hint="eastAsia" w:ascii="仿宋_GB2312" w:eastAsia="仿宋_GB2312"/>
          <w:color w:val="000000"/>
          <w:spacing w:val="0"/>
          <w:sz w:val="32"/>
          <w:szCs w:val="32"/>
        </w:rPr>
        <w:t>转发</w:t>
      </w:r>
      <w:bookmarkEnd w:id="156"/>
    </w:p>
    <w:p>
      <w:pPr>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rPr>
        <w:t>专项应急办</w:t>
      </w:r>
      <w:r>
        <w:rPr>
          <w:rFonts w:hint="eastAsia" w:ascii="仿宋_GB2312" w:eastAsia="仿宋_GB2312"/>
          <w:color w:val="000000"/>
          <w:spacing w:val="0"/>
          <w:sz w:val="32"/>
          <w:szCs w:val="32"/>
          <w:lang w:val="zh-CN"/>
        </w:rPr>
        <w:t>对接收到的气象、地质灾害等可能引发油气长输管道事故的</w:t>
      </w:r>
      <w:r>
        <w:rPr>
          <w:rFonts w:hint="eastAsia" w:ascii="仿宋_GB2312" w:eastAsia="仿宋_GB2312"/>
          <w:color w:val="000000"/>
          <w:spacing w:val="0"/>
          <w:sz w:val="32"/>
          <w:szCs w:val="32"/>
        </w:rPr>
        <w:t>相关</w:t>
      </w:r>
      <w:r>
        <w:rPr>
          <w:rFonts w:hint="eastAsia" w:ascii="仿宋_GB2312" w:eastAsia="仿宋_GB2312"/>
          <w:color w:val="000000"/>
          <w:spacing w:val="0"/>
          <w:sz w:val="32"/>
          <w:szCs w:val="32"/>
          <w:lang w:val="zh-CN"/>
        </w:rPr>
        <w:t>信息，及时向油气长输管道企业</w:t>
      </w:r>
      <w:r>
        <w:rPr>
          <w:rFonts w:hint="eastAsia" w:ascii="仿宋_GB2312" w:eastAsia="仿宋_GB2312"/>
          <w:color w:val="000000"/>
          <w:spacing w:val="0"/>
          <w:sz w:val="32"/>
          <w:szCs w:val="32"/>
        </w:rPr>
        <w:t>转发</w:t>
      </w: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要求</w:t>
      </w:r>
      <w:r>
        <w:rPr>
          <w:rFonts w:hint="eastAsia" w:ascii="仿宋_GB2312" w:eastAsia="仿宋_GB2312"/>
          <w:color w:val="000000"/>
          <w:spacing w:val="0"/>
          <w:sz w:val="32"/>
          <w:szCs w:val="32"/>
          <w:lang w:val="zh-CN"/>
        </w:rPr>
        <w:t>油气长输管道企业加强防范，降低</w:t>
      </w:r>
      <w:r>
        <w:rPr>
          <w:rFonts w:hint="eastAsia" w:ascii="仿宋_GB2312" w:eastAsia="仿宋_GB2312"/>
          <w:color w:val="000000"/>
          <w:spacing w:val="0"/>
          <w:sz w:val="32"/>
          <w:szCs w:val="32"/>
        </w:rPr>
        <w:t>管道</w:t>
      </w:r>
      <w:r>
        <w:rPr>
          <w:rFonts w:hint="eastAsia" w:ascii="仿宋_GB2312" w:eastAsia="仿宋_GB2312"/>
          <w:color w:val="000000"/>
          <w:spacing w:val="0"/>
          <w:sz w:val="32"/>
          <w:szCs w:val="32"/>
          <w:lang w:val="zh-CN"/>
        </w:rPr>
        <w:t>事故发生的可能性。</w:t>
      </w:r>
      <w:bookmarkStart w:id="157" w:name="_Toc153282027"/>
    </w:p>
    <w:p>
      <w:pPr>
        <w:snapToGrid w:val="0"/>
        <w:spacing w:line="540" w:lineRule="exact"/>
        <w:ind w:firstLine="640" w:firstLineChars="200"/>
        <w:outlineLvl w:val="2"/>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3.2.2 预警响应</w:t>
      </w:r>
      <w:bookmarkEnd w:id="157"/>
    </w:p>
    <w:p>
      <w:pPr>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1</w:t>
      </w:r>
      <w:r>
        <w:rPr>
          <w:rFonts w:hint="eastAsia" w:ascii="仿宋_GB2312" w:eastAsia="仿宋_GB2312"/>
          <w:color w:val="000000"/>
          <w:spacing w:val="0"/>
          <w:sz w:val="32"/>
          <w:szCs w:val="32"/>
          <w:lang w:val="zh-CN"/>
        </w:rPr>
        <w:t>）油气长输管道企业接到预警信息后，</w:t>
      </w:r>
      <w:r>
        <w:rPr>
          <w:rFonts w:hint="eastAsia" w:ascii="仿宋_GB2312" w:eastAsia="仿宋_GB2312"/>
          <w:color w:val="000000"/>
          <w:spacing w:val="0"/>
          <w:sz w:val="32"/>
          <w:szCs w:val="32"/>
        </w:rPr>
        <w:t>视情</w:t>
      </w:r>
      <w:r>
        <w:rPr>
          <w:rFonts w:hint="eastAsia" w:ascii="仿宋_GB2312" w:eastAsia="仿宋_GB2312"/>
          <w:color w:val="000000"/>
          <w:spacing w:val="0"/>
          <w:sz w:val="32"/>
          <w:szCs w:val="32"/>
          <w:lang w:val="zh-CN"/>
        </w:rPr>
        <w:t>采取</w:t>
      </w:r>
      <w:r>
        <w:rPr>
          <w:rFonts w:hint="eastAsia" w:ascii="仿宋_GB2312" w:eastAsia="仿宋_GB2312"/>
          <w:color w:val="000000"/>
          <w:spacing w:val="0"/>
          <w:sz w:val="32"/>
          <w:szCs w:val="32"/>
        </w:rPr>
        <w:t>以下</w:t>
      </w:r>
      <w:r>
        <w:rPr>
          <w:rFonts w:hint="eastAsia" w:ascii="仿宋_GB2312" w:eastAsia="仿宋_GB2312"/>
          <w:color w:val="000000"/>
          <w:spacing w:val="0"/>
          <w:sz w:val="32"/>
          <w:szCs w:val="32"/>
          <w:lang w:val="zh-CN"/>
        </w:rPr>
        <w:t>措施</w:t>
      </w:r>
      <w:bookmarkStart w:id="158" w:name="_Toc97812173"/>
      <w:bookmarkEnd w:id="158"/>
      <w:bookmarkStart w:id="159" w:name="_Toc97812092"/>
      <w:bookmarkEnd w:id="159"/>
      <w:r>
        <w:rPr>
          <w:rFonts w:hint="eastAsia" w:ascii="仿宋_GB2312" w:eastAsia="仿宋_GB2312"/>
          <w:color w:val="000000"/>
          <w:spacing w:val="0"/>
          <w:sz w:val="32"/>
          <w:szCs w:val="32"/>
          <w:lang w:val="zh-CN"/>
        </w:rPr>
        <w:t>：</w:t>
      </w:r>
    </w:p>
    <w:p>
      <w:pPr>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①</w:t>
      </w:r>
      <w:r>
        <w:rPr>
          <w:rFonts w:hint="eastAsia" w:ascii="仿宋_GB2312" w:eastAsia="仿宋_GB2312"/>
          <w:color w:val="000000"/>
          <w:spacing w:val="0"/>
          <w:sz w:val="32"/>
          <w:szCs w:val="32"/>
          <w:lang w:val="zh-CN"/>
        </w:rPr>
        <w:t>加强油气长输管道</w:t>
      </w:r>
      <w:r>
        <w:rPr>
          <w:rFonts w:hint="eastAsia" w:ascii="仿宋_GB2312" w:eastAsia="仿宋_GB2312"/>
          <w:color w:val="000000"/>
          <w:spacing w:val="0"/>
          <w:sz w:val="32"/>
          <w:szCs w:val="32"/>
        </w:rPr>
        <w:t>巡查和</w:t>
      </w:r>
      <w:r>
        <w:rPr>
          <w:rFonts w:hint="eastAsia" w:ascii="仿宋_GB2312" w:eastAsia="仿宋_GB2312"/>
          <w:color w:val="000000"/>
          <w:spacing w:val="0"/>
          <w:sz w:val="32"/>
          <w:szCs w:val="32"/>
          <w:lang w:val="zh-CN"/>
        </w:rPr>
        <w:t>监控；</w:t>
      </w:r>
    </w:p>
    <w:p>
      <w:pPr>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rPr>
        <w:t>②密切关注天气变化、地质灾害发展趋势，</w:t>
      </w:r>
      <w:r>
        <w:rPr>
          <w:rFonts w:hint="eastAsia" w:ascii="仿宋_GB2312" w:eastAsia="仿宋_GB2312"/>
          <w:color w:val="000000"/>
          <w:spacing w:val="0"/>
          <w:sz w:val="32"/>
          <w:szCs w:val="32"/>
          <w:lang w:val="zh-CN"/>
        </w:rPr>
        <w:t>预测</w:t>
      </w:r>
      <w:r>
        <w:rPr>
          <w:rFonts w:hint="eastAsia" w:ascii="仿宋_GB2312" w:eastAsia="仿宋_GB2312"/>
          <w:color w:val="000000"/>
          <w:spacing w:val="0"/>
          <w:sz w:val="32"/>
          <w:szCs w:val="32"/>
        </w:rPr>
        <w:t>发生管道事故</w:t>
      </w:r>
      <w:r>
        <w:rPr>
          <w:rFonts w:hint="eastAsia" w:ascii="仿宋_GB2312" w:eastAsia="仿宋_GB2312"/>
          <w:color w:val="000000"/>
          <w:spacing w:val="0"/>
          <w:sz w:val="32"/>
          <w:szCs w:val="32"/>
          <w:lang w:val="zh-CN"/>
        </w:rPr>
        <w:t>的可能性、影响范围以及可能发生的</w:t>
      </w:r>
      <w:r>
        <w:rPr>
          <w:rFonts w:hint="eastAsia" w:ascii="仿宋_GB2312" w:eastAsia="仿宋_GB2312"/>
          <w:color w:val="000000"/>
          <w:spacing w:val="0"/>
          <w:sz w:val="32"/>
          <w:szCs w:val="32"/>
        </w:rPr>
        <w:t>事故</w:t>
      </w:r>
      <w:r>
        <w:rPr>
          <w:rFonts w:hint="eastAsia" w:ascii="仿宋_GB2312" w:eastAsia="仿宋_GB2312"/>
          <w:color w:val="000000"/>
          <w:spacing w:val="0"/>
          <w:sz w:val="32"/>
          <w:szCs w:val="32"/>
          <w:lang w:val="zh-CN"/>
        </w:rPr>
        <w:t>级别；</w:t>
      </w:r>
    </w:p>
    <w:p>
      <w:pPr>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rPr>
        <w:t>③</w:t>
      </w:r>
      <w:r>
        <w:rPr>
          <w:rFonts w:hint="eastAsia" w:ascii="仿宋_GB2312" w:eastAsia="仿宋_GB2312"/>
          <w:color w:val="000000"/>
          <w:spacing w:val="0"/>
          <w:sz w:val="32"/>
          <w:szCs w:val="32"/>
          <w:lang w:val="zh-CN"/>
        </w:rPr>
        <w:t>准备或者直接启动相应的应急预案，应急救援队伍和专业人员进入待命状态；</w:t>
      </w:r>
    </w:p>
    <w:p>
      <w:pPr>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rPr>
        <w:t>④</w:t>
      </w:r>
      <w:r>
        <w:rPr>
          <w:rFonts w:hint="eastAsia" w:ascii="仿宋_GB2312" w:eastAsia="仿宋_GB2312"/>
          <w:color w:val="000000"/>
          <w:spacing w:val="0"/>
          <w:sz w:val="32"/>
          <w:szCs w:val="32"/>
          <w:lang w:val="zh-CN"/>
        </w:rPr>
        <w:t>调集应急处置和救援所需物资</w:t>
      </w:r>
      <w:r>
        <w:rPr>
          <w:rFonts w:hint="eastAsia" w:ascii="仿宋_GB2312" w:eastAsia="仿宋_GB2312"/>
          <w:color w:val="000000"/>
          <w:spacing w:val="0"/>
          <w:sz w:val="32"/>
          <w:szCs w:val="32"/>
        </w:rPr>
        <w:t>和设</w:t>
      </w:r>
      <w:r>
        <w:rPr>
          <w:rFonts w:hint="eastAsia" w:ascii="仿宋_GB2312" w:eastAsia="仿宋_GB2312"/>
          <w:color w:val="000000"/>
          <w:spacing w:val="0"/>
          <w:sz w:val="32"/>
          <w:szCs w:val="32"/>
          <w:lang w:val="zh-CN"/>
        </w:rPr>
        <w:t>备，根据需要，对有关油气长输管道采取临时性工程措施；</w:t>
      </w:r>
    </w:p>
    <w:p>
      <w:pPr>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⑤法律、法规、规章规定的其他必要防范性、保护性措施。</w:t>
      </w:r>
    </w:p>
    <w:p>
      <w:pPr>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2</w:t>
      </w: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保税区相关部门</w:t>
      </w:r>
      <w:r>
        <w:rPr>
          <w:rFonts w:hint="eastAsia" w:ascii="仿宋_GB2312" w:eastAsia="仿宋_GB2312"/>
          <w:color w:val="000000"/>
          <w:spacing w:val="0"/>
          <w:sz w:val="32"/>
          <w:szCs w:val="32"/>
          <w:lang w:val="zh-CN"/>
        </w:rPr>
        <w:t>接到预警信息后，</w:t>
      </w:r>
      <w:r>
        <w:rPr>
          <w:rFonts w:hint="eastAsia" w:ascii="仿宋_GB2312" w:eastAsia="仿宋_GB2312"/>
          <w:color w:val="000000"/>
          <w:spacing w:val="0"/>
          <w:sz w:val="32"/>
          <w:szCs w:val="32"/>
        </w:rPr>
        <w:t>视情采取以下措施</w:t>
      </w:r>
      <w:r>
        <w:rPr>
          <w:rFonts w:hint="eastAsia" w:ascii="仿宋_GB2312" w:eastAsia="仿宋_GB2312"/>
          <w:color w:val="000000"/>
          <w:spacing w:val="0"/>
          <w:sz w:val="32"/>
          <w:szCs w:val="32"/>
          <w:lang w:val="zh-CN"/>
        </w:rPr>
        <w:t>：</w:t>
      </w:r>
    </w:p>
    <w:p>
      <w:pPr>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①密切关注天气变化、地质灾害发展趋势，及时转发最新动态，保持与油气长输管道企业的密切联系，及时掌握管道企业反馈的天气、地质灾害对管道的影响情况；</w:t>
      </w:r>
    </w:p>
    <w:p>
      <w:pPr>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②做好启动保税区石油天然气长输管道事故应急预案的准备，必要时，向可能受到油气长输管道事故影响的公众发布相关信息，以及避免或者减轻危害的指导建议，并做好相关区域内人员疏散撤离准备；</w:t>
      </w:r>
    </w:p>
    <w:p>
      <w:pPr>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③组织对重点部位的防控，限制使用易受油气长输管道事故危害的场所，必要时实施交通管制，封闭危险区域和道路；</w:t>
      </w:r>
    </w:p>
    <w:p>
      <w:pPr>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④组织有关应急救援队伍和专业人员进入待命状态，调集、筹措应急处置和救援所需物资和设备；</w:t>
      </w:r>
    </w:p>
    <w:p>
      <w:pPr>
        <w:snapToGrid w:val="0"/>
        <w:spacing w:line="540" w:lineRule="exact"/>
        <w:ind w:firstLine="640" w:firstLineChars="200"/>
        <w:rPr>
          <w:rFonts w:hint="eastAsia" w:ascii="仿宋_GB2312" w:eastAsia="仿宋_GB2312"/>
          <w:color w:val="000000"/>
          <w:spacing w:val="0"/>
          <w:sz w:val="32"/>
          <w:szCs w:val="32"/>
        </w:rPr>
      </w:pPr>
      <w:r>
        <w:rPr>
          <w:rFonts w:hint="eastAsia" w:ascii="仿宋_GB2312" w:hAnsi="仿宋_GB2312" w:eastAsia="仿宋_GB2312" w:cs="仿宋_GB2312"/>
          <w:color w:val="000000"/>
          <w:spacing w:val="0"/>
          <w:sz w:val="32"/>
          <w:szCs w:val="32"/>
        </w:rPr>
        <w:t>⑤</w:t>
      </w:r>
      <w:r>
        <w:rPr>
          <w:rFonts w:hint="eastAsia" w:ascii="仿宋_GB2312" w:eastAsia="仿宋_GB2312"/>
          <w:color w:val="000000"/>
          <w:spacing w:val="0"/>
          <w:sz w:val="32"/>
          <w:szCs w:val="32"/>
        </w:rPr>
        <w:t>法律、法规、规章规定的其他必要防范性、保护性措施。</w:t>
      </w:r>
    </w:p>
    <w:bookmarkEnd w:id="155"/>
    <w:p>
      <w:pPr>
        <w:pStyle w:val="6"/>
        <w:keepNext w:val="0"/>
        <w:keepLines w:val="0"/>
        <w:numPr>
          <w:ilvl w:val="0"/>
          <w:numId w:val="0"/>
        </w:numPr>
        <w:pBdr>
          <w:bottom w:val="none" w:color="auto" w:sz="0" w:space="0"/>
        </w:pBdr>
        <w:spacing w:line="540" w:lineRule="exact"/>
        <w:ind w:firstLine="640" w:firstLineChars="200"/>
        <w:jc w:val="both"/>
        <w:outlineLvl w:val="0"/>
        <w:rPr>
          <w:rFonts w:hint="eastAsia" w:ascii="黑体" w:hAnsi="黑体" w:eastAsia="黑体" w:cs="黑体"/>
          <w:bCs/>
          <w:color w:val="000000"/>
          <w:kern w:val="44"/>
          <w:sz w:val="32"/>
          <w:szCs w:val="32"/>
          <w:lang w:val="zh-CN"/>
        </w:rPr>
      </w:pPr>
      <w:bookmarkStart w:id="160" w:name="_Toc153282028"/>
      <w:bookmarkStart w:id="161" w:name="_Toc159031102"/>
      <w:r>
        <w:rPr>
          <w:rFonts w:hint="eastAsia" w:ascii="黑体" w:hAnsi="黑体" w:eastAsia="黑体" w:cs="黑体"/>
          <w:bCs/>
          <w:color w:val="000000"/>
          <w:kern w:val="44"/>
          <w:sz w:val="32"/>
          <w:szCs w:val="32"/>
        </w:rPr>
        <w:t xml:space="preserve">4 </w:t>
      </w:r>
      <w:r>
        <w:rPr>
          <w:rFonts w:hint="eastAsia" w:ascii="黑体" w:hAnsi="黑体" w:eastAsia="黑体" w:cs="黑体"/>
          <w:bCs/>
          <w:color w:val="000000"/>
          <w:kern w:val="44"/>
          <w:sz w:val="32"/>
          <w:szCs w:val="32"/>
          <w:lang w:val="zh-CN"/>
        </w:rPr>
        <w:t>信息报告</w:t>
      </w:r>
      <w:bookmarkEnd w:id="160"/>
    </w:p>
    <w:bookmarkEnd w:id="161"/>
    <w:p>
      <w:pPr>
        <w:keepNext w:val="0"/>
        <w:keepLines w:val="0"/>
        <w:snapToGrid w:val="0"/>
        <w:spacing w:line="540" w:lineRule="exact"/>
        <w:ind w:firstLine="643" w:firstLineChars="200"/>
        <w:outlineLvl w:val="1"/>
        <w:rPr>
          <w:rFonts w:hint="eastAsia" w:ascii="楷体_GB2312" w:eastAsia="楷体_GB2312"/>
          <w:b/>
          <w:bCs/>
          <w:color w:val="000000"/>
          <w:sz w:val="32"/>
          <w:szCs w:val="32"/>
          <w:lang w:val="zh-CN"/>
        </w:rPr>
      </w:pPr>
      <w:bookmarkStart w:id="162" w:name="_Toc97825521"/>
      <w:bookmarkStart w:id="163" w:name="_Toc153282029"/>
      <w:bookmarkStart w:id="164" w:name="_Hlk155268613"/>
      <w:bookmarkStart w:id="165" w:name="_Toc159031107"/>
      <w:r>
        <w:rPr>
          <w:rFonts w:hint="eastAsia" w:ascii="楷体_GB2312" w:eastAsia="楷体_GB2312"/>
          <w:b/>
          <w:bCs/>
          <w:color w:val="000000"/>
          <w:sz w:val="32"/>
          <w:szCs w:val="32"/>
          <w:lang w:val="zh-CN"/>
        </w:rPr>
        <w:t xml:space="preserve">4.1 </w:t>
      </w:r>
      <w:bookmarkEnd w:id="162"/>
      <w:r>
        <w:rPr>
          <w:rFonts w:hint="eastAsia" w:ascii="楷体_GB2312" w:eastAsia="楷体_GB2312"/>
          <w:b/>
          <w:bCs/>
          <w:color w:val="000000"/>
          <w:sz w:val="32"/>
          <w:szCs w:val="32"/>
          <w:lang w:val="zh-CN"/>
        </w:rPr>
        <w:t>报告程序</w:t>
      </w:r>
      <w:bookmarkEnd w:id="163"/>
    </w:p>
    <w:bookmarkEnd w:id="164"/>
    <w:p>
      <w:pPr>
        <w:widowControl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生油气长输管道事故时，企业负责人应立即启动本企业管道事故应急预案，立即拨打公安110、消防119、交警122、医疗急救120或者其他专用电话请求专业救援，并按照规定立即向发改局、应急局等相关部门报告，不得瞒报、谎报或者迟报。</w:t>
      </w:r>
    </w:p>
    <w:p>
      <w:pPr>
        <w:widowControl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保税区相关部门接报后，要第一时间核实具体情况并及时上报保税区应急办。保税区应急办汇总信息后要立即向保税区应急委和</w:t>
      </w:r>
      <w:r>
        <w:rPr>
          <w:rFonts w:hint="eastAsia" w:ascii="仿宋_GB2312" w:hAnsi="仿宋_GB2312" w:eastAsia="仿宋_GB2312" w:cs="仿宋_GB2312"/>
          <w:color w:val="000000"/>
          <w:sz w:val="32"/>
          <w:szCs w:val="32"/>
        </w:rPr>
        <w:t>滨海</w:t>
      </w:r>
      <w:r>
        <w:rPr>
          <w:rFonts w:hint="eastAsia" w:ascii="仿宋_GB2312" w:hAnsi="仿宋_GB2312" w:eastAsia="仿宋_GB2312" w:cs="仿宋_GB2312"/>
          <w:color w:val="000000"/>
          <w:sz w:val="32"/>
          <w:szCs w:val="32"/>
          <w:lang w:val="zh-CN"/>
        </w:rPr>
        <w:t>新区应急办报告。</w:t>
      </w:r>
    </w:p>
    <w:p>
      <w:pPr>
        <w:widowControl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保税区相关部门在向保税区应急办报告的同时也应向滨海新区行业主管部门报告，报送口径应与</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val="zh-CN"/>
        </w:rPr>
        <w:t>保税区应急办报送的信息口径一致。</w:t>
      </w:r>
    </w:p>
    <w:p>
      <w:pPr>
        <w:adjustRightInd w:val="0"/>
        <w:snapToGrid w:val="0"/>
        <w:spacing w:line="54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信息报送流程详见附件3。</w:t>
      </w:r>
    </w:p>
    <w:p>
      <w:pPr>
        <w:keepNext w:val="0"/>
        <w:keepLines w:val="0"/>
        <w:snapToGrid w:val="0"/>
        <w:spacing w:line="540" w:lineRule="exact"/>
        <w:ind w:firstLine="643" w:firstLineChars="200"/>
        <w:outlineLvl w:val="1"/>
        <w:rPr>
          <w:rFonts w:hint="eastAsia" w:ascii="楷体_GB2312" w:eastAsia="楷体_GB2312"/>
          <w:b/>
          <w:bCs/>
          <w:color w:val="000000"/>
          <w:sz w:val="32"/>
          <w:szCs w:val="32"/>
          <w:lang w:val="zh-CN"/>
        </w:rPr>
      </w:pPr>
      <w:bookmarkStart w:id="166" w:name="_Toc153282030"/>
      <w:bookmarkStart w:id="167" w:name="_Hlk155269490"/>
      <w:r>
        <w:rPr>
          <w:rFonts w:hint="eastAsia" w:ascii="楷体_GB2312" w:eastAsia="楷体_GB2312"/>
          <w:b/>
          <w:bCs/>
          <w:color w:val="000000"/>
          <w:sz w:val="32"/>
          <w:szCs w:val="32"/>
          <w:lang w:val="zh-CN"/>
        </w:rPr>
        <w:t>4.2 报送时限</w:t>
      </w:r>
      <w:bookmarkEnd w:id="166"/>
    </w:p>
    <w:p>
      <w:pPr>
        <w:widowControl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）发生长输管道事故时，企业负责人应立即向保税区</w:t>
      </w:r>
      <w:r>
        <w:rPr>
          <w:rFonts w:hint="eastAsia" w:ascii="仿宋_GB2312" w:hAnsi="仿宋_GB2312" w:eastAsia="仿宋_GB2312" w:cs="仿宋_GB2312"/>
          <w:color w:val="000000"/>
          <w:sz w:val="32"/>
          <w:szCs w:val="32"/>
        </w:rPr>
        <w:t>发改局、应急局等相关部门</w:t>
      </w:r>
      <w:r>
        <w:rPr>
          <w:rFonts w:hint="eastAsia" w:ascii="仿宋_GB2312" w:hAnsi="仿宋_GB2312" w:eastAsia="仿宋_GB2312" w:cs="仿宋_GB2312"/>
          <w:color w:val="000000"/>
          <w:sz w:val="32"/>
          <w:szCs w:val="32"/>
          <w:lang w:val="zh-CN"/>
        </w:rPr>
        <w:t>报告，最迟不得超过1小时。</w:t>
      </w:r>
    </w:p>
    <w:p>
      <w:pPr>
        <w:widowControl w:val="0"/>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2</w:t>
      </w:r>
      <w:r>
        <w:rPr>
          <w:rFonts w:hint="eastAsia" w:ascii="仿宋_GB2312" w:eastAsia="仿宋_GB2312"/>
          <w:color w:val="000000"/>
          <w:spacing w:val="0"/>
          <w:sz w:val="32"/>
          <w:szCs w:val="32"/>
          <w:lang w:val="zh-CN"/>
        </w:rPr>
        <w:t>）相关部门接到事故报告信息后，</w:t>
      </w:r>
      <w:r>
        <w:rPr>
          <w:rFonts w:hint="eastAsia" w:ascii="仿宋_GB2312" w:eastAsia="仿宋_GB2312"/>
          <w:color w:val="000000"/>
          <w:sz w:val="32"/>
          <w:szCs w:val="32"/>
        </w:rPr>
        <w:t>应在</w:t>
      </w:r>
      <w:r>
        <w:rPr>
          <w:rFonts w:hint="eastAsia" w:ascii="仿宋_GB2312" w:eastAsia="仿宋_GB2312"/>
          <w:color w:val="000000"/>
          <w:spacing w:val="0"/>
          <w:sz w:val="32"/>
          <w:szCs w:val="32"/>
          <w:lang w:val="zh-CN"/>
        </w:rPr>
        <w:t>20分钟内电话报送，40分钟内书面报送。对于要求核报的信息，</w:t>
      </w:r>
      <w:r>
        <w:rPr>
          <w:rFonts w:hint="eastAsia" w:ascii="仿宋_GB2312" w:eastAsia="仿宋_GB2312"/>
          <w:color w:val="000000"/>
          <w:spacing w:val="0"/>
          <w:sz w:val="32"/>
          <w:szCs w:val="32"/>
        </w:rPr>
        <w:t>应</w:t>
      </w:r>
      <w:r>
        <w:rPr>
          <w:rFonts w:hint="eastAsia" w:ascii="仿宋_GB2312" w:eastAsia="仿宋_GB2312"/>
          <w:color w:val="000000"/>
          <w:spacing w:val="0"/>
          <w:sz w:val="32"/>
          <w:szCs w:val="32"/>
          <w:lang w:val="zh-CN"/>
        </w:rPr>
        <w:t>迅速核实，及时反馈，电话反馈时间不得超过20分钟，书面信息反馈时间不得超过40分钟。</w:t>
      </w:r>
      <w:r>
        <w:rPr>
          <w:rFonts w:hint="eastAsia" w:ascii="仿宋_GB2312" w:eastAsia="仿宋_GB2312"/>
          <w:color w:val="000000"/>
          <w:spacing w:val="0"/>
          <w:sz w:val="32"/>
          <w:szCs w:val="32"/>
        </w:rPr>
        <w:t>结报应</w:t>
      </w:r>
      <w:r>
        <w:rPr>
          <w:rFonts w:hint="eastAsia" w:ascii="仿宋_GB2312" w:eastAsia="仿宋_GB2312"/>
          <w:color w:val="000000"/>
          <w:spacing w:val="0"/>
          <w:sz w:val="32"/>
          <w:szCs w:val="32"/>
          <w:lang w:val="zh-CN"/>
        </w:rPr>
        <w:t>在应急响应结束后20分钟内电话报告，需书面报送的，</w:t>
      </w:r>
      <w:r>
        <w:rPr>
          <w:rFonts w:hint="eastAsia" w:ascii="仿宋_GB2312" w:eastAsia="仿宋_GB2312"/>
          <w:color w:val="000000"/>
          <w:spacing w:val="0"/>
          <w:sz w:val="32"/>
          <w:szCs w:val="32"/>
        </w:rPr>
        <w:t>应</w:t>
      </w:r>
      <w:r>
        <w:rPr>
          <w:rFonts w:hint="eastAsia" w:ascii="仿宋_GB2312" w:eastAsia="仿宋_GB2312"/>
          <w:color w:val="000000"/>
          <w:spacing w:val="0"/>
          <w:sz w:val="32"/>
          <w:szCs w:val="32"/>
          <w:lang w:val="zh-CN"/>
        </w:rPr>
        <w:t>在50分钟内完成。</w:t>
      </w:r>
    </w:p>
    <w:p>
      <w:pPr>
        <w:widowControl w:val="0"/>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3</w:t>
      </w:r>
      <w:r>
        <w:rPr>
          <w:rFonts w:hint="eastAsia" w:ascii="仿宋_GB2312" w:eastAsia="仿宋_GB2312"/>
          <w:color w:val="000000"/>
          <w:spacing w:val="0"/>
          <w:sz w:val="32"/>
          <w:szCs w:val="32"/>
          <w:lang w:val="zh-CN"/>
        </w:rPr>
        <w:t>）对于各级领导指示、批示及关切的事项，要跟踪落实并及时反馈情况，原则上不得超过24小时，领导有明确时限要求的按要求落实。</w:t>
      </w:r>
    </w:p>
    <w:p>
      <w:pPr>
        <w:keepNext w:val="0"/>
        <w:keepLines w:val="0"/>
        <w:snapToGrid w:val="0"/>
        <w:spacing w:line="540" w:lineRule="exact"/>
        <w:ind w:firstLine="643" w:firstLineChars="200"/>
        <w:outlineLvl w:val="1"/>
        <w:rPr>
          <w:rFonts w:hint="eastAsia" w:ascii="楷体_GB2312" w:eastAsia="楷体_GB2312"/>
          <w:b/>
          <w:bCs/>
          <w:color w:val="000000"/>
          <w:sz w:val="32"/>
          <w:szCs w:val="32"/>
          <w:lang w:val="zh-CN"/>
        </w:rPr>
      </w:pPr>
      <w:bookmarkStart w:id="168" w:name="_Toc153282031"/>
      <w:r>
        <w:rPr>
          <w:rFonts w:hint="eastAsia" w:ascii="楷体_GB2312" w:eastAsia="楷体_GB2312"/>
          <w:b/>
          <w:bCs/>
          <w:color w:val="000000"/>
          <w:sz w:val="32"/>
          <w:szCs w:val="32"/>
          <w:lang w:val="zh-CN"/>
        </w:rPr>
        <w:t>4.3 报告内容</w:t>
      </w:r>
      <w:bookmarkEnd w:id="168"/>
    </w:p>
    <w:p>
      <w:pPr>
        <w:snapToGrid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报告内容包括：报告单位、报告人姓名、信息来源、管道事故发生的时间、地点、初步伤亡情况和已经采取的措施等信息。</w:t>
      </w:r>
    </w:p>
    <w:p>
      <w:pPr>
        <w:snapToGrid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初次报告后，信息报告单位应按照“边处置边报告、边核实边报告”的原则，及时续报事故动态和处置进展。</w:t>
      </w:r>
    </w:p>
    <w:bookmarkEnd w:id="167"/>
    <w:p>
      <w:pPr>
        <w:pStyle w:val="6"/>
        <w:keepNext w:val="0"/>
        <w:keepLines w:val="0"/>
        <w:numPr>
          <w:ilvl w:val="0"/>
          <w:numId w:val="0"/>
        </w:numPr>
        <w:pBdr>
          <w:bottom w:val="none" w:color="auto" w:sz="0" w:space="0"/>
        </w:pBdr>
        <w:spacing w:line="540" w:lineRule="exact"/>
        <w:ind w:firstLine="640" w:firstLineChars="200"/>
        <w:jc w:val="both"/>
        <w:outlineLvl w:val="0"/>
        <w:rPr>
          <w:rFonts w:hint="eastAsia" w:ascii="黑体" w:hAnsi="黑体" w:eastAsia="黑体" w:cs="黑体"/>
          <w:bCs/>
          <w:color w:val="000000"/>
          <w:kern w:val="44"/>
          <w:sz w:val="32"/>
          <w:szCs w:val="32"/>
          <w:lang w:val="zh-CN"/>
        </w:rPr>
      </w:pPr>
      <w:bookmarkStart w:id="169" w:name="_Toc153282032"/>
      <w:bookmarkStart w:id="170" w:name="_Toc97825523"/>
      <w:r>
        <w:rPr>
          <w:rFonts w:hint="eastAsia" w:ascii="黑体" w:hAnsi="黑体" w:eastAsia="黑体" w:cs="黑体"/>
          <w:bCs/>
          <w:color w:val="000000"/>
          <w:kern w:val="44"/>
          <w:sz w:val="32"/>
          <w:szCs w:val="32"/>
        </w:rPr>
        <w:t xml:space="preserve">5 </w:t>
      </w:r>
      <w:r>
        <w:rPr>
          <w:rFonts w:hint="eastAsia" w:ascii="黑体" w:hAnsi="黑体" w:eastAsia="黑体" w:cs="黑体"/>
          <w:bCs/>
          <w:color w:val="000000"/>
          <w:kern w:val="44"/>
          <w:sz w:val="32"/>
          <w:szCs w:val="32"/>
          <w:lang w:val="zh-CN"/>
        </w:rPr>
        <w:t>应急响应</w:t>
      </w:r>
      <w:bookmarkEnd w:id="169"/>
    </w:p>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171" w:name="_Toc153282033"/>
      <w:r>
        <w:rPr>
          <w:rFonts w:hint="eastAsia" w:ascii="楷体_GB2312" w:eastAsia="楷体_GB2312"/>
          <w:b/>
          <w:bCs/>
          <w:color w:val="000000"/>
          <w:sz w:val="32"/>
          <w:szCs w:val="32"/>
        </w:rPr>
        <w:t xml:space="preserve">5.1 </w:t>
      </w:r>
      <w:bookmarkEnd w:id="170"/>
      <w:r>
        <w:rPr>
          <w:rFonts w:hint="eastAsia" w:ascii="楷体_GB2312" w:eastAsia="楷体_GB2312"/>
          <w:b/>
          <w:bCs/>
          <w:color w:val="000000"/>
          <w:sz w:val="32"/>
          <w:szCs w:val="32"/>
        </w:rPr>
        <w:t>分级响应</w:t>
      </w:r>
      <w:bookmarkEnd w:id="171"/>
    </w:p>
    <w:p>
      <w:pPr>
        <w:adjustRightInd w:val="0"/>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根据本预案事故分级标准、</w:t>
      </w: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天津市滨海新区石油天然气长输管道事故应急预案</w:t>
      </w: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，将保税区油气长输管道事故应急响应分为两级，从高到低依次为：较大及以上管道事故应急响应（Ⅰ级）、一般管道事故应急响应（Ⅱ级）。</w:t>
      </w:r>
    </w:p>
    <w:p>
      <w:pPr>
        <w:adjustRightInd w:val="0"/>
        <w:snapToGrid w:val="0"/>
        <w:spacing w:line="540" w:lineRule="exact"/>
        <w:ind w:firstLine="640" w:firstLineChars="200"/>
        <w:outlineLvl w:val="2"/>
        <w:rPr>
          <w:rFonts w:hint="eastAsia" w:ascii="仿宋_GB2312" w:eastAsia="仿宋_GB2312"/>
          <w:color w:val="000000"/>
          <w:spacing w:val="0"/>
          <w:sz w:val="32"/>
          <w:szCs w:val="32"/>
        </w:rPr>
      </w:pPr>
      <w:bookmarkStart w:id="172" w:name="_Toc153282034"/>
      <w:r>
        <w:rPr>
          <w:rFonts w:hint="eastAsia" w:ascii="仿宋_GB2312" w:eastAsia="仿宋_GB2312"/>
          <w:color w:val="000000"/>
          <w:spacing w:val="0"/>
          <w:sz w:val="32"/>
          <w:szCs w:val="32"/>
        </w:rPr>
        <w:t>5.1.1 较大及以上管道事故应急响应（Ⅰ级）</w:t>
      </w:r>
      <w:bookmarkEnd w:id="172"/>
    </w:p>
    <w:p>
      <w:pPr>
        <w:adjustRightInd w:val="0"/>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初判发生较大及以上油气长输管道事故，专项应急指挥部启动Ⅰ级应急响应，及时开展先期处置。</w:t>
      </w:r>
    </w:p>
    <w:p>
      <w:pPr>
        <w:widowControl w:val="0"/>
        <w:numPr>
          <w:ilvl w:val="0"/>
          <w:numId w:val="0"/>
        </w:numPr>
        <w:snapToGrid w:val="0"/>
        <w:spacing w:line="540" w:lineRule="exact"/>
        <w:ind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1</w:t>
      </w:r>
      <w:r>
        <w:rPr>
          <w:rFonts w:hint="eastAsia" w:ascii="仿宋_GB2312" w:eastAsia="仿宋_GB2312"/>
          <w:color w:val="000000"/>
          <w:spacing w:val="0"/>
          <w:sz w:val="32"/>
          <w:szCs w:val="32"/>
          <w:lang w:val="zh-CN"/>
        </w:rPr>
        <w:t>）保税区管委会主要负责同志</w:t>
      </w:r>
      <w:r>
        <w:rPr>
          <w:rFonts w:hint="eastAsia" w:ascii="仿宋_GB2312" w:eastAsia="仿宋_GB2312"/>
          <w:color w:val="000000"/>
          <w:spacing w:val="0"/>
          <w:sz w:val="32"/>
          <w:szCs w:val="32"/>
        </w:rPr>
        <w:t>和有关领导</w:t>
      </w:r>
      <w:r>
        <w:rPr>
          <w:rFonts w:hint="eastAsia" w:ascii="仿宋_GB2312" w:eastAsia="仿宋_GB2312"/>
          <w:color w:val="000000"/>
          <w:spacing w:val="0"/>
          <w:sz w:val="32"/>
          <w:szCs w:val="32"/>
          <w:lang w:val="zh-CN"/>
        </w:rPr>
        <w:t>赴现场指导开展先期处置工作。</w:t>
      </w:r>
    </w:p>
    <w:p>
      <w:pPr>
        <w:widowControl w:val="0"/>
        <w:numPr>
          <w:ilvl w:val="0"/>
          <w:numId w:val="0"/>
        </w:numPr>
        <w:snapToGrid w:val="0"/>
        <w:spacing w:line="540" w:lineRule="exact"/>
        <w:ind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2</w:t>
      </w:r>
      <w:r>
        <w:rPr>
          <w:rFonts w:hint="eastAsia" w:ascii="仿宋_GB2312" w:eastAsia="仿宋_GB2312"/>
          <w:color w:val="000000"/>
          <w:spacing w:val="0"/>
          <w:sz w:val="32"/>
          <w:szCs w:val="32"/>
          <w:lang w:val="zh-CN"/>
        </w:rPr>
        <w:t>）成立现场指挥部，组织全区应急力量进行先期应急处置，科学合理制订油气长输管道事故先期抢险救援方案，并组织专（兼）职应急救援队伍进行先期应急抢险和救援。</w:t>
      </w:r>
    </w:p>
    <w:p>
      <w:pPr>
        <w:widowControl w:val="0"/>
        <w:numPr>
          <w:ilvl w:val="0"/>
          <w:numId w:val="0"/>
        </w:numPr>
        <w:snapToGrid w:val="0"/>
        <w:spacing w:line="540" w:lineRule="exact"/>
        <w:ind w:firstLine="640" w:firstLineChars="200"/>
        <w:jc w:val="both"/>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3</w:t>
      </w:r>
      <w:r>
        <w:rPr>
          <w:rFonts w:hint="eastAsia" w:ascii="仿宋_GB2312" w:eastAsia="仿宋_GB2312"/>
          <w:color w:val="000000"/>
          <w:spacing w:val="0"/>
          <w:sz w:val="32"/>
          <w:szCs w:val="32"/>
          <w:lang w:val="zh-CN"/>
        </w:rPr>
        <w:t>）滨海新区或市</w:t>
      </w:r>
      <w:r>
        <w:rPr>
          <w:rFonts w:hint="eastAsia" w:ascii="仿宋_GB2312" w:eastAsia="仿宋_GB2312"/>
          <w:color w:val="000000"/>
          <w:spacing w:val="0"/>
          <w:sz w:val="32"/>
          <w:szCs w:val="32"/>
        </w:rPr>
        <w:t>指挥部工作组</w:t>
      </w:r>
      <w:r>
        <w:rPr>
          <w:rFonts w:hint="eastAsia" w:ascii="仿宋_GB2312" w:eastAsia="仿宋_GB2312"/>
          <w:color w:val="000000"/>
          <w:spacing w:val="0"/>
          <w:sz w:val="32"/>
          <w:szCs w:val="32"/>
          <w:lang w:val="zh-CN"/>
        </w:rPr>
        <w:t>到达后，立即移交应急指挥权，并汇</w:t>
      </w:r>
      <w:r>
        <w:rPr>
          <w:rFonts w:hint="eastAsia" w:ascii="仿宋_GB2312" w:eastAsia="仿宋_GB2312"/>
          <w:color w:val="000000"/>
          <w:spacing w:val="0"/>
          <w:sz w:val="32"/>
          <w:szCs w:val="32"/>
        </w:rPr>
        <w:t>报</w:t>
      </w:r>
      <w:r>
        <w:rPr>
          <w:rFonts w:hint="eastAsia" w:ascii="仿宋_GB2312" w:eastAsia="仿宋_GB2312"/>
          <w:color w:val="000000"/>
          <w:spacing w:val="0"/>
          <w:sz w:val="32"/>
          <w:szCs w:val="32"/>
          <w:lang w:val="zh-CN"/>
        </w:rPr>
        <w:t>先期处置工作情况，服从上级政府的应急指挥，配合做好相关保障和应急处置工作。</w:t>
      </w:r>
    </w:p>
    <w:p>
      <w:pPr>
        <w:adjustRightInd w:val="0"/>
        <w:snapToGrid w:val="0"/>
        <w:spacing w:line="540" w:lineRule="exact"/>
        <w:ind w:firstLine="640" w:firstLineChars="200"/>
        <w:outlineLvl w:val="2"/>
        <w:rPr>
          <w:rFonts w:hint="eastAsia" w:ascii="仿宋_GB2312" w:eastAsia="仿宋_GB2312"/>
          <w:color w:val="000000"/>
          <w:spacing w:val="0"/>
          <w:sz w:val="32"/>
          <w:szCs w:val="32"/>
        </w:rPr>
      </w:pPr>
      <w:bookmarkStart w:id="173" w:name="_Toc153282035"/>
      <w:r>
        <w:rPr>
          <w:rFonts w:hint="eastAsia" w:ascii="仿宋_GB2312" w:eastAsia="仿宋_GB2312"/>
          <w:color w:val="000000"/>
          <w:spacing w:val="0"/>
          <w:sz w:val="32"/>
          <w:szCs w:val="32"/>
        </w:rPr>
        <w:t>5.1.2 一般管道事故应急响应（Ⅱ级）</w:t>
      </w:r>
      <w:bookmarkEnd w:id="173"/>
    </w:p>
    <w:p>
      <w:pPr>
        <w:adjustRightInd w:val="0"/>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初判发生一般油气长输管道事故，专项应急指挥部启动Ⅱ级应急响应，配合上级政府部门组织开展保税区内油气长输管道事故的应急处置。</w:t>
      </w:r>
    </w:p>
    <w:p>
      <w:pPr>
        <w:adjustRightInd w:val="0"/>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（1）保税区管委会主要负责同志和有关领导赴现场指导开展先期处置工作。</w:t>
      </w:r>
    </w:p>
    <w:p>
      <w:pPr>
        <w:widowControl w:val="0"/>
        <w:adjustRightInd w:val="0"/>
        <w:snapToGrid w:val="0"/>
        <w:spacing w:line="540" w:lineRule="exact"/>
        <w:ind w:firstLine="640" w:firstLineChars="200"/>
        <w:jc w:val="both"/>
        <w:rPr>
          <w:rFonts w:hint="eastAsia" w:ascii="仿宋_GB2312" w:eastAsia="仿宋_GB2312"/>
          <w:color w:val="000000"/>
          <w:spacing w:val="0"/>
          <w:sz w:val="32"/>
          <w:szCs w:val="32"/>
        </w:rPr>
      </w:pPr>
      <w:r>
        <w:rPr>
          <w:rFonts w:hint="eastAsia" w:ascii="仿宋_GB2312" w:eastAsia="仿宋_GB2312"/>
          <w:color w:val="000000"/>
          <w:spacing w:val="0"/>
          <w:sz w:val="32"/>
          <w:szCs w:val="32"/>
        </w:rPr>
        <w:t>（2）专项应急指挥部按照专业处置的原则，成立现场应急指挥部，组织各应急救援小组、长输管道企业和区域内应急力量进行先期处置；召开现场指挥部工作会议，传达落实滨海新区的决策部署和有关要求，按照要求组织开展现场应急救援工作，并及时将应急处置信息反馈给专项应急指挥部及滨海新区政府。</w:t>
      </w:r>
    </w:p>
    <w:p>
      <w:pPr>
        <w:widowControl w:val="0"/>
        <w:numPr>
          <w:ilvl w:val="0"/>
          <w:numId w:val="0"/>
        </w:numPr>
        <w:adjustRightInd w:val="0"/>
        <w:snapToGrid w:val="0"/>
        <w:spacing w:line="54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pacing w:val="0"/>
          <w:sz w:val="32"/>
          <w:szCs w:val="32"/>
        </w:rPr>
        <w:t>（3）滨海新区指挥部工作组到达现场后，保税区立即移交应急指挥权，纳入滨海新区现场指挥部，并汇报事故进展以及影响控制事态的关键因素等问题，服从统一指挥。</w:t>
      </w:r>
    </w:p>
    <w:p>
      <w:pPr>
        <w:widowControl w:val="0"/>
        <w:adjustRightInd/>
        <w:snapToGrid w:val="0"/>
        <w:spacing w:line="540" w:lineRule="exact"/>
        <w:ind w:firstLine="643" w:firstLineChars="200"/>
        <w:jc w:val="both"/>
        <w:outlineLvl w:val="1"/>
        <w:rPr>
          <w:rFonts w:hint="eastAsia" w:ascii="楷体_GB2312" w:eastAsia="楷体_GB2312"/>
          <w:b/>
          <w:bCs/>
          <w:color w:val="000000"/>
          <w:sz w:val="32"/>
          <w:szCs w:val="32"/>
        </w:rPr>
      </w:pPr>
      <w:bookmarkStart w:id="174" w:name="_Toc153282036"/>
      <w:r>
        <w:rPr>
          <w:rFonts w:hint="eastAsia" w:ascii="楷体_GB2312" w:eastAsia="楷体_GB2312"/>
          <w:b/>
          <w:bCs/>
          <w:color w:val="000000"/>
          <w:sz w:val="32"/>
          <w:szCs w:val="32"/>
        </w:rPr>
        <w:t>5.2 处置措施</w:t>
      </w:r>
      <w:bookmarkEnd w:id="174"/>
    </w:p>
    <w:p>
      <w:pPr>
        <w:adjustRightInd w:val="0"/>
        <w:snapToGrid w:val="0"/>
        <w:spacing w:line="540" w:lineRule="exact"/>
        <w:ind w:firstLine="640" w:firstLineChars="200"/>
        <w:outlineLvl w:val="2"/>
        <w:rPr>
          <w:rFonts w:hint="eastAsia" w:ascii="仿宋_GB2312" w:eastAsia="仿宋_GB2312"/>
          <w:color w:val="000000"/>
          <w:spacing w:val="0"/>
          <w:sz w:val="32"/>
          <w:szCs w:val="32"/>
        </w:rPr>
      </w:pPr>
      <w:bookmarkStart w:id="175" w:name="_Toc153282037"/>
      <w:r>
        <w:rPr>
          <w:rFonts w:hint="eastAsia" w:ascii="仿宋_GB2312" w:eastAsia="仿宋_GB2312"/>
          <w:color w:val="000000"/>
          <w:spacing w:val="0"/>
          <w:sz w:val="32"/>
          <w:szCs w:val="32"/>
        </w:rPr>
        <w:t>5.2.1先期处置</w:t>
      </w:r>
      <w:bookmarkEnd w:id="175"/>
    </w:p>
    <w:p>
      <w:pPr>
        <w:snapToGrid w:val="0"/>
        <w:spacing w:line="540" w:lineRule="exact"/>
        <w:ind w:firstLine="640" w:firstLineChars="200"/>
        <w:outlineLvl w:val="3"/>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rPr>
        <w:t>5.2</w:t>
      </w:r>
      <w:r>
        <w:rPr>
          <w:rFonts w:hint="eastAsia" w:ascii="仿宋_GB2312" w:eastAsia="仿宋_GB2312"/>
          <w:color w:val="000000"/>
          <w:spacing w:val="0"/>
          <w:sz w:val="32"/>
          <w:szCs w:val="32"/>
          <w:lang w:val="zh-CN"/>
        </w:rPr>
        <w:t>.1</w:t>
      </w:r>
      <w:r>
        <w:rPr>
          <w:rFonts w:hint="eastAsia" w:ascii="仿宋_GB2312" w:eastAsia="仿宋_GB2312"/>
          <w:color w:val="000000"/>
          <w:spacing w:val="0"/>
          <w:sz w:val="32"/>
          <w:szCs w:val="32"/>
        </w:rPr>
        <w:t>.1</w:t>
      </w:r>
      <w:r>
        <w:rPr>
          <w:rFonts w:hint="eastAsia" w:ascii="仿宋_GB2312" w:eastAsia="仿宋_GB2312"/>
          <w:color w:val="000000"/>
          <w:spacing w:val="0"/>
          <w:sz w:val="32"/>
          <w:szCs w:val="32"/>
          <w:lang w:val="zh-CN"/>
        </w:rPr>
        <w:t>涉事企业</w:t>
      </w:r>
    </w:p>
    <w:p>
      <w:pPr>
        <w:widowControl w:val="0"/>
        <w:adjustRightInd w:val="0"/>
        <w:snapToGrid w:val="0"/>
        <w:spacing w:line="540" w:lineRule="exact"/>
        <w:ind w:firstLine="640" w:firstLineChars="200"/>
        <w:jc w:val="both"/>
        <w:rPr>
          <w:rFonts w:hint="eastAsia" w:ascii="仿宋_GB2312" w:eastAsia="仿宋_GB2312"/>
          <w:color w:val="000000"/>
          <w:spacing w:val="0"/>
          <w:sz w:val="32"/>
          <w:szCs w:val="32"/>
        </w:rPr>
      </w:pPr>
      <w:r>
        <w:rPr>
          <w:rFonts w:hint="eastAsia" w:ascii="仿宋_GB2312" w:eastAsia="仿宋_GB2312"/>
          <w:color w:val="000000"/>
          <w:spacing w:val="0"/>
          <w:sz w:val="32"/>
          <w:szCs w:val="32"/>
        </w:rPr>
        <w:t>发生油气长输管道事故后，事故单位应主动采取有效措施消除或者减轻事故危害。措施包括但不限于：</w:t>
      </w:r>
    </w:p>
    <w:p>
      <w:pPr>
        <w:widowControl w:val="0"/>
        <w:adjustRightInd w:val="0"/>
        <w:snapToGrid w:val="0"/>
        <w:spacing w:line="540" w:lineRule="exact"/>
        <w:ind w:firstLine="640" w:firstLineChars="200"/>
        <w:jc w:val="both"/>
        <w:rPr>
          <w:rFonts w:hint="eastAsia" w:ascii="仿宋_GB2312" w:eastAsia="仿宋_GB2312"/>
          <w:color w:val="000000"/>
          <w:spacing w:val="0"/>
          <w:sz w:val="32"/>
          <w:szCs w:val="32"/>
        </w:rPr>
      </w:pPr>
      <w:r>
        <w:rPr>
          <w:rFonts w:hint="eastAsia" w:ascii="仿宋_GB2312" w:eastAsia="仿宋_GB2312"/>
          <w:color w:val="000000"/>
          <w:spacing w:val="0"/>
          <w:sz w:val="32"/>
          <w:szCs w:val="32"/>
        </w:rPr>
        <w:t>（1）迅速切断油气来源和电源，设置警示标志；</w:t>
      </w:r>
    </w:p>
    <w:p>
      <w:pPr>
        <w:widowControl w:val="0"/>
        <w:adjustRightInd w:val="0"/>
        <w:snapToGrid w:val="0"/>
        <w:spacing w:line="540" w:lineRule="exact"/>
        <w:ind w:firstLine="640" w:firstLineChars="200"/>
        <w:jc w:val="both"/>
        <w:rPr>
          <w:rFonts w:hint="eastAsia" w:ascii="仿宋_GB2312" w:eastAsia="仿宋_GB2312"/>
          <w:color w:val="000000"/>
          <w:spacing w:val="0"/>
          <w:sz w:val="32"/>
          <w:szCs w:val="32"/>
        </w:rPr>
      </w:pPr>
      <w:r>
        <w:rPr>
          <w:rFonts w:hint="eastAsia" w:ascii="仿宋_GB2312" w:eastAsia="仿宋_GB2312"/>
          <w:color w:val="000000"/>
          <w:spacing w:val="0"/>
          <w:sz w:val="32"/>
          <w:szCs w:val="32"/>
        </w:rPr>
        <w:t>（2）通知事故危害范围内的单位和人员迅速疏散转移；</w:t>
      </w:r>
    </w:p>
    <w:p>
      <w:pPr>
        <w:widowControl w:val="0"/>
        <w:adjustRightInd w:val="0"/>
        <w:snapToGrid w:val="0"/>
        <w:spacing w:line="540" w:lineRule="exact"/>
        <w:ind w:firstLine="640" w:firstLineChars="200"/>
        <w:jc w:val="both"/>
        <w:rPr>
          <w:rFonts w:hint="eastAsia" w:ascii="仿宋_GB2312" w:eastAsia="仿宋_GB2312"/>
          <w:color w:val="000000"/>
          <w:spacing w:val="0"/>
          <w:sz w:val="32"/>
          <w:szCs w:val="32"/>
        </w:rPr>
      </w:pPr>
      <w:r>
        <w:rPr>
          <w:rFonts w:hint="eastAsia" w:ascii="仿宋_GB2312" w:eastAsia="仿宋_GB2312"/>
          <w:color w:val="000000"/>
          <w:spacing w:val="0"/>
          <w:sz w:val="32"/>
          <w:szCs w:val="32"/>
        </w:rPr>
        <w:t>（3）采取有效措施，防止事态扩大和次生灾害发生；</w:t>
      </w:r>
    </w:p>
    <w:p>
      <w:pPr>
        <w:widowControl w:val="0"/>
        <w:adjustRightInd w:val="0"/>
        <w:snapToGrid w:val="0"/>
        <w:spacing w:line="54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pacing w:val="0"/>
          <w:sz w:val="32"/>
          <w:szCs w:val="32"/>
        </w:rPr>
        <w:t>（4）迅速调集企业救援队伍和应急救援物资装备，开展抢险救援工作。</w:t>
      </w:r>
    </w:p>
    <w:p>
      <w:pPr>
        <w:snapToGrid w:val="0"/>
        <w:spacing w:line="540" w:lineRule="exact"/>
        <w:ind w:firstLine="640" w:firstLineChars="200"/>
        <w:outlineLvl w:val="3"/>
        <w:rPr>
          <w:rFonts w:hint="eastAsia" w:ascii="仿宋_GB2312" w:eastAsia="仿宋_GB2312"/>
          <w:color w:val="000000"/>
          <w:spacing w:val="0"/>
          <w:sz w:val="32"/>
          <w:szCs w:val="32"/>
        </w:rPr>
      </w:pPr>
      <w:r>
        <w:rPr>
          <w:rFonts w:hint="eastAsia" w:ascii="仿宋_GB2312" w:eastAsia="仿宋_GB2312"/>
          <w:color w:val="000000"/>
          <w:spacing w:val="0"/>
          <w:sz w:val="32"/>
          <w:szCs w:val="32"/>
        </w:rPr>
        <w:t>5.2.1.2保税区管委会</w:t>
      </w:r>
    </w:p>
    <w:p>
      <w:pPr>
        <w:widowControl w:val="0"/>
        <w:adjustRightInd w:val="0"/>
        <w:snapToGrid w:val="0"/>
        <w:spacing w:line="540" w:lineRule="exact"/>
        <w:ind w:firstLine="640" w:firstLineChars="200"/>
        <w:jc w:val="both"/>
        <w:rPr>
          <w:rFonts w:hint="eastAsia" w:ascii="仿宋_GB2312" w:eastAsia="仿宋_GB2312"/>
          <w:color w:val="000000"/>
          <w:spacing w:val="0"/>
          <w:sz w:val="32"/>
          <w:szCs w:val="32"/>
        </w:rPr>
      </w:pPr>
      <w:r>
        <w:rPr>
          <w:rFonts w:hint="eastAsia" w:ascii="仿宋_GB2312" w:eastAsia="仿宋_GB2312"/>
          <w:color w:val="000000"/>
          <w:spacing w:val="0"/>
          <w:sz w:val="32"/>
          <w:szCs w:val="32"/>
        </w:rPr>
        <w:t>发生油气长输管</w:t>
      </w:r>
      <w:r>
        <w:rPr>
          <w:rFonts w:hint="eastAsia" w:ascii="仿宋_GB2312" w:eastAsia="仿宋_GB2312"/>
          <w:color w:val="000000"/>
          <w:spacing w:val="0"/>
          <w:sz w:val="32"/>
          <w:szCs w:val="32"/>
          <w:lang w:val="zh-CN"/>
        </w:rPr>
        <w:t>道事故后，保税区管委会应根</w:t>
      </w:r>
      <w:r>
        <w:rPr>
          <w:rFonts w:hint="eastAsia" w:ascii="仿宋_GB2312" w:eastAsia="仿宋_GB2312"/>
          <w:color w:val="000000"/>
          <w:spacing w:val="0"/>
          <w:sz w:val="32"/>
          <w:szCs w:val="32"/>
        </w:rPr>
        <w:t>据事态发展情况，组织开展事故先期处置。措施包括但不限于：</w:t>
      </w:r>
    </w:p>
    <w:p>
      <w:pPr>
        <w:widowControl w:val="0"/>
        <w:adjustRightInd w:val="0"/>
        <w:snapToGrid w:val="0"/>
        <w:spacing w:line="540" w:lineRule="exact"/>
        <w:ind w:firstLine="640" w:firstLineChars="200"/>
        <w:jc w:val="both"/>
        <w:rPr>
          <w:rFonts w:hint="eastAsia" w:ascii="仿宋_GB2312" w:eastAsia="仿宋_GB2312"/>
          <w:color w:val="000000"/>
          <w:spacing w:val="0"/>
          <w:sz w:val="32"/>
          <w:szCs w:val="32"/>
        </w:rPr>
      </w:pPr>
      <w:r>
        <w:rPr>
          <w:rFonts w:hint="eastAsia" w:ascii="仿宋_GB2312" w:eastAsia="仿宋_GB2312"/>
          <w:color w:val="000000"/>
          <w:spacing w:val="0"/>
          <w:sz w:val="32"/>
          <w:szCs w:val="32"/>
        </w:rPr>
        <w:t>（1）组织抢救遇险人员，救治受伤人员，研判事故发展趋势以及可能造成的危害；</w:t>
      </w:r>
    </w:p>
    <w:p>
      <w:pPr>
        <w:widowControl w:val="0"/>
        <w:adjustRightInd w:val="0"/>
        <w:snapToGrid w:val="0"/>
        <w:spacing w:line="540" w:lineRule="exact"/>
        <w:ind w:firstLine="640" w:firstLineChars="200"/>
        <w:jc w:val="both"/>
        <w:rPr>
          <w:rFonts w:hint="eastAsia" w:ascii="仿宋_GB2312" w:eastAsia="仿宋_GB2312"/>
          <w:color w:val="000000"/>
          <w:spacing w:val="0"/>
          <w:sz w:val="32"/>
          <w:szCs w:val="32"/>
        </w:rPr>
      </w:pPr>
      <w:r>
        <w:rPr>
          <w:rFonts w:hint="eastAsia" w:ascii="仿宋_GB2312" w:eastAsia="仿宋_GB2312"/>
          <w:color w:val="000000"/>
          <w:spacing w:val="0"/>
          <w:sz w:val="32"/>
          <w:szCs w:val="32"/>
        </w:rPr>
        <w:t>（2）通知可能受到事故影响的单位和人员，隔离事故现场，划定警戒区域，维护事故现场秩序，疏散受到威胁的人员，实施交通管制；</w:t>
      </w:r>
    </w:p>
    <w:p>
      <w:pPr>
        <w:widowControl w:val="0"/>
        <w:adjustRightInd w:val="0"/>
        <w:snapToGrid w:val="0"/>
        <w:spacing w:line="540" w:lineRule="exact"/>
        <w:ind w:firstLine="640" w:firstLineChars="200"/>
        <w:jc w:val="both"/>
        <w:rPr>
          <w:rFonts w:hint="eastAsia" w:ascii="仿宋_GB2312" w:eastAsia="仿宋_GB2312"/>
          <w:color w:val="000000"/>
          <w:spacing w:val="0"/>
          <w:sz w:val="32"/>
          <w:szCs w:val="32"/>
        </w:rPr>
      </w:pPr>
      <w:r>
        <w:rPr>
          <w:rFonts w:hint="eastAsia" w:ascii="仿宋_GB2312" w:eastAsia="仿宋_GB2312"/>
          <w:color w:val="000000"/>
          <w:spacing w:val="0"/>
          <w:sz w:val="32"/>
          <w:szCs w:val="32"/>
        </w:rPr>
        <w:t>（3）采取必要措施，防止事故危害扩大和次生、衍生灾害发生，避免或者减少事故对环境造成的危害等；</w:t>
      </w:r>
    </w:p>
    <w:p>
      <w:pPr>
        <w:widowControl w:val="0"/>
        <w:adjustRightInd w:val="0"/>
        <w:snapToGrid w:val="0"/>
        <w:spacing w:line="540" w:lineRule="exact"/>
        <w:ind w:firstLine="640" w:firstLineChars="200"/>
        <w:jc w:val="both"/>
        <w:rPr>
          <w:rFonts w:hint="eastAsia" w:ascii="仿宋_GB2312" w:eastAsia="仿宋_GB2312"/>
          <w:color w:val="000000"/>
          <w:spacing w:val="0"/>
          <w:sz w:val="32"/>
          <w:szCs w:val="32"/>
        </w:rPr>
      </w:pPr>
      <w:r>
        <w:rPr>
          <w:rFonts w:hint="eastAsia" w:ascii="仿宋_GB2312" w:eastAsia="仿宋_GB2312"/>
          <w:color w:val="000000"/>
          <w:spacing w:val="0"/>
          <w:sz w:val="32"/>
          <w:szCs w:val="32"/>
        </w:rPr>
        <w:t>（4）安抚遇险人员和遇险遇难人员亲属，协助做好事故区域内群众生活保障和社会稳定工作。</w:t>
      </w:r>
    </w:p>
    <w:p>
      <w:pPr>
        <w:adjustRightInd w:val="0"/>
        <w:snapToGrid w:val="0"/>
        <w:spacing w:line="540" w:lineRule="exact"/>
        <w:ind w:firstLine="640" w:firstLineChars="200"/>
        <w:outlineLvl w:val="2"/>
        <w:rPr>
          <w:rFonts w:hint="eastAsia" w:ascii="仿宋_GB2312" w:eastAsia="仿宋_GB2312"/>
          <w:color w:val="000000"/>
          <w:spacing w:val="0"/>
          <w:sz w:val="32"/>
          <w:szCs w:val="32"/>
        </w:rPr>
      </w:pPr>
      <w:bookmarkStart w:id="176" w:name="_Toc153282038"/>
      <w:r>
        <w:rPr>
          <w:rFonts w:hint="eastAsia" w:ascii="仿宋_GB2312" w:eastAsia="仿宋_GB2312"/>
          <w:color w:val="000000"/>
          <w:spacing w:val="0"/>
          <w:sz w:val="32"/>
          <w:szCs w:val="32"/>
        </w:rPr>
        <w:t>5.2.2处置措施</w:t>
      </w:r>
      <w:bookmarkEnd w:id="176"/>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除采取《天津港保税区危险化学品事故应急预案》规定的应急响应措施外，油气长输管道事故应急处置还应当根据油气长输管道特性及实际情况，</w:t>
      </w:r>
      <w:r>
        <w:rPr>
          <w:rFonts w:hint="eastAsia" w:ascii="仿宋_GB2312" w:eastAsia="仿宋_GB2312"/>
          <w:color w:val="000000"/>
          <w:spacing w:val="0"/>
          <w:sz w:val="32"/>
          <w:szCs w:val="32"/>
        </w:rPr>
        <w:t>按照上级部署</w:t>
      </w:r>
      <w:r>
        <w:rPr>
          <w:rFonts w:hint="eastAsia" w:ascii="仿宋_GB2312" w:eastAsia="仿宋_GB2312"/>
          <w:color w:val="000000"/>
          <w:spacing w:val="0"/>
          <w:sz w:val="32"/>
          <w:szCs w:val="32"/>
          <w:lang w:val="zh-CN"/>
        </w:rPr>
        <w:t>采取针对性措施。</w:t>
      </w:r>
    </w:p>
    <w:p>
      <w:pPr>
        <w:snapToGrid w:val="0"/>
        <w:spacing w:line="540" w:lineRule="exact"/>
        <w:ind w:firstLine="640" w:firstLineChars="200"/>
        <w:outlineLvl w:val="3"/>
        <w:rPr>
          <w:rFonts w:hint="eastAsia" w:ascii="仿宋_GB2312" w:eastAsia="仿宋_GB2312"/>
          <w:color w:val="000000"/>
          <w:spacing w:val="0"/>
          <w:sz w:val="32"/>
          <w:szCs w:val="32"/>
        </w:rPr>
      </w:pPr>
      <w:r>
        <w:rPr>
          <w:rFonts w:hint="eastAsia" w:ascii="仿宋_GB2312" w:eastAsia="仿宋_GB2312"/>
          <w:color w:val="000000"/>
          <w:spacing w:val="0"/>
          <w:sz w:val="32"/>
          <w:szCs w:val="32"/>
        </w:rPr>
        <w:t>5.2.2.1</w:t>
      </w:r>
      <w:r>
        <w:rPr>
          <w:rFonts w:hint="eastAsia" w:ascii="仿宋_GB2312" w:eastAsia="仿宋_GB2312"/>
          <w:color w:val="000000"/>
          <w:spacing w:val="0"/>
          <w:sz w:val="32"/>
          <w:szCs w:val="32"/>
          <w:lang w:val="zh-CN"/>
        </w:rPr>
        <w:t>油气长输管道泄漏</w:t>
      </w:r>
      <w:r>
        <w:rPr>
          <w:rFonts w:hint="eastAsia" w:ascii="仿宋_GB2312" w:eastAsia="仿宋_GB2312"/>
          <w:color w:val="000000"/>
          <w:spacing w:val="0"/>
          <w:sz w:val="32"/>
          <w:szCs w:val="32"/>
        </w:rPr>
        <w:t>处置措施</w:t>
      </w:r>
    </w:p>
    <w:p>
      <w:pPr>
        <w:spacing w:line="540" w:lineRule="exact"/>
        <w:ind w:firstLine="640" w:firstLineChars="200"/>
        <w:rPr>
          <w:rStyle w:val="10"/>
          <w:rFonts w:hint="eastAsia"/>
        </w:rPr>
      </w:pPr>
      <w:r>
        <w:rPr>
          <w:rStyle w:val="10"/>
          <w:rFonts w:hint="eastAsia"/>
        </w:rPr>
        <w:t>（1）现场实施紧急封闭、封锁，实行交通管制，迅速疏散撤离人群，实施紧急避险，转送受伤人员；</w:t>
      </w:r>
    </w:p>
    <w:p>
      <w:pPr>
        <w:spacing w:line="540" w:lineRule="exact"/>
        <w:ind w:firstLine="640" w:firstLineChars="200"/>
        <w:rPr>
          <w:rStyle w:val="10"/>
          <w:rFonts w:hint="eastAsia"/>
        </w:rPr>
      </w:pPr>
      <w:r>
        <w:rPr>
          <w:rStyle w:val="10"/>
          <w:rFonts w:hint="eastAsia"/>
        </w:rPr>
        <w:t>（2）立即排除现场火种，视风向、风速、水流、地形、地下空间和设施、周边环境以及油气泄漏量、扩散方向等因素，检测并估算警戒、隔离和防备距离，协助开展人员疏散撤离工作；</w:t>
      </w:r>
    </w:p>
    <w:p>
      <w:pPr>
        <w:spacing w:line="540" w:lineRule="exact"/>
        <w:ind w:firstLine="640" w:firstLineChars="200"/>
        <w:rPr>
          <w:rStyle w:val="10"/>
          <w:rFonts w:hint="eastAsia"/>
        </w:rPr>
      </w:pPr>
      <w:r>
        <w:rPr>
          <w:rStyle w:val="10"/>
          <w:rFonts w:hint="eastAsia"/>
        </w:rPr>
        <w:t>（3）配合管道专业救援队伍封堵漏点，清除泄漏的石油、天然气，完成损毁管道抢修。</w:t>
      </w:r>
    </w:p>
    <w:p>
      <w:pPr>
        <w:snapToGrid w:val="0"/>
        <w:spacing w:line="540" w:lineRule="exact"/>
        <w:ind w:firstLine="640" w:firstLineChars="200"/>
        <w:outlineLvl w:val="3"/>
        <w:rPr>
          <w:rFonts w:hint="eastAsia" w:ascii="仿宋_GB2312" w:eastAsia="仿宋_GB2312"/>
          <w:color w:val="000000"/>
          <w:spacing w:val="0"/>
          <w:sz w:val="32"/>
          <w:szCs w:val="32"/>
        </w:rPr>
      </w:pPr>
      <w:r>
        <w:rPr>
          <w:rFonts w:hint="eastAsia" w:ascii="仿宋_GB2312" w:eastAsia="仿宋_GB2312"/>
          <w:color w:val="000000"/>
          <w:spacing w:val="0"/>
          <w:sz w:val="32"/>
          <w:szCs w:val="32"/>
        </w:rPr>
        <w:t>5.2.2.2</w:t>
      </w:r>
      <w:r>
        <w:rPr>
          <w:rFonts w:hint="eastAsia" w:ascii="仿宋_GB2312" w:eastAsia="仿宋_GB2312"/>
          <w:color w:val="000000"/>
          <w:spacing w:val="0"/>
          <w:sz w:val="32"/>
          <w:szCs w:val="32"/>
          <w:lang w:val="zh-CN"/>
        </w:rPr>
        <w:t>油气长输管道火灾爆炸事故</w:t>
      </w:r>
      <w:r>
        <w:rPr>
          <w:rFonts w:hint="eastAsia" w:ascii="仿宋_GB2312" w:eastAsia="仿宋_GB2312"/>
          <w:color w:val="000000"/>
          <w:spacing w:val="0"/>
          <w:sz w:val="32"/>
          <w:szCs w:val="32"/>
        </w:rPr>
        <w:t>处置措施</w:t>
      </w:r>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（1）现场实施紧急封闭、封锁，实行交通管制，迅速疏散撤离人群，实施紧急避险，转送受伤人员，划定可能受火灾、爆炸影响的区域范围；</w:t>
      </w:r>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（2）根据油品和天然气的不同特性，正确选择扑救路线、方法，控制火势蔓延，防止事态扩大或者次生灾害发生；</w:t>
      </w:r>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（3）配合管道专业救援队伍抢修损毁的管道，清除现场残余油气。</w:t>
      </w:r>
    </w:p>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177" w:name="_Toc153282040"/>
      <w:bookmarkStart w:id="178" w:name="_Toc97825524"/>
      <w:r>
        <w:rPr>
          <w:rFonts w:hint="eastAsia" w:ascii="楷体_GB2312" w:eastAsia="楷体_GB2312"/>
          <w:b/>
          <w:bCs/>
          <w:color w:val="000000"/>
          <w:sz w:val="32"/>
          <w:szCs w:val="32"/>
        </w:rPr>
        <w:t>5.3 信息发布</w:t>
      </w:r>
      <w:bookmarkEnd w:id="177"/>
      <w:bookmarkEnd w:id="178"/>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rPr>
        <w:t>保税区</w:t>
      </w:r>
      <w:r>
        <w:rPr>
          <w:rFonts w:hint="eastAsia" w:ascii="仿宋_GB2312" w:eastAsia="仿宋_GB2312"/>
          <w:color w:val="000000"/>
          <w:spacing w:val="0"/>
          <w:sz w:val="32"/>
          <w:szCs w:val="32"/>
          <w:lang w:val="zh-CN"/>
        </w:rPr>
        <w:t>油气长输管道事故的信息发布工作，由</w:t>
      </w:r>
      <w:r>
        <w:rPr>
          <w:rFonts w:hint="eastAsia" w:ascii="仿宋_GB2312" w:eastAsia="仿宋_GB2312"/>
          <w:color w:val="000000"/>
          <w:spacing w:val="0"/>
          <w:sz w:val="32"/>
          <w:szCs w:val="32"/>
        </w:rPr>
        <w:t>上级部门</w:t>
      </w:r>
      <w:r>
        <w:rPr>
          <w:rFonts w:hint="eastAsia" w:ascii="仿宋_GB2312" w:eastAsia="仿宋_GB2312"/>
          <w:color w:val="000000"/>
          <w:spacing w:val="0"/>
          <w:sz w:val="32"/>
          <w:szCs w:val="32"/>
          <w:lang w:val="zh-CN"/>
        </w:rPr>
        <w:t>统筹协调，</w:t>
      </w:r>
      <w:r>
        <w:rPr>
          <w:rFonts w:hint="eastAsia" w:ascii="仿宋_GB2312" w:eastAsia="仿宋_GB2312"/>
          <w:color w:val="000000"/>
          <w:spacing w:val="0"/>
          <w:sz w:val="32"/>
          <w:szCs w:val="32"/>
        </w:rPr>
        <w:t>保税区做好配合工作</w:t>
      </w:r>
      <w:r>
        <w:rPr>
          <w:rFonts w:hint="eastAsia" w:ascii="仿宋_GB2312" w:eastAsia="仿宋_GB2312"/>
          <w:color w:val="000000"/>
          <w:spacing w:val="0"/>
          <w:sz w:val="32"/>
          <w:szCs w:val="32"/>
          <w:lang w:val="zh-CN"/>
        </w:rPr>
        <w:t>。未经批准，参与应急处置工作的任何单位和个人不得擅自对外发布消息。</w:t>
      </w:r>
    </w:p>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179" w:name="_Toc97825525"/>
      <w:bookmarkStart w:id="180" w:name="_Toc153282041"/>
      <w:r>
        <w:rPr>
          <w:rFonts w:hint="eastAsia" w:ascii="楷体_GB2312" w:eastAsia="楷体_GB2312"/>
          <w:b/>
          <w:bCs/>
          <w:color w:val="000000"/>
          <w:sz w:val="32"/>
          <w:szCs w:val="32"/>
        </w:rPr>
        <w:t>5.4 应急结束</w:t>
      </w:r>
      <w:bookmarkEnd w:id="179"/>
      <w:bookmarkEnd w:id="180"/>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5.</w:t>
      </w:r>
      <w:r>
        <w:rPr>
          <w:rFonts w:hint="eastAsia" w:ascii="仿宋_GB2312" w:eastAsia="仿宋_GB2312"/>
          <w:color w:val="000000"/>
          <w:spacing w:val="0"/>
          <w:sz w:val="32"/>
          <w:szCs w:val="32"/>
        </w:rPr>
        <w:t>4</w:t>
      </w:r>
      <w:r>
        <w:rPr>
          <w:rFonts w:hint="eastAsia" w:ascii="仿宋_GB2312" w:eastAsia="仿宋_GB2312"/>
          <w:color w:val="000000"/>
          <w:spacing w:val="0"/>
          <w:sz w:val="32"/>
          <w:szCs w:val="32"/>
          <w:lang w:val="zh-CN"/>
        </w:rPr>
        <w:t>.1 油气长输管道事故应急处置工作结束，经有关机构和专家评估，事故危害或威胁被控制、消除，应急处置工作即告结束。</w:t>
      </w:r>
    </w:p>
    <w:p>
      <w:pPr>
        <w:adjustRightInd w:val="0"/>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lang w:val="zh-CN"/>
        </w:rPr>
        <w:t>5.</w:t>
      </w:r>
      <w:r>
        <w:rPr>
          <w:rFonts w:hint="eastAsia" w:ascii="仿宋_GB2312" w:eastAsia="仿宋_GB2312"/>
          <w:color w:val="000000"/>
          <w:spacing w:val="0"/>
          <w:sz w:val="32"/>
          <w:szCs w:val="32"/>
        </w:rPr>
        <w:t>4</w:t>
      </w:r>
      <w:r>
        <w:rPr>
          <w:rFonts w:hint="eastAsia" w:ascii="仿宋_GB2312" w:eastAsia="仿宋_GB2312"/>
          <w:color w:val="000000"/>
          <w:spacing w:val="0"/>
          <w:sz w:val="32"/>
          <w:szCs w:val="32"/>
          <w:lang w:val="zh-CN"/>
        </w:rPr>
        <w:t>.</w:t>
      </w:r>
      <w:r>
        <w:rPr>
          <w:rFonts w:hint="eastAsia" w:ascii="仿宋_GB2312" w:eastAsia="仿宋_GB2312"/>
          <w:color w:val="000000"/>
          <w:spacing w:val="0"/>
          <w:sz w:val="32"/>
          <w:szCs w:val="32"/>
        </w:rPr>
        <w:t>2</w:t>
      </w:r>
      <w:r>
        <w:rPr>
          <w:rFonts w:hint="eastAsia" w:ascii="仿宋_GB2312" w:eastAsia="仿宋_GB2312"/>
          <w:color w:val="000000"/>
          <w:spacing w:val="0"/>
          <w:sz w:val="32"/>
          <w:szCs w:val="32"/>
          <w:lang w:val="zh-CN"/>
        </w:rPr>
        <w:t xml:space="preserve"> 按照“谁决定响应，谁决定结束”原则，</w:t>
      </w:r>
      <w:r>
        <w:rPr>
          <w:rFonts w:hint="eastAsia" w:ascii="仿宋_GB2312" w:eastAsia="仿宋_GB2312"/>
          <w:color w:val="000000"/>
          <w:spacing w:val="0"/>
          <w:sz w:val="32"/>
          <w:szCs w:val="32"/>
        </w:rPr>
        <w:t>接到上级政府部门发布的</w:t>
      </w:r>
      <w:r>
        <w:rPr>
          <w:rFonts w:hint="eastAsia" w:ascii="仿宋_GB2312" w:eastAsia="仿宋_GB2312"/>
          <w:color w:val="000000"/>
          <w:spacing w:val="0"/>
          <w:sz w:val="32"/>
          <w:szCs w:val="32"/>
          <w:lang w:val="zh-CN"/>
        </w:rPr>
        <w:t>应急结束信息</w:t>
      </w:r>
      <w:r>
        <w:rPr>
          <w:rFonts w:hint="eastAsia" w:ascii="仿宋_GB2312" w:eastAsia="仿宋_GB2312"/>
          <w:color w:val="000000"/>
          <w:spacing w:val="0"/>
          <w:sz w:val="32"/>
          <w:szCs w:val="32"/>
        </w:rPr>
        <w:t>后，</w:t>
      </w:r>
      <w:r>
        <w:rPr>
          <w:rFonts w:hint="eastAsia" w:ascii="仿宋_GB2312" w:eastAsia="仿宋_GB2312"/>
          <w:color w:val="000000"/>
          <w:spacing w:val="0"/>
          <w:sz w:val="32"/>
          <w:szCs w:val="32"/>
          <w:lang w:val="zh-CN"/>
        </w:rPr>
        <w:t>专项应急办</w:t>
      </w:r>
      <w:r>
        <w:rPr>
          <w:rFonts w:hint="eastAsia" w:ascii="仿宋_GB2312" w:eastAsia="仿宋_GB2312"/>
          <w:color w:val="000000"/>
          <w:spacing w:val="0"/>
          <w:sz w:val="32"/>
          <w:szCs w:val="32"/>
        </w:rPr>
        <w:t>及时</w:t>
      </w:r>
      <w:r>
        <w:rPr>
          <w:rFonts w:hint="eastAsia" w:ascii="仿宋_GB2312" w:eastAsia="仿宋_GB2312"/>
          <w:color w:val="000000"/>
          <w:spacing w:val="0"/>
          <w:sz w:val="32"/>
          <w:szCs w:val="32"/>
          <w:lang w:val="zh-CN"/>
        </w:rPr>
        <w:t>通报有关成员单位。必要时，通过信息发布平台和新闻媒体等向社会发布应急结束信息。</w:t>
      </w:r>
    </w:p>
    <w:bookmarkEnd w:id="165"/>
    <w:p>
      <w:pPr>
        <w:pStyle w:val="6"/>
        <w:keepNext w:val="0"/>
        <w:keepLines w:val="0"/>
        <w:numPr>
          <w:ilvl w:val="0"/>
          <w:numId w:val="0"/>
        </w:numPr>
        <w:pBdr>
          <w:bottom w:val="none" w:color="auto" w:sz="0" w:space="0"/>
        </w:pBdr>
        <w:spacing w:line="540" w:lineRule="exact"/>
        <w:ind w:firstLine="640" w:firstLineChars="200"/>
        <w:jc w:val="both"/>
        <w:outlineLvl w:val="0"/>
        <w:rPr>
          <w:rFonts w:hint="eastAsia" w:ascii="黑体" w:hAnsi="黑体" w:eastAsia="黑体" w:cs="黑体"/>
          <w:bCs/>
          <w:color w:val="000000"/>
          <w:kern w:val="44"/>
          <w:sz w:val="32"/>
          <w:szCs w:val="32"/>
          <w:lang w:val="zh-CN"/>
        </w:rPr>
      </w:pPr>
      <w:bookmarkStart w:id="181" w:name="_Toc97825526"/>
      <w:bookmarkStart w:id="182" w:name="_Toc153282042"/>
      <w:bookmarkStart w:id="183" w:name="_Toc7815"/>
      <w:r>
        <w:rPr>
          <w:rFonts w:hint="eastAsia" w:ascii="黑体" w:hAnsi="黑体" w:eastAsia="黑体" w:cs="黑体"/>
          <w:bCs/>
          <w:color w:val="000000"/>
          <w:kern w:val="44"/>
          <w:sz w:val="32"/>
          <w:szCs w:val="32"/>
        </w:rPr>
        <w:t xml:space="preserve">6 </w:t>
      </w:r>
      <w:r>
        <w:rPr>
          <w:rFonts w:hint="eastAsia" w:ascii="黑体" w:hAnsi="黑体" w:eastAsia="黑体" w:cs="黑体"/>
          <w:bCs/>
          <w:color w:val="000000"/>
          <w:kern w:val="44"/>
          <w:sz w:val="32"/>
          <w:szCs w:val="32"/>
          <w:lang w:val="zh-CN"/>
        </w:rPr>
        <w:t>后期处置</w:t>
      </w:r>
      <w:bookmarkEnd w:id="181"/>
      <w:bookmarkEnd w:id="182"/>
      <w:bookmarkEnd w:id="183"/>
    </w:p>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184" w:name="_Toc97825527"/>
      <w:bookmarkStart w:id="185" w:name="_Toc153282043"/>
      <w:r>
        <w:rPr>
          <w:rFonts w:hint="eastAsia" w:ascii="楷体_GB2312" w:eastAsia="楷体_GB2312"/>
          <w:b/>
          <w:bCs/>
          <w:color w:val="000000"/>
          <w:sz w:val="32"/>
          <w:szCs w:val="32"/>
        </w:rPr>
        <w:t>6.1 善后工作</w:t>
      </w:r>
      <w:bookmarkEnd w:id="184"/>
      <w:bookmarkEnd w:id="185"/>
    </w:p>
    <w:p>
      <w:pPr>
        <w:adjustRightInd w:val="0"/>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在保税区管委会统一领导下，保税区相关</w:t>
      </w:r>
      <w:r>
        <w:rPr>
          <w:rFonts w:hint="eastAsia" w:ascii="仿宋_GB2312" w:eastAsia="仿宋_GB2312"/>
          <w:color w:val="000000"/>
          <w:spacing w:val="0"/>
          <w:sz w:val="32"/>
          <w:szCs w:val="32"/>
          <w:lang w:val="zh-CN"/>
        </w:rPr>
        <w:t>部门各司其职，及时做好伤员救治、交通恢复、污染物清理、</w:t>
      </w:r>
      <w:r>
        <w:rPr>
          <w:rFonts w:hint="eastAsia" w:ascii="仿宋_GB2312" w:eastAsia="仿宋_GB2312"/>
          <w:color w:val="000000"/>
          <w:spacing w:val="0"/>
          <w:sz w:val="32"/>
          <w:szCs w:val="32"/>
        </w:rPr>
        <w:t>损失评估、恢复重建</w:t>
      </w:r>
      <w:r>
        <w:rPr>
          <w:rFonts w:hint="eastAsia" w:ascii="仿宋_GB2312" w:eastAsia="仿宋_GB2312"/>
          <w:color w:val="000000"/>
          <w:spacing w:val="0"/>
          <w:sz w:val="32"/>
          <w:szCs w:val="32"/>
          <w:lang w:val="zh-CN"/>
        </w:rPr>
        <w:t>等善后工作。</w:t>
      </w:r>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油气长输管道企业应当在有关部门和专家的指导下，抓紧进行设施设备修复和现场清理，尽快恢复油气长输管道运行。</w:t>
      </w:r>
    </w:p>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186" w:name="_Toc97825528"/>
      <w:bookmarkStart w:id="187" w:name="_Toc153282044"/>
      <w:r>
        <w:rPr>
          <w:rFonts w:hint="eastAsia" w:ascii="楷体_GB2312" w:eastAsia="楷体_GB2312"/>
          <w:b/>
          <w:bCs/>
          <w:color w:val="000000"/>
          <w:sz w:val="32"/>
          <w:szCs w:val="32"/>
        </w:rPr>
        <w:t>6.2 调查评估</w:t>
      </w:r>
      <w:bookmarkEnd w:id="186"/>
      <w:bookmarkEnd w:id="187"/>
    </w:p>
    <w:p>
      <w:pPr>
        <w:adjustRightInd w:val="0"/>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根据上级要求，保税区管委会相关部门配合上级政府开展油气长输管道事故的调查评估工作。</w:t>
      </w:r>
    </w:p>
    <w:p>
      <w:pPr>
        <w:pStyle w:val="6"/>
        <w:keepNext w:val="0"/>
        <w:keepLines w:val="0"/>
        <w:numPr>
          <w:ilvl w:val="0"/>
          <w:numId w:val="0"/>
        </w:numPr>
        <w:pBdr>
          <w:bottom w:val="none" w:color="auto" w:sz="0" w:space="0"/>
        </w:pBdr>
        <w:spacing w:line="540" w:lineRule="exact"/>
        <w:ind w:firstLine="640" w:firstLineChars="200"/>
        <w:jc w:val="both"/>
        <w:outlineLvl w:val="0"/>
        <w:rPr>
          <w:rFonts w:hint="eastAsia" w:ascii="黑体" w:hAnsi="黑体" w:eastAsia="黑体" w:cs="黑体"/>
          <w:bCs/>
          <w:color w:val="000000"/>
          <w:kern w:val="44"/>
          <w:sz w:val="32"/>
          <w:szCs w:val="32"/>
          <w:lang w:val="zh-CN"/>
        </w:rPr>
      </w:pPr>
      <w:bookmarkStart w:id="188" w:name="_Toc97825529"/>
      <w:bookmarkStart w:id="189" w:name="_Toc153282045"/>
      <w:bookmarkStart w:id="190" w:name="_Toc15970"/>
      <w:r>
        <w:rPr>
          <w:rFonts w:hint="eastAsia" w:ascii="黑体" w:hAnsi="黑体" w:eastAsia="黑体" w:cs="黑体"/>
          <w:bCs/>
          <w:color w:val="000000"/>
          <w:kern w:val="44"/>
          <w:sz w:val="32"/>
          <w:szCs w:val="32"/>
        </w:rPr>
        <w:t xml:space="preserve">7 </w:t>
      </w:r>
      <w:r>
        <w:rPr>
          <w:rFonts w:hint="eastAsia" w:ascii="黑体" w:hAnsi="黑体" w:eastAsia="黑体" w:cs="黑体"/>
          <w:bCs/>
          <w:color w:val="000000"/>
          <w:kern w:val="44"/>
          <w:sz w:val="32"/>
          <w:szCs w:val="32"/>
          <w:lang w:val="zh-CN"/>
        </w:rPr>
        <w:t>应急保障</w:t>
      </w:r>
      <w:bookmarkEnd w:id="188"/>
      <w:bookmarkEnd w:id="189"/>
    </w:p>
    <w:bookmarkEnd w:id="190"/>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191" w:name="_Toc97825530"/>
      <w:bookmarkStart w:id="192" w:name="_Toc153282046"/>
      <w:r>
        <w:rPr>
          <w:rFonts w:hint="eastAsia" w:ascii="楷体_GB2312" w:eastAsia="楷体_GB2312"/>
          <w:b/>
          <w:bCs/>
          <w:color w:val="000000"/>
          <w:sz w:val="32"/>
          <w:szCs w:val="32"/>
        </w:rPr>
        <w:t>7.1 队伍保障</w:t>
      </w:r>
      <w:bookmarkEnd w:id="191"/>
      <w:bookmarkEnd w:id="192"/>
    </w:p>
    <w:p>
      <w:pPr>
        <w:adjustRightInd w:val="0"/>
        <w:snapToGrid w:val="0"/>
        <w:spacing w:line="54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pacing w:val="0"/>
          <w:sz w:val="32"/>
          <w:szCs w:val="32"/>
        </w:rPr>
        <w:t>油气长输管道企业要建立应急救援队伍，配备必要的设备和设施，积极开展救援知识、专业技能培训和演练，保证队伍随时处于待命状态。</w:t>
      </w:r>
    </w:p>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193" w:name="_Toc153282047"/>
      <w:bookmarkStart w:id="194" w:name="_Toc97825531"/>
      <w:r>
        <w:rPr>
          <w:rFonts w:hint="eastAsia" w:ascii="楷体_GB2312" w:eastAsia="楷体_GB2312"/>
          <w:b/>
          <w:bCs/>
          <w:color w:val="000000"/>
          <w:sz w:val="32"/>
          <w:szCs w:val="32"/>
        </w:rPr>
        <w:t>7.2 物资保障</w:t>
      </w:r>
      <w:bookmarkEnd w:id="193"/>
    </w:p>
    <w:p>
      <w:pPr>
        <w:adjustRightInd w:val="0"/>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专项应急指挥部成员单位及有关部门，分别负责本行业、领域的应急物资储备工作，在现有资源基础上，合理布局并补充完善应急救援资源；建立应急物资保障和调运体系，完善紧急生产、政府采购、征用调用和补偿机制。</w:t>
      </w:r>
    </w:p>
    <w:p>
      <w:pPr>
        <w:adjustRightInd w:val="0"/>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油气长输管道企业要结合自身性质和特点，储备和配备能满足油气长输管道事故应急救援需要的装备和物资，并确保装备和物资始终处于良好状态。</w:t>
      </w:r>
      <w:bookmarkStart w:id="195" w:name="_Toc153282048"/>
    </w:p>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r>
        <w:rPr>
          <w:rFonts w:hint="eastAsia" w:ascii="楷体_GB2312" w:eastAsia="楷体_GB2312"/>
          <w:b/>
          <w:bCs/>
          <w:color w:val="000000"/>
          <w:sz w:val="32"/>
          <w:szCs w:val="32"/>
        </w:rPr>
        <w:t>7.3 资金保障</w:t>
      </w:r>
      <w:bookmarkEnd w:id="195"/>
    </w:p>
    <w:p>
      <w:pPr>
        <w:adjustRightInd w:val="0"/>
        <w:snapToGrid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财政局安排油气长输管道事故所需本级财政负担的经费。</w:t>
      </w:r>
    </w:p>
    <w:p>
      <w:pPr>
        <w:adjustRightInd w:val="0"/>
        <w:snapToGrid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pacing w:val="0"/>
          <w:sz w:val="32"/>
          <w:szCs w:val="32"/>
        </w:rPr>
        <w:t>油气长输管道企业应当按规定提取安全生产费用，保障企业日常对危险源的监控、预防预警措施、应急培训、演练以及应对油气长输管道事故的需要。</w:t>
      </w:r>
    </w:p>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196" w:name="_Toc153282051"/>
      <w:r>
        <w:rPr>
          <w:rFonts w:hint="eastAsia" w:ascii="楷体_GB2312" w:eastAsia="楷体_GB2312"/>
          <w:b/>
          <w:bCs/>
          <w:color w:val="000000"/>
          <w:sz w:val="32"/>
          <w:szCs w:val="32"/>
        </w:rPr>
        <w:t>7.4 宣传教育、培训</w:t>
      </w:r>
      <w:bookmarkEnd w:id="196"/>
    </w:p>
    <w:p>
      <w:pPr>
        <w:snapToGrid w:val="0"/>
        <w:spacing w:line="540" w:lineRule="exact"/>
        <w:ind w:firstLine="640" w:firstLineChars="200"/>
        <w:outlineLvl w:val="2"/>
        <w:rPr>
          <w:rFonts w:hint="eastAsia" w:ascii="仿宋_GB2312" w:eastAsia="仿宋_GB2312"/>
          <w:color w:val="000000"/>
          <w:spacing w:val="0"/>
          <w:sz w:val="32"/>
          <w:szCs w:val="32"/>
          <w:lang w:val="zh-CN"/>
        </w:rPr>
      </w:pPr>
      <w:bookmarkStart w:id="197" w:name="_Toc153282052"/>
      <w:r>
        <w:rPr>
          <w:rFonts w:hint="eastAsia" w:ascii="仿宋_GB2312" w:eastAsia="仿宋_GB2312"/>
          <w:color w:val="000000"/>
          <w:spacing w:val="0"/>
          <w:sz w:val="32"/>
          <w:szCs w:val="32"/>
        </w:rPr>
        <w:t>7.4.</w:t>
      </w:r>
      <w:r>
        <w:rPr>
          <w:rFonts w:hint="eastAsia" w:ascii="仿宋_GB2312" w:eastAsia="仿宋_GB2312"/>
          <w:color w:val="000000"/>
          <w:spacing w:val="0"/>
          <w:sz w:val="32"/>
          <w:szCs w:val="32"/>
          <w:lang w:val="zh-CN"/>
        </w:rPr>
        <w:t>1 宣传教育</w:t>
      </w:r>
      <w:bookmarkEnd w:id="197"/>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油气长输管道企业应告知员工和周边群众油气长输管道事故的主要危险及危害，宣传应急法律法规和事故预防、避险、自救、互救知识。</w:t>
      </w:r>
    </w:p>
    <w:p>
      <w:pPr>
        <w:snapToGrid w:val="0"/>
        <w:spacing w:line="540" w:lineRule="exact"/>
        <w:ind w:firstLine="640" w:firstLineChars="200"/>
        <w:outlineLvl w:val="2"/>
        <w:rPr>
          <w:rFonts w:hint="eastAsia" w:ascii="仿宋_GB2312" w:eastAsia="仿宋_GB2312"/>
          <w:color w:val="000000"/>
          <w:spacing w:val="0"/>
          <w:sz w:val="32"/>
          <w:szCs w:val="32"/>
          <w:lang w:val="zh-CN"/>
        </w:rPr>
      </w:pPr>
      <w:bookmarkStart w:id="198" w:name="_Toc153282053"/>
      <w:r>
        <w:rPr>
          <w:rFonts w:hint="eastAsia" w:ascii="仿宋_GB2312" w:eastAsia="仿宋_GB2312"/>
          <w:color w:val="000000"/>
          <w:spacing w:val="0"/>
          <w:sz w:val="32"/>
          <w:szCs w:val="32"/>
        </w:rPr>
        <w:t>7.4</w:t>
      </w:r>
      <w:r>
        <w:rPr>
          <w:rFonts w:hint="eastAsia" w:ascii="仿宋_GB2312" w:eastAsia="仿宋_GB2312"/>
          <w:color w:val="000000"/>
          <w:spacing w:val="0"/>
          <w:sz w:val="32"/>
          <w:szCs w:val="32"/>
          <w:lang w:val="zh-CN"/>
        </w:rPr>
        <w:t>.2 培训</w:t>
      </w:r>
      <w:bookmarkEnd w:id="198"/>
    </w:p>
    <w:p>
      <w:pPr>
        <w:adjustRightInd w:val="0"/>
        <w:snapToGrid w:val="0"/>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pacing w:val="0"/>
          <w:sz w:val="32"/>
          <w:szCs w:val="32"/>
          <w:lang w:val="zh-CN"/>
        </w:rPr>
        <w:t>油气长输管道企业应加强岗前培训，确保从业人员具备必要安全生产知识，掌握安全生产规章制度和安全操作规程，具备本岗位安全操作技能和处置油气长输管道事故的能力；安全生产管理人员</w:t>
      </w:r>
      <w:r>
        <w:rPr>
          <w:rFonts w:hint="eastAsia" w:ascii="仿宋_GB2312" w:eastAsia="仿宋_GB2312"/>
          <w:color w:val="000000"/>
          <w:spacing w:val="0"/>
          <w:sz w:val="32"/>
          <w:szCs w:val="32"/>
        </w:rPr>
        <w:t>应当由主管的负有安全生产监督管理职责的部门对其安全生产知识和管理能力考核合格；</w:t>
      </w:r>
      <w:r>
        <w:rPr>
          <w:rFonts w:hint="eastAsia" w:ascii="仿宋_GB2312" w:eastAsia="仿宋_GB2312"/>
          <w:color w:val="000000"/>
          <w:spacing w:val="0"/>
          <w:sz w:val="32"/>
          <w:szCs w:val="32"/>
          <w:lang w:val="zh-CN"/>
        </w:rPr>
        <w:t>特种作业人员</w:t>
      </w:r>
      <w:r>
        <w:rPr>
          <w:rFonts w:hint="eastAsia" w:ascii="仿宋_GB2312" w:eastAsia="仿宋_GB2312"/>
          <w:color w:val="000000"/>
          <w:spacing w:val="0"/>
          <w:sz w:val="32"/>
          <w:szCs w:val="32"/>
        </w:rPr>
        <w:t>必须按照国家有关规定经专门的安全作业培训，取得相应资格，方可上岗作业</w:t>
      </w:r>
      <w:r>
        <w:rPr>
          <w:rFonts w:hint="eastAsia" w:ascii="仿宋_GB2312" w:eastAsia="仿宋_GB2312"/>
          <w:color w:val="000000"/>
          <w:spacing w:val="0"/>
          <w:sz w:val="32"/>
          <w:szCs w:val="32"/>
          <w:lang w:val="zh-CN"/>
        </w:rPr>
        <w:t>。</w:t>
      </w:r>
      <w:bookmarkEnd w:id="194"/>
    </w:p>
    <w:p>
      <w:pPr>
        <w:pStyle w:val="6"/>
        <w:keepNext w:val="0"/>
        <w:keepLines w:val="0"/>
        <w:numPr>
          <w:ilvl w:val="0"/>
          <w:numId w:val="0"/>
        </w:numPr>
        <w:pBdr>
          <w:bottom w:val="none" w:color="auto" w:sz="0" w:space="0"/>
        </w:pBdr>
        <w:spacing w:line="540" w:lineRule="exact"/>
        <w:ind w:firstLine="640" w:firstLineChars="200"/>
        <w:jc w:val="both"/>
        <w:outlineLvl w:val="0"/>
        <w:rPr>
          <w:rFonts w:hint="eastAsia" w:ascii="黑体" w:hAnsi="黑体" w:eastAsia="黑体" w:cs="黑体"/>
          <w:bCs/>
          <w:color w:val="000000"/>
          <w:kern w:val="44"/>
          <w:sz w:val="32"/>
          <w:szCs w:val="32"/>
          <w:lang w:val="zh-CN"/>
        </w:rPr>
      </w:pPr>
      <w:bookmarkStart w:id="199" w:name="_Toc97822925"/>
      <w:bookmarkEnd w:id="199"/>
      <w:bookmarkStart w:id="200" w:name="_Toc97822923"/>
      <w:bookmarkEnd w:id="200"/>
      <w:bookmarkStart w:id="201" w:name="_Toc97812195"/>
      <w:bookmarkEnd w:id="201"/>
      <w:bookmarkStart w:id="202" w:name="_Toc97825534"/>
      <w:bookmarkEnd w:id="202"/>
      <w:bookmarkStart w:id="203" w:name="_Toc97812193"/>
      <w:bookmarkEnd w:id="203"/>
      <w:bookmarkStart w:id="204" w:name="_Toc97809601"/>
      <w:bookmarkEnd w:id="204"/>
      <w:bookmarkStart w:id="205" w:name="_Toc97812112"/>
      <w:bookmarkEnd w:id="205"/>
      <w:bookmarkStart w:id="206" w:name="_Toc97809600"/>
      <w:bookmarkEnd w:id="206"/>
      <w:bookmarkStart w:id="207" w:name="_Toc96442077"/>
      <w:bookmarkEnd w:id="207"/>
      <w:bookmarkStart w:id="208" w:name="_Toc96442079"/>
      <w:bookmarkEnd w:id="208"/>
      <w:bookmarkStart w:id="209" w:name="_Toc97812114"/>
      <w:bookmarkEnd w:id="209"/>
      <w:bookmarkStart w:id="210" w:name="_Toc97812194"/>
      <w:bookmarkEnd w:id="210"/>
      <w:bookmarkStart w:id="211" w:name="_Toc97809526"/>
      <w:bookmarkEnd w:id="211"/>
      <w:bookmarkStart w:id="212" w:name="_Toc97812113"/>
      <w:bookmarkEnd w:id="212"/>
      <w:bookmarkStart w:id="213" w:name="_Toc97809528"/>
      <w:bookmarkEnd w:id="213"/>
      <w:bookmarkStart w:id="214" w:name="_Toc97809527"/>
      <w:bookmarkEnd w:id="214"/>
      <w:bookmarkStart w:id="215" w:name="_Toc97825533"/>
      <w:bookmarkEnd w:id="215"/>
      <w:bookmarkStart w:id="216" w:name="_Toc97809599"/>
      <w:bookmarkEnd w:id="216"/>
      <w:bookmarkStart w:id="217" w:name="_Toc97822924"/>
      <w:bookmarkEnd w:id="217"/>
      <w:bookmarkStart w:id="218" w:name="_Toc96442078"/>
      <w:bookmarkEnd w:id="218"/>
      <w:bookmarkStart w:id="219" w:name="_Toc97825535"/>
      <w:bookmarkEnd w:id="219"/>
      <w:bookmarkStart w:id="220" w:name="_Toc153282054"/>
      <w:r>
        <w:rPr>
          <w:rFonts w:hint="eastAsia" w:ascii="黑体" w:hAnsi="黑体" w:eastAsia="黑体" w:cs="黑体"/>
          <w:bCs/>
          <w:color w:val="000000"/>
          <w:kern w:val="44"/>
          <w:sz w:val="32"/>
          <w:szCs w:val="32"/>
        </w:rPr>
        <w:t>8 附则</w:t>
      </w:r>
      <w:bookmarkEnd w:id="220"/>
    </w:p>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221" w:name="_Toc153282055"/>
      <w:bookmarkStart w:id="222" w:name="_Toc97825539"/>
      <w:r>
        <w:rPr>
          <w:rFonts w:hint="eastAsia" w:ascii="楷体_GB2312" w:eastAsia="楷体_GB2312"/>
          <w:b/>
          <w:bCs/>
          <w:color w:val="000000"/>
          <w:sz w:val="32"/>
          <w:szCs w:val="32"/>
        </w:rPr>
        <w:t>8.1 预案解释</w:t>
      </w:r>
      <w:bookmarkEnd w:id="221"/>
    </w:p>
    <w:p>
      <w:pPr>
        <w:adjustRightInd w:val="0"/>
        <w:snapToGrid w:val="0"/>
        <w:spacing w:line="540" w:lineRule="exact"/>
        <w:ind w:firstLine="640" w:firstLineChars="200"/>
        <w:rPr>
          <w:rFonts w:hint="eastAsia" w:ascii="仿宋_GB2312" w:eastAsia="仿宋_GB2312"/>
          <w:color w:val="000000"/>
          <w:spacing w:val="0"/>
          <w:sz w:val="32"/>
          <w:szCs w:val="32"/>
        </w:rPr>
      </w:pPr>
      <w:r>
        <w:rPr>
          <w:rFonts w:hint="eastAsia" w:ascii="仿宋_GB2312" w:eastAsia="仿宋_GB2312"/>
          <w:color w:val="000000"/>
          <w:spacing w:val="0"/>
          <w:sz w:val="32"/>
          <w:szCs w:val="32"/>
        </w:rPr>
        <w:t>本预案解释工作由保税区发改局承担。</w:t>
      </w:r>
    </w:p>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223" w:name="_Toc153282056"/>
      <w:r>
        <w:rPr>
          <w:rFonts w:hint="eastAsia" w:ascii="楷体_GB2312" w:eastAsia="楷体_GB2312"/>
          <w:b/>
          <w:bCs/>
          <w:color w:val="000000"/>
          <w:sz w:val="32"/>
          <w:szCs w:val="32"/>
        </w:rPr>
        <w:t>8.2 预案修订</w:t>
      </w:r>
      <w:bookmarkEnd w:id="223"/>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rPr>
        <w:t>专项应急办</w:t>
      </w:r>
      <w:r>
        <w:rPr>
          <w:rFonts w:hint="eastAsia" w:ascii="仿宋_GB2312" w:eastAsia="仿宋_GB2312"/>
          <w:color w:val="000000"/>
          <w:spacing w:val="0"/>
          <w:sz w:val="32"/>
          <w:szCs w:val="32"/>
          <w:lang w:val="zh-CN"/>
        </w:rPr>
        <w:t>应结合应急管理工作实践，及时组织修订应急预案。</w:t>
      </w:r>
    </w:p>
    <w:bookmarkEnd w:id="222"/>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224" w:name="_Toc85257271"/>
      <w:bookmarkEnd w:id="224"/>
      <w:bookmarkStart w:id="225" w:name="_Toc70001566"/>
      <w:bookmarkEnd w:id="225"/>
      <w:bookmarkStart w:id="226" w:name="_Toc70060557"/>
      <w:bookmarkEnd w:id="226"/>
      <w:bookmarkStart w:id="227" w:name="_Toc125189412"/>
      <w:bookmarkEnd w:id="227"/>
      <w:bookmarkStart w:id="228" w:name="_Toc153282057"/>
      <w:bookmarkStart w:id="229" w:name="_Toc97825540"/>
      <w:r>
        <w:rPr>
          <w:rFonts w:hint="eastAsia" w:ascii="楷体_GB2312" w:eastAsia="楷体_GB2312"/>
          <w:b/>
          <w:bCs/>
          <w:color w:val="000000"/>
          <w:sz w:val="32"/>
          <w:szCs w:val="32"/>
        </w:rPr>
        <w:t>8.3 预案演练</w:t>
      </w:r>
      <w:bookmarkEnd w:id="228"/>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rPr>
        <w:t>保税区管委会应安排专项资金，每2年至少</w:t>
      </w:r>
      <w:r>
        <w:rPr>
          <w:rFonts w:hint="eastAsia" w:ascii="仿宋_GB2312" w:eastAsia="仿宋_GB2312"/>
          <w:color w:val="000000"/>
          <w:spacing w:val="0"/>
          <w:sz w:val="32"/>
          <w:szCs w:val="32"/>
          <w:lang w:val="zh-CN"/>
        </w:rPr>
        <w:t>组织</w:t>
      </w:r>
      <w:r>
        <w:rPr>
          <w:rFonts w:hint="eastAsia" w:ascii="仿宋_GB2312" w:eastAsia="仿宋_GB2312"/>
          <w:color w:val="000000"/>
          <w:spacing w:val="0"/>
          <w:sz w:val="32"/>
          <w:szCs w:val="32"/>
        </w:rPr>
        <w:t>1次油气长输管道事故</w:t>
      </w:r>
      <w:r>
        <w:rPr>
          <w:rFonts w:hint="eastAsia" w:ascii="仿宋_GB2312" w:eastAsia="仿宋_GB2312"/>
          <w:color w:val="000000"/>
          <w:spacing w:val="0"/>
          <w:sz w:val="32"/>
          <w:szCs w:val="32"/>
          <w:lang w:val="zh-CN"/>
        </w:rPr>
        <w:t>专项应急预案演练。油气长输管道企业每年至少组织</w:t>
      </w:r>
      <w:r>
        <w:rPr>
          <w:rFonts w:hint="eastAsia" w:ascii="仿宋_GB2312" w:eastAsia="仿宋_GB2312"/>
          <w:color w:val="000000"/>
          <w:spacing w:val="0"/>
          <w:sz w:val="32"/>
          <w:szCs w:val="32"/>
        </w:rPr>
        <w:t>1</w:t>
      </w:r>
      <w:r>
        <w:rPr>
          <w:rFonts w:hint="eastAsia" w:ascii="仿宋_GB2312" w:eastAsia="仿宋_GB2312"/>
          <w:color w:val="000000"/>
          <w:spacing w:val="0"/>
          <w:sz w:val="32"/>
          <w:szCs w:val="32"/>
          <w:lang w:val="zh-CN"/>
        </w:rPr>
        <w:t>次综合应急预案演练或专项应急预案演练，每半年至少组织</w:t>
      </w:r>
      <w:r>
        <w:rPr>
          <w:rFonts w:hint="eastAsia" w:ascii="仿宋_GB2312" w:eastAsia="仿宋_GB2312"/>
          <w:color w:val="000000"/>
          <w:spacing w:val="0"/>
          <w:sz w:val="32"/>
          <w:szCs w:val="32"/>
        </w:rPr>
        <w:t>1</w:t>
      </w:r>
      <w:r>
        <w:rPr>
          <w:rFonts w:hint="eastAsia" w:ascii="仿宋_GB2312" w:eastAsia="仿宋_GB2312"/>
          <w:color w:val="000000"/>
          <w:spacing w:val="0"/>
          <w:sz w:val="32"/>
          <w:szCs w:val="32"/>
          <w:lang w:val="zh-CN"/>
        </w:rPr>
        <w:t>次现场处置方案的演练，并建立应急预案持续改进机制。</w:t>
      </w:r>
    </w:p>
    <w:p>
      <w:pPr>
        <w:keepNext w:val="0"/>
        <w:keepLines w:val="0"/>
        <w:snapToGrid w:val="0"/>
        <w:spacing w:line="540" w:lineRule="exact"/>
        <w:ind w:firstLine="643" w:firstLineChars="200"/>
        <w:outlineLvl w:val="1"/>
        <w:rPr>
          <w:rFonts w:hint="eastAsia" w:ascii="楷体_GB2312" w:eastAsia="楷体_GB2312"/>
          <w:b/>
          <w:bCs/>
          <w:color w:val="000000"/>
          <w:sz w:val="32"/>
          <w:szCs w:val="32"/>
        </w:rPr>
      </w:pPr>
      <w:bookmarkStart w:id="230" w:name="_Toc153282058"/>
      <w:r>
        <w:rPr>
          <w:rFonts w:hint="eastAsia" w:ascii="楷体_GB2312" w:eastAsia="楷体_GB2312"/>
          <w:b/>
          <w:bCs/>
          <w:color w:val="000000"/>
          <w:sz w:val="32"/>
          <w:szCs w:val="32"/>
        </w:rPr>
        <w:t>8.4 预案</w:t>
      </w:r>
      <w:bookmarkEnd w:id="229"/>
      <w:r>
        <w:rPr>
          <w:rFonts w:hint="eastAsia" w:ascii="楷体_GB2312" w:eastAsia="楷体_GB2312"/>
          <w:b/>
          <w:bCs/>
          <w:color w:val="000000"/>
          <w:sz w:val="32"/>
          <w:szCs w:val="32"/>
        </w:rPr>
        <w:t>实施</w:t>
      </w:r>
      <w:bookmarkEnd w:id="230"/>
    </w:p>
    <w:p>
      <w:pPr>
        <w:adjustRightInd w:val="0"/>
        <w:snapToGrid w:val="0"/>
        <w:spacing w:line="54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本预案自印发之日起实施，有效期为5年。</w:t>
      </w:r>
    </w:p>
    <w:p>
      <w:pPr>
        <w:spacing w:line="540" w:lineRule="exact"/>
        <w:ind w:firstLine="640" w:firstLineChars="200"/>
        <w:rPr>
          <w:rFonts w:hint="eastAsia" w:ascii="仿宋_GB2312" w:eastAsia="仿宋_GB2312"/>
          <w:color w:val="000000"/>
          <w:sz w:val="32"/>
          <w:szCs w:val="32"/>
        </w:rPr>
      </w:pPr>
    </w:p>
    <w:p>
      <w:pPr>
        <w:adjustRightInd w:val="0"/>
        <w:snapToGrid w:val="0"/>
        <w:spacing w:line="540" w:lineRule="exact"/>
        <w:ind w:left="0" w:leftChars="0" w:firstLine="640" w:firstLineChars="200"/>
        <w:outlineLvl w:val="0"/>
        <w:rPr>
          <w:rFonts w:hint="eastAsia" w:ascii="仿宋_GB2312" w:eastAsia="仿宋_GB2312"/>
          <w:color w:val="000000"/>
          <w:spacing w:val="0"/>
          <w:sz w:val="32"/>
          <w:szCs w:val="32"/>
        </w:rPr>
      </w:pPr>
      <w:bookmarkStart w:id="231" w:name="_Toc153282059"/>
      <w:r>
        <w:rPr>
          <w:rFonts w:hint="eastAsia" w:ascii="仿宋_GB2312" w:eastAsia="仿宋_GB2312"/>
          <w:color w:val="000000"/>
          <w:spacing w:val="0"/>
          <w:sz w:val="32"/>
          <w:szCs w:val="32"/>
        </w:rPr>
        <w:t>附件：</w:t>
      </w:r>
      <w:bookmarkEnd w:id="231"/>
      <w:r>
        <w:rPr>
          <w:rFonts w:hint="eastAsia" w:ascii="仿宋_GB2312" w:eastAsia="仿宋_GB2312"/>
          <w:color w:val="000000"/>
          <w:spacing w:val="0"/>
          <w:sz w:val="32"/>
          <w:szCs w:val="32"/>
        </w:rPr>
        <w:t>1.油气长输管道事故分级标准</w:t>
      </w:r>
    </w:p>
    <w:p>
      <w:pPr>
        <w:adjustRightInd w:val="0"/>
        <w:snapToGrid w:val="0"/>
        <w:spacing w:line="540" w:lineRule="exact"/>
        <w:ind w:left="0" w:leftChars="0" w:firstLine="1600" w:firstLineChars="500"/>
        <w:rPr>
          <w:rFonts w:hint="eastAsia" w:ascii="仿宋_GB2312" w:eastAsia="仿宋_GB2312"/>
          <w:color w:val="000000"/>
          <w:spacing w:val="0"/>
          <w:sz w:val="32"/>
          <w:szCs w:val="32"/>
        </w:rPr>
      </w:pPr>
      <w:r>
        <w:rPr>
          <w:rFonts w:hint="eastAsia" w:ascii="仿宋_GB2312" w:eastAsia="仿宋_GB2312"/>
          <w:color w:val="000000"/>
          <w:spacing w:val="0"/>
          <w:sz w:val="32"/>
          <w:szCs w:val="32"/>
        </w:rPr>
        <w:t>2.油气长输管道事故风险分析</w:t>
      </w:r>
    </w:p>
    <w:p>
      <w:pPr>
        <w:adjustRightInd w:val="0"/>
        <w:snapToGrid w:val="0"/>
        <w:spacing w:line="540" w:lineRule="exact"/>
        <w:ind w:left="0" w:leftChars="0" w:firstLine="1600" w:firstLineChars="500"/>
        <w:rPr>
          <w:rFonts w:hint="eastAsia" w:ascii="仿宋_GB2312" w:eastAsia="仿宋_GB2312"/>
          <w:color w:val="000000"/>
          <w:spacing w:val="0"/>
          <w:sz w:val="32"/>
          <w:szCs w:val="32"/>
        </w:rPr>
      </w:pPr>
      <w:r>
        <w:rPr>
          <w:rFonts w:hint="eastAsia" w:ascii="仿宋_GB2312" w:eastAsia="仿宋_GB2312"/>
          <w:color w:val="000000"/>
          <w:spacing w:val="0"/>
          <w:sz w:val="32"/>
          <w:szCs w:val="32"/>
        </w:rPr>
        <w:t>3.信息报送流程图</w:t>
      </w:r>
    </w:p>
    <w:p>
      <w:pPr>
        <w:adjustRightInd w:val="0"/>
        <w:snapToGrid w:val="0"/>
        <w:spacing w:line="540" w:lineRule="exact"/>
        <w:ind w:left="0" w:leftChars="0" w:firstLine="1600" w:firstLineChars="500"/>
        <w:rPr>
          <w:rFonts w:hint="eastAsia" w:ascii="仿宋_GB2312" w:eastAsia="仿宋_GB2312"/>
          <w:color w:val="000000"/>
          <w:sz w:val="32"/>
          <w:szCs w:val="32"/>
        </w:rPr>
      </w:pPr>
      <w:r>
        <w:rPr>
          <w:rFonts w:hint="eastAsia" w:ascii="仿宋_GB2312" w:eastAsia="仿宋_GB2312"/>
          <w:color w:val="000000"/>
          <w:spacing w:val="0"/>
          <w:sz w:val="32"/>
          <w:szCs w:val="32"/>
        </w:rPr>
        <w:t>4.应急处置流程图</w:t>
      </w:r>
    </w:p>
    <w:p>
      <w:pPr>
        <w:adjustRightInd w:val="0"/>
        <w:snapToGrid w:val="0"/>
        <w:spacing w:line="540" w:lineRule="exact"/>
        <w:outlineLvl w:val="0"/>
        <w:rPr>
          <w:rStyle w:val="9"/>
          <w:rFonts w:hint="eastAsia" w:ascii="黑体" w:hAnsi="黑体"/>
        </w:rPr>
      </w:pPr>
      <w:r>
        <w:rPr>
          <w:rFonts w:eastAsia="仿宋_GB2312"/>
          <w:spacing w:val="6"/>
          <w:sz w:val="32"/>
          <w:szCs w:val="32"/>
        </w:rPr>
        <w:br w:type="page"/>
      </w:r>
      <w:bookmarkStart w:id="232" w:name="_Toc153282060"/>
      <w:bookmarkStart w:id="233" w:name="_Toc97825541"/>
      <w:r>
        <w:rPr>
          <w:rStyle w:val="9"/>
          <w:rFonts w:hint="eastAsia" w:ascii="黑体" w:hAnsi="黑体"/>
          <w:lang w:val="zh-CN"/>
        </w:rPr>
        <w:t>附件1</w:t>
      </w:r>
      <w:r>
        <w:rPr>
          <w:rStyle w:val="9"/>
          <w:rFonts w:hint="eastAsia" w:ascii="黑体" w:hAnsi="黑体"/>
        </w:rPr>
        <w:t xml:space="preserve"> </w:t>
      </w:r>
    </w:p>
    <w:bookmarkEnd w:id="232"/>
    <w:p>
      <w:pPr>
        <w:adjustRightInd w:val="0"/>
        <w:snapToGrid w:val="0"/>
        <w:spacing w:line="560" w:lineRule="exact"/>
        <w:jc w:val="center"/>
        <w:outlineLvl w:val="0"/>
        <w:rPr>
          <w:rFonts w:hint="eastAsia" w:ascii="方正小标宋简体" w:hAnsi="黑体" w:eastAsia="方正小标宋简体" w:cs="黑体"/>
          <w:bCs/>
          <w:color w:val="000000"/>
          <w:kern w:val="44"/>
          <w:sz w:val="44"/>
          <w:szCs w:val="44"/>
          <w:lang w:val="zh-CN"/>
        </w:rPr>
      </w:pPr>
    </w:p>
    <w:p>
      <w:pPr>
        <w:adjustRightInd w:val="0"/>
        <w:snapToGrid w:val="0"/>
        <w:spacing w:before="0" w:beforeLines="0" w:after="0" w:afterLines="0" w:line="640" w:lineRule="exact"/>
        <w:jc w:val="center"/>
        <w:rPr>
          <w:rFonts w:hint="eastAsia" w:ascii="方正小标宋简体" w:eastAsia="方正小标宋简体"/>
          <w:color w:val="000000"/>
          <w:spacing w:val="6"/>
          <w:sz w:val="44"/>
          <w:szCs w:val="44"/>
          <w:lang w:val="zh-CN"/>
        </w:rPr>
      </w:pPr>
      <w:r>
        <w:rPr>
          <w:rFonts w:hint="eastAsia" w:ascii="方正小标宋简体" w:eastAsia="方正小标宋简体"/>
          <w:color w:val="000000"/>
          <w:spacing w:val="6"/>
          <w:sz w:val="44"/>
          <w:szCs w:val="44"/>
          <w:lang w:val="zh-CN"/>
        </w:rPr>
        <w:t>油气长输管道事故分级标准</w:t>
      </w:r>
    </w:p>
    <w:p>
      <w:pPr>
        <w:adjustRightInd w:val="0"/>
        <w:snapToGrid w:val="0"/>
        <w:spacing w:line="560" w:lineRule="exact"/>
        <w:ind w:firstLine="640" w:firstLineChars="200"/>
        <w:rPr>
          <w:rFonts w:hint="eastAsia" w:ascii="仿宋_GB2312" w:hAnsi="黑体" w:eastAsia="仿宋_GB2312"/>
          <w:color w:val="000000"/>
          <w:spacing w:val="0"/>
          <w:sz w:val="32"/>
          <w:szCs w:val="32"/>
          <w:lang w:val="zh-CN"/>
        </w:rPr>
      </w:pPr>
    </w:p>
    <w:p>
      <w:pPr>
        <w:adjustRightInd w:val="0"/>
        <w:snapToGrid w:val="0"/>
        <w:spacing w:line="560" w:lineRule="exact"/>
        <w:ind w:firstLine="640" w:firstLineChars="200"/>
        <w:rPr>
          <w:rFonts w:hint="eastAsia" w:ascii="黑体" w:hAnsi="黑体" w:eastAsia="黑体"/>
          <w:color w:val="000000"/>
          <w:spacing w:val="0"/>
          <w:sz w:val="32"/>
          <w:szCs w:val="32"/>
          <w:lang w:val="zh-CN"/>
        </w:rPr>
      </w:pPr>
      <w:r>
        <w:rPr>
          <w:rFonts w:hint="eastAsia" w:ascii="黑体" w:hAnsi="黑体" w:eastAsia="黑体"/>
          <w:color w:val="000000"/>
          <w:spacing w:val="0"/>
          <w:sz w:val="32"/>
          <w:szCs w:val="32"/>
          <w:lang w:val="zh-CN"/>
        </w:rPr>
        <w:t>一、特别重大油气长输管道事故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凡符合下列情形之一的，为特别重大油气长输管道事故：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（1）造成30人以上死亡的事故；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（2）造成100人以上重伤的事故；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（3）造成直接经济损失1亿元以上的事故。</w:t>
      </w:r>
    </w:p>
    <w:p>
      <w:pPr>
        <w:adjustRightInd w:val="0"/>
        <w:snapToGrid w:val="0"/>
        <w:spacing w:line="560" w:lineRule="exact"/>
        <w:ind w:firstLine="640" w:firstLineChars="200"/>
        <w:rPr>
          <w:rFonts w:hint="eastAsia" w:ascii="黑体" w:hAnsi="黑体" w:eastAsia="黑体"/>
          <w:color w:val="000000"/>
          <w:spacing w:val="0"/>
          <w:sz w:val="32"/>
          <w:szCs w:val="32"/>
          <w:lang w:val="zh-CN"/>
        </w:rPr>
      </w:pPr>
      <w:r>
        <w:rPr>
          <w:rFonts w:hint="eastAsia" w:ascii="黑体" w:hAnsi="黑体" w:eastAsia="黑体"/>
          <w:color w:val="000000"/>
          <w:spacing w:val="0"/>
          <w:sz w:val="32"/>
          <w:szCs w:val="32"/>
          <w:lang w:val="zh-CN"/>
        </w:rPr>
        <w:t>二、重大油气长输管道事故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凡符合下列情形之一的，为重大油气长输管道事故：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（1）造成10人以上30人以下死亡的事故；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（2）造成50人以上100人以下重伤的事故；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（3）造成直接经济损失5000万元以上1亿元以下的事故。</w:t>
      </w:r>
    </w:p>
    <w:p>
      <w:pPr>
        <w:adjustRightInd w:val="0"/>
        <w:snapToGrid w:val="0"/>
        <w:spacing w:line="560" w:lineRule="exact"/>
        <w:ind w:firstLine="640" w:firstLineChars="200"/>
        <w:rPr>
          <w:rFonts w:hint="eastAsia" w:ascii="黑体" w:hAnsi="黑体" w:eastAsia="黑体"/>
          <w:color w:val="000000"/>
          <w:spacing w:val="0"/>
          <w:sz w:val="32"/>
          <w:szCs w:val="32"/>
          <w:lang w:val="zh-CN"/>
        </w:rPr>
      </w:pPr>
      <w:r>
        <w:rPr>
          <w:rFonts w:hint="eastAsia" w:ascii="黑体" w:hAnsi="黑体" w:eastAsia="黑体"/>
          <w:color w:val="000000"/>
          <w:spacing w:val="0"/>
          <w:sz w:val="32"/>
          <w:szCs w:val="32"/>
          <w:lang w:val="zh-CN"/>
        </w:rPr>
        <w:t>三、较大油气长输管道事故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凡符合下列情形之一的，为较大油气长输管道事故：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（1）造成3人以上10人以下死亡的事故；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（2）造成10人以上50人以下重伤的事故；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（3）造成直接经济损失1000万元以上5000万元以下的事故。</w:t>
      </w:r>
    </w:p>
    <w:p>
      <w:pPr>
        <w:adjustRightInd w:val="0"/>
        <w:snapToGrid w:val="0"/>
        <w:spacing w:line="560" w:lineRule="exact"/>
        <w:ind w:firstLine="640" w:firstLineChars="200"/>
        <w:rPr>
          <w:rFonts w:hint="eastAsia" w:ascii="黑体" w:hAnsi="黑体" w:eastAsia="黑体"/>
          <w:color w:val="000000"/>
          <w:spacing w:val="0"/>
          <w:sz w:val="32"/>
          <w:szCs w:val="32"/>
          <w:lang w:val="zh-CN"/>
        </w:rPr>
      </w:pPr>
      <w:r>
        <w:rPr>
          <w:rFonts w:hint="eastAsia" w:ascii="黑体" w:hAnsi="黑体" w:eastAsia="黑体"/>
          <w:color w:val="000000"/>
          <w:spacing w:val="0"/>
          <w:sz w:val="32"/>
          <w:szCs w:val="32"/>
          <w:lang w:val="zh-CN"/>
        </w:rPr>
        <w:t>四、一般油气长输管道事故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凡符合下列情形之一的，为一般油气长输管道事故：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（1）造成3人以下死亡的事故；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（2）造成10人以下重伤的事故；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（3）造成直接经济损失1000万元以下的事故。</w:t>
      </w:r>
    </w:p>
    <w:p>
      <w:pPr>
        <w:adjustRightInd w:val="0"/>
        <w:snapToGrid w:val="0"/>
        <w:spacing w:line="560" w:lineRule="exact"/>
        <w:ind w:firstLine="640" w:firstLineChars="200"/>
        <w:rPr>
          <w:rFonts w:eastAsia="仿宋_GB2312"/>
          <w:spacing w:val="6"/>
          <w:sz w:val="32"/>
          <w:szCs w:val="32"/>
          <w:lang w:val="zh-CN"/>
        </w:rPr>
      </w:pPr>
      <w:r>
        <w:rPr>
          <w:rFonts w:hint="eastAsia" w:ascii="仿宋_GB2312" w:eastAsia="仿宋_GB2312"/>
          <w:color w:val="000000"/>
          <w:spacing w:val="0"/>
          <w:sz w:val="32"/>
          <w:szCs w:val="32"/>
          <w:lang w:val="zh-CN"/>
        </w:rPr>
        <w:t>本预案所称“以上”含本数，“以下”不含本数</w:t>
      </w:r>
      <w:r>
        <w:rPr>
          <w:rFonts w:hint="eastAsia" w:eastAsia="仿宋_GB2312"/>
          <w:spacing w:val="6"/>
          <w:sz w:val="32"/>
          <w:szCs w:val="32"/>
          <w:lang w:val="zh-CN"/>
        </w:rPr>
        <w:t>。</w:t>
      </w:r>
    </w:p>
    <w:p>
      <w:pPr>
        <w:adjustRightInd w:val="0"/>
        <w:snapToGrid w:val="0"/>
        <w:spacing w:line="560" w:lineRule="exact"/>
        <w:ind w:firstLine="664" w:firstLineChars="200"/>
        <w:rPr>
          <w:rFonts w:ascii="黑体" w:hAnsi="黑体" w:eastAsia="黑体"/>
          <w:spacing w:val="6"/>
          <w:sz w:val="32"/>
          <w:szCs w:val="32"/>
          <w:lang w:val="zh-CN"/>
        </w:rPr>
      </w:pPr>
    </w:p>
    <w:p>
      <w:pPr>
        <w:adjustRightInd w:val="0"/>
        <w:snapToGrid w:val="0"/>
        <w:spacing w:line="560" w:lineRule="exact"/>
        <w:outlineLvl w:val="0"/>
        <w:rPr>
          <w:rStyle w:val="9"/>
          <w:rFonts w:hint="eastAsia" w:ascii="黑体" w:hAnsi="黑体"/>
        </w:rPr>
      </w:pPr>
      <w:r>
        <w:rPr>
          <w:rFonts w:eastAsia="仿宋_GB2312"/>
          <w:spacing w:val="6"/>
          <w:sz w:val="32"/>
          <w:szCs w:val="32"/>
        </w:rPr>
        <w:br w:type="page"/>
      </w:r>
      <w:bookmarkStart w:id="234" w:name="_Toc153282061"/>
      <w:r>
        <w:rPr>
          <w:rStyle w:val="9"/>
          <w:rFonts w:hint="eastAsia" w:ascii="黑体" w:hAnsi="黑体"/>
          <w:lang w:val="zh-CN"/>
        </w:rPr>
        <w:t>附件</w:t>
      </w:r>
      <w:bookmarkEnd w:id="233"/>
      <w:r>
        <w:rPr>
          <w:rStyle w:val="9"/>
          <w:rFonts w:hint="eastAsia" w:ascii="黑体" w:hAnsi="黑体"/>
          <w:lang w:val="zh-CN"/>
        </w:rPr>
        <w:t>2</w:t>
      </w:r>
      <w:r>
        <w:rPr>
          <w:rStyle w:val="9"/>
          <w:rFonts w:hint="eastAsia" w:ascii="黑体" w:hAnsi="黑体"/>
        </w:rPr>
        <w:t xml:space="preserve"> </w:t>
      </w:r>
    </w:p>
    <w:bookmarkEnd w:id="234"/>
    <w:p>
      <w:pPr>
        <w:adjustRightInd w:val="0"/>
        <w:snapToGrid w:val="0"/>
        <w:spacing w:line="560" w:lineRule="exact"/>
        <w:jc w:val="center"/>
        <w:outlineLvl w:val="0"/>
        <w:rPr>
          <w:rStyle w:val="9"/>
          <w:rFonts w:hint="eastAsia" w:ascii="方正小标宋简体" w:hAnsi="黑体" w:eastAsia="方正小标宋简体"/>
          <w:sz w:val="44"/>
          <w:szCs w:val="44"/>
        </w:rPr>
      </w:pPr>
    </w:p>
    <w:p>
      <w:pPr>
        <w:adjustRightInd w:val="0"/>
        <w:snapToGrid w:val="0"/>
        <w:spacing w:before="0" w:beforeLines="0" w:after="0" w:afterLines="0" w:line="640" w:lineRule="exact"/>
        <w:jc w:val="center"/>
        <w:rPr>
          <w:rFonts w:hint="eastAsia" w:ascii="方正小标宋简体" w:eastAsia="方正小标宋简体"/>
          <w:spacing w:val="0"/>
          <w:sz w:val="44"/>
          <w:szCs w:val="44"/>
          <w:lang w:val="zh-CN"/>
        </w:rPr>
      </w:pPr>
      <w:r>
        <w:rPr>
          <w:rFonts w:hint="eastAsia" w:ascii="方正小标宋简体" w:eastAsia="方正小标宋简体"/>
          <w:spacing w:val="0"/>
          <w:sz w:val="44"/>
          <w:szCs w:val="44"/>
          <w:lang w:val="zh-CN"/>
        </w:rPr>
        <w:t>油气长输管道事故风险分析</w:t>
      </w:r>
    </w:p>
    <w:p>
      <w:pPr>
        <w:adjustRightInd w:val="0"/>
        <w:snapToGrid w:val="0"/>
        <w:spacing w:line="560" w:lineRule="exact"/>
        <w:ind w:firstLine="640" w:firstLineChars="200"/>
        <w:rPr>
          <w:rFonts w:hint="eastAsia" w:ascii="仿宋_GB2312" w:hAnsi="黑体" w:eastAsia="仿宋_GB2312"/>
          <w:color w:val="000000"/>
          <w:spacing w:val="0"/>
          <w:sz w:val="32"/>
          <w:szCs w:val="32"/>
          <w:lang w:val="zh-CN"/>
        </w:rPr>
      </w:pPr>
    </w:p>
    <w:p>
      <w:pPr>
        <w:adjustRightInd w:val="0"/>
        <w:snapToGrid w:val="0"/>
        <w:spacing w:line="560" w:lineRule="exact"/>
        <w:ind w:firstLine="640" w:firstLineChars="200"/>
        <w:rPr>
          <w:rFonts w:hint="eastAsia" w:ascii="黑体" w:hAnsi="黑体" w:eastAsia="黑体"/>
          <w:color w:val="000000"/>
          <w:spacing w:val="0"/>
          <w:sz w:val="32"/>
          <w:szCs w:val="32"/>
          <w:lang w:val="zh-CN"/>
        </w:rPr>
      </w:pPr>
      <w:r>
        <w:rPr>
          <w:rFonts w:hint="eastAsia" w:ascii="黑体" w:hAnsi="黑体" w:eastAsia="黑体"/>
          <w:color w:val="000000"/>
          <w:spacing w:val="0"/>
          <w:sz w:val="32"/>
          <w:szCs w:val="32"/>
          <w:lang w:val="zh-CN"/>
        </w:rPr>
        <w:t>一、导致发生油气长输管道事故的主要危险因素</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石油、天然气属于危险化学品。油气长输管道输送的石油、天然气具有高压、易燃、易爆等特点。可能导致油气长输管道事故的主要原因包括：</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（一）管道本体失效，发生泄漏、火灾、爆炸事故。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二）人为损害：误操作，施工危害、占压、重载碾压管道，采用移动、切割、打孔、砸撬、拆卸等手段损坏管道，盗窃管道输送、存储、泄漏、排放的石油、天然气，以及恐怖袭击等行为，引发管道泄漏、火灾或爆炸等事故。</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（三）自然灾害：地震、塌陷、地面沉降等地质灾害以及洪水等造成管道泄漏、火灾或者爆炸事故。</w:t>
      </w:r>
    </w:p>
    <w:p>
      <w:pPr>
        <w:adjustRightInd w:val="0"/>
        <w:snapToGrid w:val="0"/>
        <w:spacing w:line="560" w:lineRule="exact"/>
        <w:ind w:firstLine="640" w:firstLineChars="200"/>
        <w:rPr>
          <w:rFonts w:hint="eastAsia" w:ascii="黑体" w:hAnsi="黑体" w:eastAsia="黑体"/>
          <w:color w:val="000000"/>
          <w:spacing w:val="0"/>
          <w:sz w:val="32"/>
          <w:szCs w:val="32"/>
          <w:lang w:val="zh-CN"/>
        </w:rPr>
      </w:pPr>
      <w:r>
        <w:rPr>
          <w:rFonts w:hint="eastAsia" w:ascii="黑体" w:hAnsi="黑体" w:eastAsia="黑体"/>
          <w:color w:val="000000"/>
          <w:spacing w:val="0"/>
          <w:sz w:val="32"/>
          <w:szCs w:val="32"/>
          <w:lang w:val="zh-CN"/>
        </w:rPr>
        <w:t>二、可能造成的影响</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（一）人员伤亡、财产损失</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油气泄漏现场发生火灾、爆炸，或泄露油气通过城镇地漏、管沟、箱涵等基础设施扩散，遇火被点燃，造成大面积火灾和爆炸。人民生命财产受到严重威胁。</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（二）环境污染</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大量泄漏的油气如果扩散，将导致饮用水库、河流、地下水、土壤、空气等出现严重污染。</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（三）能源断供</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事发油气管道紧急停止运营，与其并行或交叉的其他油气管道、供水、供电等设施的正常运行也将受到影响。</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（四）社会影响</w:t>
      </w:r>
    </w:p>
    <w:p>
      <w:pPr>
        <w:adjustRightInd w:val="0"/>
        <w:snapToGrid w:val="0"/>
        <w:spacing w:line="560" w:lineRule="exact"/>
        <w:ind w:firstLine="640" w:firstLineChars="200"/>
        <w:rPr>
          <w:rFonts w:hint="eastAsia" w:ascii="仿宋_GB2312" w:eastAsia="仿宋_GB2312"/>
          <w:color w:val="000000"/>
          <w:spacing w:val="0"/>
          <w:sz w:val="32"/>
          <w:szCs w:val="32"/>
          <w:lang w:val="zh-CN"/>
        </w:rPr>
      </w:pPr>
      <w:r>
        <w:rPr>
          <w:rFonts w:hint="eastAsia" w:ascii="仿宋_GB2312" w:eastAsia="仿宋_GB2312"/>
          <w:color w:val="000000"/>
          <w:spacing w:val="0"/>
          <w:sz w:val="32"/>
          <w:szCs w:val="32"/>
          <w:lang w:val="zh-CN"/>
        </w:rPr>
        <w:t>泄漏油气可能引起火灾爆炸、人员中毒，受影响区域可能需要停电、中断交通，大面积停工、停课，造成不良社会影响。</w:t>
      </w:r>
    </w:p>
    <w:p>
      <w:pPr>
        <w:rPr>
          <w:lang w:val="zh-CN"/>
        </w:rPr>
      </w:pPr>
    </w:p>
    <w:p>
      <w:pPr>
        <w:rPr>
          <w:lang w:val="zh-CN"/>
        </w:rPr>
        <w:sectPr>
          <w:headerReference r:id="rId3" w:type="default"/>
          <w:footerReference r:id="rId5" w:type="default"/>
          <w:headerReference r:id="rId4" w:type="even"/>
          <w:footerReference r:id="rId6" w:type="even"/>
          <w:pgSz w:w="11906" w:h="16838"/>
          <w:pgMar w:top="2098" w:right="1474" w:bottom="1928" w:left="1588" w:header="851" w:footer="992" w:gutter="0"/>
          <w:pgNumType w:start="1"/>
          <w:cols w:space="720" w:num="1"/>
          <w:docGrid w:type="lines" w:linePitch="326" w:charSpace="0"/>
        </w:sectPr>
      </w:pPr>
    </w:p>
    <w:p>
      <w:pPr>
        <w:adjustRightInd w:val="0"/>
        <w:snapToGrid w:val="0"/>
        <w:spacing w:line="560" w:lineRule="exact"/>
        <w:outlineLvl w:val="0"/>
        <w:rPr>
          <w:rStyle w:val="9"/>
          <w:rFonts w:hint="eastAsia"/>
          <w:lang w:val="zh-CN"/>
        </w:rPr>
      </w:pPr>
      <w:bookmarkStart w:id="235" w:name="_Toc153282062"/>
      <w:r>
        <w:rPr>
          <w:rStyle w:val="9"/>
          <w:rFonts w:hint="eastAsia" w:ascii="黑体" w:hAnsi="黑体"/>
          <w:lang w:val="zh-CN"/>
        </w:rPr>
        <w:t>附件3</w:t>
      </w:r>
      <w:r>
        <w:rPr>
          <w:rStyle w:val="9"/>
          <w:rFonts w:hint="eastAsia"/>
          <w:lang w:val="zh-CN"/>
        </w:rPr>
        <w:t xml:space="preserve">  </w:t>
      </w:r>
    </w:p>
    <w:p>
      <w:pPr>
        <w:adjustRightInd w:val="0"/>
        <w:snapToGrid w:val="0"/>
        <w:spacing w:line="640" w:lineRule="exact"/>
        <w:jc w:val="center"/>
        <w:outlineLvl w:val="0"/>
        <w:rPr>
          <w:rStyle w:val="9"/>
          <w:rFonts w:hint="eastAsia" w:ascii="方正小标宋简体" w:eastAsia="方正小标宋简体"/>
          <w:sz w:val="44"/>
          <w:szCs w:val="44"/>
          <w:lang w:val="zh-CN"/>
        </w:rPr>
      </w:pPr>
      <w:r>
        <w:rPr>
          <w:rStyle w:val="9"/>
          <w:rFonts w:hint="eastAsia" w:ascii="方正小标宋简体" w:eastAsia="方正小标宋简体"/>
          <w:sz w:val="44"/>
          <w:szCs w:val="44"/>
          <w:lang w:val="zh-CN"/>
        </w:rPr>
        <w:t>信息报送流程图</w:t>
      </w:r>
      <w:bookmarkEnd w:id="235"/>
    </w:p>
    <w:p>
      <w:pPr>
        <w:spacing w:before="163" w:beforeLines="50"/>
        <w:jc w:val="center"/>
        <w:rPr>
          <w:rFonts w:ascii="黑体" w:hAnsi="黑体" w:eastAsia="黑体" w:cs="黑体"/>
          <w:sz w:val="32"/>
          <w:szCs w:val="32"/>
        </w:rPr>
      </w:pPr>
      <w:r>
        <w:drawing>
          <wp:inline distT="0" distB="0" distL="114300" distR="114300">
            <wp:extent cx="7091045" cy="4724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rcRect l="3104" r="11375"/>
                    <a:stretch>
                      <a:fillRect/>
                    </a:stretch>
                  </pic:blipFill>
                  <pic:spPr>
                    <a:xfrm>
                      <a:off x="0" y="0"/>
                      <a:ext cx="7091045" cy="4724400"/>
                    </a:xfrm>
                    <a:prstGeom prst="rect">
                      <a:avLst/>
                    </a:prstGeom>
                    <a:noFill/>
                    <a:ln>
                      <a:noFill/>
                    </a:ln>
                  </pic:spPr>
                </pic:pic>
              </a:graphicData>
            </a:graphic>
          </wp:inline>
        </w:drawing>
      </w:r>
    </w:p>
    <w:p>
      <w:pPr>
        <w:snapToGrid w:val="0"/>
        <w:outlineLvl w:val="0"/>
        <w:rPr>
          <w:rFonts w:ascii="黑体" w:hAnsi="黑体" w:eastAsia="黑体" w:cs="黑体"/>
          <w:sz w:val="32"/>
          <w:szCs w:val="32"/>
        </w:rPr>
        <w:sectPr>
          <w:headerReference r:id="rId7" w:type="default"/>
          <w:footerReference r:id="rId8" w:type="default"/>
          <w:pgSz w:w="16838" w:h="11906" w:orient="landscape"/>
          <w:pgMar w:top="1588" w:right="2098" w:bottom="1474" w:left="1985" w:header="567" w:footer="567" w:gutter="0"/>
          <w:cols w:space="720" w:num="1"/>
          <w:docGrid w:type="lines" w:linePitch="326" w:charSpace="0"/>
        </w:sectPr>
      </w:pPr>
    </w:p>
    <w:p>
      <w:pPr>
        <w:adjustRightInd w:val="0"/>
        <w:snapToGrid w:val="0"/>
        <w:spacing w:line="560" w:lineRule="exact"/>
        <w:outlineLvl w:val="0"/>
        <w:rPr>
          <w:rStyle w:val="9"/>
          <w:rFonts w:hint="eastAsia" w:ascii="黑体" w:hAnsi="黑体"/>
          <w:lang w:val="zh-CN"/>
        </w:rPr>
      </w:pPr>
      <w:bookmarkStart w:id="236" w:name="_Toc153282063"/>
      <w:r>
        <w:rPr>
          <w:rStyle w:val="9"/>
          <w:rFonts w:hint="eastAsia" w:ascii="黑体" w:hAnsi="黑体"/>
          <w:lang w:val="zh-CN"/>
        </w:rPr>
        <w:t xml:space="preserve">附件4  </w:t>
      </w:r>
    </w:p>
    <w:p>
      <w:pPr>
        <w:adjustRightInd w:val="0"/>
        <w:snapToGrid w:val="0"/>
        <w:spacing w:line="640" w:lineRule="exact"/>
        <w:jc w:val="center"/>
        <w:outlineLvl w:val="0"/>
        <w:rPr>
          <w:rStyle w:val="9"/>
          <w:rFonts w:hint="eastAsia" w:ascii="方正小标宋简体" w:eastAsia="方正小标宋简体"/>
          <w:sz w:val="44"/>
          <w:szCs w:val="44"/>
          <w:lang w:val="zh-CN"/>
        </w:rPr>
      </w:pPr>
      <w:r>
        <w:rPr>
          <w:rStyle w:val="9"/>
          <w:rFonts w:hint="eastAsia" w:ascii="方正小标宋简体" w:eastAsia="方正小标宋简体"/>
          <w:sz w:val="44"/>
          <w:szCs w:val="44"/>
          <w:lang w:val="zh-CN"/>
        </w:rPr>
        <w:t>应急处置流程图</w:t>
      </w:r>
      <w:bookmarkEnd w:id="236"/>
    </w:p>
    <w:p>
      <w:pPr>
        <w:pStyle w:val="2"/>
        <w:spacing w:before="0" w:after="0"/>
        <w:outlineLvl w:val="9"/>
        <w:sectPr>
          <w:headerReference r:id="rId9" w:type="default"/>
          <w:pgSz w:w="16838" w:h="11906" w:orient="landscape"/>
          <w:pgMar w:top="1588" w:right="2098" w:bottom="1474" w:left="1985" w:header="567" w:footer="567" w:gutter="0"/>
          <w:cols w:space="720" w:num="1"/>
          <w:docGrid w:type="lines" w:linePitch="326" w:charSpace="0"/>
        </w:sectPr>
      </w:pPr>
      <w:r>
        <w:drawing>
          <wp:inline distT="0" distB="0" distL="114300" distR="114300">
            <wp:extent cx="7992745" cy="464756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rcRect l="2206"/>
                    <a:stretch>
                      <a:fillRect/>
                    </a:stretch>
                  </pic:blipFill>
                  <pic:spPr>
                    <a:xfrm>
                      <a:off x="0" y="0"/>
                      <a:ext cx="7992745" cy="4647565"/>
                    </a:xfrm>
                    <a:prstGeom prst="rect">
                      <a:avLst/>
                    </a:prstGeom>
                    <a:noFill/>
                    <a:ln>
                      <a:noFill/>
                    </a:ln>
                  </pic:spPr>
                </pic:pic>
              </a:graphicData>
            </a:graphic>
          </wp:inline>
        </w:drawing>
      </w:r>
    </w:p>
    <w:p>
      <w:pPr>
        <w:pStyle w:val="2"/>
        <w:spacing w:before="0" w:after="0"/>
        <w:outlineLvl w:val="9"/>
        <w:rPr>
          <w:rFonts w:hint="eastAsia"/>
          <w:lang w:val="en-US"/>
        </w:rPr>
      </w:pPr>
    </w:p>
    <w:p>
      <w:pPr>
        <w:spacing w:before="0" w:after="0"/>
        <w:outlineLvl w:val="9"/>
        <w:rPr>
          <w:rFonts w:hint="eastAsia"/>
        </w:rPr>
      </w:pPr>
    </w:p>
    <w:p>
      <w:pPr>
        <w:pStyle w:val="2"/>
        <w:spacing w:before="240" w:after="60"/>
        <w:outlineLvl w:val="0"/>
        <w:rPr>
          <w:rFonts w:hint="eastAsia"/>
          <w:lang w:val="en-US"/>
        </w:rPr>
      </w:pPr>
    </w:p>
    <w:p>
      <w:pPr>
        <w:spacing w:before="0" w:after="0"/>
        <w:outlineLvl w:val="9"/>
        <w:rPr>
          <w:rFonts w:hint="eastAsia"/>
        </w:rPr>
      </w:pPr>
    </w:p>
    <w:p>
      <w:pPr>
        <w:pStyle w:val="2"/>
        <w:spacing w:before="240" w:after="60"/>
        <w:outlineLvl w:val="0"/>
        <w:rPr>
          <w:rFonts w:hint="eastAsia"/>
          <w:lang w:val="en-US"/>
        </w:rPr>
      </w:pPr>
    </w:p>
    <w:p>
      <w:pPr>
        <w:spacing w:before="0" w:after="0"/>
        <w:outlineLvl w:val="9"/>
        <w:rPr>
          <w:rFonts w:hint="eastAsia"/>
        </w:rPr>
      </w:pPr>
    </w:p>
    <w:p>
      <w:pPr>
        <w:pStyle w:val="2"/>
        <w:spacing w:before="240" w:after="60"/>
        <w:outlineLvl w:val="0"/>
        <w:rPr>
          <w:rFonts w:hint="eastAsia"/>
          <w:lang w:val="en-US"/>
        </w:rPr>
      </w:pPr>
    </w:p>
    <w:p>
      <w:pPr>
        <w:spacing w:before="0" w:after="0"/>
        <w:outlineLvl w:val="9"/>
        <w:rPr>
          <w:rFonts w:hint="eastAsia"/>
        </w:rPr>
      </w:pPr>
    </w:p>
    <w:p>
      <w:pPr>
        <w:pStyle w:val="2"/>
        <w:spacing w:before="240" w:after="60"/>
        <w:outlineLvl w:val="0"/>
        <w:rPr>
          <w:rFonts w:hint="eastAsia"/>
          <w:lang w:val="en-US"/>
        </w:rPr>
      </w:pPr>
    </w:p>
    <w:p>
      <w:pPr>
        <w:spacing w:before="0" w:after="0"/>
        <w:outlineLvl w:val="9"/>
        <w:rPr>
          <w:rFonts w:hint="eastAsia"/>
        </w:rPr>
      </w:pPr>
    </w:p>
    <w:p>
      <w:pPr>
        <w:pStyle w:val="2"/>
        <w:spacing w:before="240" w:after="60"/>
        <w:outlineLvl w:val="0"/>
        <w:rPr>
          <w:rFonts w:hint="eastAsia"/>
          <w:lang w:val="en-US"/>
        </w:rPr>
      </w:pPr>
    </w:p>
    <w:p>
      <w:pPr>
        <w:spacing w:before="0" w:after="0"/>
        <w:outlineLvl w:val="9"/>
        <w:rPr>
          <w:rFonts w:hint="eastAsia"/>
        </w:rPr>
      </w:pPr>
    </w:p>
    <w:p>
      <w:pPr>
        <w:pStyle w:val="2"/>
        <w:spacing w:before="240" w:after="60"/>
        <w:outlineLvl w:val="0"/>
        <w:rPr>
          <w:rFonts w:hint="eastAsia"/>
          <w:lang w:val="en-US"/>
        </w:rPr>
      </w:pPr>
    </w:p>
    <w:p>
      <w:pPr>
        <w:spacing w:before="0" w:after="0"/>
        <w:outlineLvl w:val="9"/>
        <w:rPr>
          <w:rFonts w:hint="eastAsia"/>
        </w:rPr>
      </w:pPr>
    </w:p>
    <w:p>
      <w:pPr>
        <w:pStyle w:val="2"/>
        <w:spacing w:before="240" w:after="60"/>
        <w:outlineLvl w:val="0"/>
        <w:rPr>
          <w:rFonts w:hint="eastAsia"/>
          <w:lang w:val="en-US"/>
        </w:rPr>
      </w:pPr>
    </w:p>
    <w:p>
      <w:pPr>
        <w:spacing w:before="0" w:after="0"/>
        <w:outlineLvl w:val="9"/>
        <w:rPr>
          <w:rFonts w:hint="eastAsia"/>
        </w:rPr>
      </w:pPr>
    </w:p>
    <w:p>
      <w:pPr>
        <w:pStyle w:val="2"/>
        <w:spacing w:before="240" w:after="60"/>
        <w:outlineLvl w:val="0"/>
        <w:rPr>
          <w:rFonts w:hint="eastAsia"/>
          <w:lang w:val="en-US"/>
        </w:rPr>
      </w:pPr>
    </w:p>
    <w:p>
      <w:pPr>
        <w:spacing w:before="0" w:after="0"/>
        <w:outlineLvl w:val="9"/>
        <w:rPr>
          <w:rFonts w:hint="eastAsia"/>
          <w:lang w:val="en-US"/>
        </w:rPr>
      </w:pPr>
    </w:p>
    <w:p>
      <w:pPr>
        <w:spacing w:before="0" w:after="0"/>
        <w:outlineLvl w:val="9"/>
        <w:rPr>
          <w:rFonts w:hint="eastAsia"/>
        </w:rPr>
      </w:pPr>
    </w:p>
    <w:p>
      <w:pPr>
        <w:spacing w:line="620" w:lineRule="exact"/>
      </w:pPr>
    </w:p>
    <w:p>
      <w:pPr>
        <w:spacing w:before="0" w:after="0" w:line="560" w:lineRule="exact"/>
        <w:ind w:left="-283" w:leftChars="-135" w:firstLine="540" w:firstLineChars="208"/>
        <w:outlineLvl w:val="9"/>
      </w:pPr>
      <w:r>
        <w:rPr>
          <w:rFonts w:ascii="仿宋_GB2312" w:hAnsi="仿宋_GB2312" w:eastAsia="仿宋_GB2312" w:cs="仿宋_GB2312"/>
          <w:color w:val="000000"/>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410210</wp:posOffset>
                </wp:positionV>
                <wp:extent cx="5615940" cy="0"/>
                <wp:effectExtent l="0" t="9525" r="3810" b="9525"/>
                <wp:wrapNone/>
                <wp:docPr id="2" name="直线 9"/>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32.3pt;height:0pt;width:442.2pt;z-index:251660288;mso-width-relative:page;mso-height-relative:page;" filled="f" stroked="t" coordsize="21600,21600" o:gfxdata="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2otu0wAAAAYB&#10;AAAPAAAAAAAAAAEAIAAAACIAAABkcnMvZG93bnJldi54bWxQSwECFAAUAAAACACHTuJAMyZuQucB&#10;AADcAwAADgAAAAAAAAABACAAAAAiAQAAZHJzL2Uyb0RvYy54bWxQSwUGAAAAAAYABgBZAQAAewUA&#10;AAAA&#10;">
                <v:fill on="f" focussize="0,0"/>
                <v:stroke weight="1.5pt" color="#000000" joinstyle="round"/>
                <v:imagedata o:title=""/>
                <o:lock v:ext="edit" aspectratio="f"/>
              </v:line>
            </w:pict>
          </mc:Fallback>
        </mc:AlternateContent>
      </w:r>
      <w:r>
        <w:rPr>
          <w:rFonts w:ascii="仿宋_GB2312" w:hAnsi="仿宋_GB2312" w:eastAsia="仿宋_GB2312" w:cs="仿宋_GB2312"/>
          <w:color w:val="000000"/>
          <w:spacing w:val="-10"/>
          <w:sz w:val="28"/>
          <w:szCs w:val="28"/>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27940</wp:posOffset>
                </wp:positionV>
                <wp:extent cx="5615305" cy="0"/>
                <wp:effectExtent l="0" t="4445" r="0" b="5080"/>
                <wp:wrapNone/>
                <wp:docPr id="1" name="直线 4"/>
                <wp:cNvGraphicFramePr/>
                <a:graphic xmlns:a="http://schemas.openxmlformats.org/drawingml/2006/main">
                  <a:graphicData uri="http://schemas.microsoft.com/office/word/2010/wordprocessingShape">
                    <wps:wsp>
                      <wps:cNvSpPr/>
                      <wps:spPr>
                        <a:xfrm>
                          <a:off x="0" y="0"/>
                          <a:ext cx="561530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2.2pt;height:0pt;width:442.15pt;z-index:251659264;mso-width-relative:page;mso-height-relative:page;" filled="f" stroked="t" coordsize="21600,21600" o:allowincell="f" o:gfxdata="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3rPGNEAAAAEAQAA&#10;DwAAAAAAAAABACAAAAAiAAAAZHJzL2Rvd25yZXYueG1sUEsBAhQAFAAAAAgAh07iQHmWstvnAQAA&#10;2wMAAA4AAAAAAAAAAQAgAAAAIAEAAGRycy9lMm9Eb2MueG1sUEsFBgAAAAAGAAYAWQEAAHkFAAAA&#10;AA==&#10;">
                <v:fill on="f" focussize="0,0"/>
                <v:stroke weight="0.25pt" color="#000000" joinstyle="round"/>
                <v:imagedata o:title=""/>
                <o:lock v:ext="edit" aspectratio="f"/>
              </v:line>
            </w:pict>
          </mc:Fallback>
        </mc:AlternateContent>
      </w:r>
      <w:r>
        <w:rPr>
          <w:rFonts w:hint="eastAsia" w:ascii="仿宋_GB2312" w:hAnsi="仿宋_GB2312" w:eastAsia="仿宋_GB2312" w:cs="仿宋_GB2312"/>
          <w:color w:val="000000"/>
          <w:spacing w:val="-10"/>
          <w:sz w:val="28"/>
          <w:szCs w:val="28"/>
        </w:rPr>
        <w:t xml:space="preserve">天津港保税区党委办公室（管委会办公室）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pacing w:val="-20"/>
          <w:sz w:val="28"/>
          <w:szCs w:val="28"/>
        </w:rPr>
        <w:t>2024年2月</w:t>
      </w:r>
      <w:r>
        <w:rPr>
          <w:rFonts w:hint="default" w:ascii="仿宋_GB2312" w:hAnsi="仿宋_GB2312" w:eastAsia="仿宋_GB2312" w:cs="仿宋_GB2312"/>
          <w:color w:val="000000"/>
          <w:spacing w:val="-20"/>
          <w:sz w:val="28"/>
          <w:szCs w:val="28"/>
        </w:rPr>
        <w:t>6</w:t>
      </w:r>
      <w:r>
        <w:rPr>
          <w:rFonts w:hint="eastAsia" w:ascii="仿宋_GB2312" w:hAnsi="仿宋_GB2312" w:eastAsia="仿宋_GB2312" w:cs="仿宋_GB2312"/>
          <w:color w:val="000000"/>
          <w:spacing w:val="-20"/>
          <w:sz w:val="28"/>
          <w:szCs w:val="28"/>
        </w:rPr>
        <w:t>日印发</w:t>
      </w:r>
      <w:bookmarkStart w:id="237" w:name="_GoBack"/>
      <w:bookmarkEnd w:id="237"/>
    </w:p>
    <w:sectPr>
      <w:pgSz w:w="11906" w:h="16838"/>
      <w:pgMar w:top="2098" w:right="1474" w:bottom="1928" w:left="1588"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Fonts w:hint="eastAsia" w:ascii="宋体" w:hAnsi="宋体"/>
        <w:sz w:val="28"/>
        <w:szCs w:val="28"/>
      </w:rPr>
      <w:t xml:space="preserve"> —</w:t>
    </w:r>
  </w:p>
  <w:p>
    <w:pPr>
      <w:pStyle w:val="5"/>
      <w:rPr>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58F81"/>
    <w:multiLevelType w:val="singleLevel"/>
    <w:tmpl w:val="B0E58F81"/>
    <w:lvl w:ilvl="0" w:tentative="0">
      <w:start w:val="1"/>
      <w:numFmt w:val="decimal"/>
      <w:suff w:val="nothing"/>
      <w:lvlText w:val="（%1）"/>
      <w:lvlJc w:val="left"/>
      <w:pPr>
        <w:tabs>
          <w:tab w:val="left" w:pos="0"/>
        </w:tabs>
        <w:ind w:left="17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000000"/>
    <w:rsid w:val="0C71390F"/>
    <w:rsid w:val="0C827227"/>
    <w:rsid w:val="16E64EFA"/>
    <w:rsid w:val="1B171B26"/>
    <w:rsid w:val="243454F7"/>
    <w:rsid w:val="30CD277F"/>
    <w:rsid w:val="398443D3"/>
    <w:rsid w:val="3EAB0813"/>
    <w:rsid w:val="52C06024"/>
    <w:rsid w:val="54B576DE"/>
    <w:rsid w:val="594A4899"/>
    <w:rsid w:val="5FF4555F"/>
    <w:rsid w:val="77B77146"/>
    <w:rsid w:val="7CAA7279"/>
    <w:rsid w:val="B6FC79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
    <w:qFormat/>
    <w:uiPriority w:val="0"/>
    <w:pPr>
      <w:keepNext/>
      <w:keepLines/>
      <w:spacing w:line="560" w:lineRule="exact"/>
      <w:outlineLvl w:val="0"/>
    </w:pPr>
    <w:rPr>
      <w:rFonts w:eastAsia="黑体"/>
      <w:kern w:val="44"/>
      <w:sz w:val="32"/>
      <w:szCs w:val="32"/>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0"/>
      <w:sz w:val="32"/>
      <w:szCs w:val="32"/>
      <w:lang w:val="zh-CN"/>
    </w:rPr>
  </w:style>
  <w:style w:type="paragraph" w:styleId="4">
    <w:name w:val="Body Text"/>
    <w:basedOn w:val="1"/>
    <w:qFormat/>
    <w:uiPriority w:val="0"/>
    <w:pPr>
      <w:spacing w:after="120"/>
    </w:pPr>
    <w:rPr>
      <w:kern w:val="0"/>
      <w:sz w:val="20"/>
      <w:lang w:val="zh-CN"/>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9">
    <w:name w:val="标题 1 Char"/>
    <w:link w:val="3"/>
    <w:qFormat/>
    <w:uiPriority w:val="0"/>
    <w:rPr>
      <w:rFonts w:eastAsia="黑体"/>
      <w:kern w:val="44"/>
      <w:sz w:val="32"/>
      <w:szCs w:val="32"/>
    </w:rPr>
  </w:style>
  <w:style w:type="character" w:customStyle="1" w:styleId="10">
    <w:name w:val="fontstyle0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拾雲</cp:lastModifiedBy>
  <dcterms:modified xsi:type="dcterms:W3CDTF">2024-02-07T00:34:50Z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57C1FDE53D6D4941B1F1CBB5E49F265A_13</vt:lpwstr>
  </property>
</Properties>
</file>