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4"/>
      </w:pPr>
      <w:bookmarkStart w:id="0" w:name="_Toc421417441"/>
    </w:p>
    <w:p>
      <w:pPr>
        <w:pStyle w:val="54"/>
      </w:pPr>
    </w:p>
    <w:p>
      <w:pPr>
        <w:ind w:firstLine="0"/>
        <w:rPr>
          <w:b/>
          <w:bCs/>
          <w:sz w:val="44"/>
        </w:rPr>
      </w:pPr>
    </w:p>
    <w:p>
      <w:pPr>
        <w:ind w:firstLine="0"/>
      </w:pPr>
    </w:p>
    <w:p>
      <w:pPr>
        <w:spacing w:line="360" w:lineRule="auto"/>
        <w:jc w:val="center"/>
        <w:rPr>
          <w:rFonts w:ascii="黑体" w:hAnsi="黑体" w:eastAsia="黑体"/>
          <w:b/>
          <w:sz w:val="56"/>
          <w:szCs w:val="28"/>
        </w:rPr>
      </w:pPr>
      <w:r>
        <w:rPr>
          <w:rFonts w:hint="eastAsia" w:ascii="黑体" w:hAnsi="黑体" w:eastAsia="黑体"/>
          <w:b/>
          <w:sz w:val="56"/>
          <w:szCs w:val="28"/>
        </w:rPr>
        <w:t>临港新材料产业园</w:t>
      </w:r>
    </w:p>
    <w:p>
      <w:pPr>
        <w:spacing w:line="360" w:lineRule="auto"/>
        <w:jc w:val="center"/>
        <w:rPr>
          <w:rFonts w:ascii="黑体" w:hAnsi="黑体" w:eastAsia="黑体"/>
          <w:b/>
          <w:sz w:val="56"/>
          <w:szCs w:val="28"/>
        </w:rPr>
      </w:pPr>
      <w:r>
        <w:rPr>
          <w:rFonts w:hint="eastAsia" w:ascii="黑体" w:hAnsi="黑体" w:eastAsia="黑体"/>
          <w:b/>
          <w:sz w:val="56"/>
          <w:szCs w:val="28"/>
        </w:rPr>
        <w:t>产业发展禁限控目录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56"/>
          <w:szCs w:val="28"/>
        </w:rPr>
      </w:pPr>
      <w:r>
        <w:rPr>
          <w:rFonts w:hint="eastAsia" w:ascii="黑体" w:hAnsi="黑体" w:eastAsia="黑体"/>
          <w:b/>
          <w:sz w:val="56"/>
          <w:szCs w:val="28"/>
        </w:rPr>
        <w:t>（2</w:t>
      </w:r>
      <w:r>
        <w:rPr>
          <w:rFonts w:ascii="黑体" w:hAnsi="黑体" w:eastAsia="黑体"/>
          <w:b/>
          <w:sz w:val="56"/>
          <w:szCs w:val="28"/>
        </w:rPr>
        <w:t>023</w:t>
      </w:r>
      <w:r>
        <w:rPr>
          <w:rFonts w:hint="eastAsia" w:ascii="黑体" w:hAnsi="黑体" w:eastAsia="黑体"/>
          <w:b/>
          <w:sz w:val="56"/>
          <w:szCs w:val="28"/>
        </w:rPr>
        <w:t>年版）</w:t>
      </w:r>
    </w:p>
    <w:p>
      <w:pPr>
        <w:ind w:firstLine="302" w:firstLineChars="108"/>
      </w:pPr>
    </w:p>
    <w:p>
      <w:pPr>
        <w:ind w:firstLine="302" w:firstLineChars="108"/>
      </w:pPr>
    </w:p>
    <w:p>
      <w:pPr>
        <w:ind w:firstLine="345" w:firstLineChars="108"/>
        <w:rPr>
          <w:sz w:val="32"/>
        </w:rPr>
        <w:sectPr>
          <w:headerReference r:id="rId5" w:type="default"/>
          <w:footerReference r:id="rId6" w:type="default"/>
          <w:pgSz w:w="11906" w:h="16838"/>
          <w:pgMar w:top="1440" w:right="1440" w:bottom="1440" w:left="1800" w:header="851" w:footer="992" w:gutter="113"/>
          <w:pgNumType w:start="1"/>
          <w:cols w:space="425" w:num="1"/>
          <w:titlePg/>
          <w:docGrid w:type="lines" w:linePitch="381" w:charSpace="0"/>
        </w:sectPr>
      </w:pPr>
    </w:p>
    <w:bookmarkEnd w:id="0"/>
    <w:p>
      <w:pPr>
        <w:overflowPunct/>
        <w:snapToGrid/>
        <w:spacing w:line="240" w:lineRule="auto"/>
        <w:ind w:firstLine="0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bookmarkStart w:id="1" w:name="_Toc41461225"/>
      <w:r>
        <w:rPr>
          <w:rFonts w:hint="eastAsia" w:ascii="方正小标宋简体" w:eastAsia="方正小标宋简体" w:hAnsiTheme="minorHAnsi" w:cstheme="minorBidi"/>
          <w:sz w:val="44"/>
          <w:szCs w:val="44"/>
        </w:rPr>
        <w:t>编制说明</w:t>
      </w:r>
      <w:bookmarkEnd w:id="1"/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为配合《临港新材料产业园产业规划》的实施，并推动园区实现高质量发展，制定《临港新材料产业园产业发展禁限控目录》（以下简称《目录》）。本《目录》适用于企业在临港新材料产业园内投资新建、扩建、改建的化工类项目。遇国家有关部门或天津市出台更高标准的产业政策或规定，按其最新规定执行。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一、《目录》依据《产业结构调整指导目录》，并结合临港新材料产业园产业发展实际情况编制。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二、《目录》包含限制和禁止两大类。</w:t>
      </w:r>
      <w:r>
        <w:rPr>
          <w:rFonts w:ascii="仿宋_GB2312" w:hAnsi="仿宋" w:cstheme="minorBidi"/>
          <w:sz w:val="32"/>
          <w:szCs w:val="32"/>
        </w:rPr>
        <w:t>对限制类项目，禁止新建，现有生产能力允许在一定期限内改造升级；对禁止类项目，禁止投资并按规定期限禁止。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三、《目录》坚持安全第一、生态优先、绿色发展，限制附加值低、技术水平低、高耗能、高污染、高安全隐患的项目进入。严格控制园区安全风险和危险化学品重大危险源等级。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四、《目录》依据园区功能定位、区域位置、发展规划、规划环评、安全评价等规定和要求，确定指导目录，推动园区聚焦主业、协同发展，避免同质竞争,控制过剩产能盲目扩张和低水平建设。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五、《目录》由保税区管委会负责解释。由保税区临港新材料产业园主管部门，依照本目录对有关项目组织咨询论证。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七、《目录》分为禁止类项目目录和限制类项目目录。</w:t>
      </w:r>
    </w:p>
    <w:p>
      <w:pPr>
        <w:widowControl/>
        <w:overflowPunct/>
        <w:snapToGrid/>
        <w:spacing w:line="240" w:lineRule="auto"/>
        <w:ind w:firstLine="0"/>
        <w:jc w:val="left"/>
        <w:rPr>
          <w:rFonts w:ascii="仿宋_GB2312" w:hAnsi="仿宋" w:cstheme="minorBidi"/>
          <w:sz w:val="32"/>
          <w:szCs w:val="32"/>
        </w:rPr>
      </w:pPr>
      <w:r>
        <w:rPr>
          <w:rFonts w:ascii="仿宋_GB2312" w:hAnsi="仿宋" w:cstheme="minorBidi"/>
          <w:sz w:val="32"/>
          <w:szCs w:val="32"/>
        </w:rPr>
        <w:br w:type="page"/>
      </w:r>
    </w:p>
    <w:p>
      <w:pPr>
        <w:overflowPunct/>
        <w:snapToGrid/>
        <w:spacing w:line="240" w:lineRule="auto"/>
        <w:ind w:firstLine="0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bookmarkStart w:id="2" w:name="_Toc41461227"/>
      <w:bookmarkStart w:id="3" w:name="_Toc41461226"/>
      <w:r>
        <w:rPr>
          <w:rFonts w:hint="eastAsia" w:ascii="方正小标宋简体" w:eastAsia="方正小标宋简体" w:hAnsiTheme="minorHAnsi" w:cstheme="minorBidi"/>
          <w:sz w:val="44"/>
          <w:szCs w:val="44"/>
        </w:rPr>
        <w:t>一、禁止类项目目录</w:t>
      </w:r>
      <w:bookmarkEnd w:id="2"/>
    </w:p>
    <w:p>
      <w:pPr>
        <w:overflowPunct/>
        <w:snapToGrid/>
        <w:spacing w:line="580" w:lineRule="exact"/>
        <w:ind w:firstLine="800" w:firstLineChars="25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1.严禁建设涉及国家《产业结构调整指导目录》和《淘汰落后危险化学品安全生产工艺技术设备目录》禁止类和淘汰类的化工项目。禁止类项目分为三类：产能规模禁止类项目（见表1），装置、生产线、生产工艺、产品的禁止类单列项目（见表2）以及淘汰落后危险化学品安全生产工艺技术设备（见表3）。</w:t>
      </w:r>
    </w:p>
    <w:p>
      <w:pPr>
        <w:overflowPunct/>
        <w:snapToGrid/>
        <w:spacing w:line="580" w:lineRule="exact"/>
        <w:ind w:firstLine="800" w:firstLineChars="25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2.化工项目采用的生产工艺技术应当来源合法、成熟可靠。国内首次使用的化工工艺，应当通过安全可靠性论证。严禁建设采用异地淘汰的化工工艺技术项目。</w:t>
      </w:r>
    </w:p>
    <w:p>
      <w:pPr>
        <w:overflowPunct/>
        <w:snapToGrid/>
        <w:spacing w:line="580" w:lineRule="exact"/>
        <w:ind w:firstLine="800" w:firstLineChars="25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3.对涉及重点监管危险化工工艺和金属有机物合成反应的间歇、半间歇反应的精细化工建设项目，应在项目立项前完成反应安全风险评估；其中涉及氯化、氟化、重氮化、过氧化反应的，应完成生产工艺全流程反应安全风险评估。禁止建设经安全风险评估确定为工艺危险度4级以上的项目。</w:t>
      </w:r>
    </w:p>
    <w:p>
      <w:pPr>
        <w:widowControl/>
        <w:overflowPunct/>
        <w:snapToGrid/>
        <w:spacing w:line="240" w:lineRule="auto"/>
        <w:ind w:firstLine="0"/>
        <w:jc w:val="left"/>
        <w:rPr>
          <w:rFonts w:ascii="仿宋_GB2312" w:hAnsi="仿宋" w:cstheme="minorBidi"/>
          <w:sz w:val="32"/>
          <w:szCs w:val="32"/>
        </w:rPr>
      </w:pPr>
      <w:r>
        <w:rPr>
          <w:rFonts w:ascii="仿宋_GB2312" w:hAnsi="仿宋" w:cstheme="minorBidi"/>
          <w:sz w:val="32"/>
          <w:szCs w:val="32"/>
        </w:rPr>
        <w:br w:type="page"/>
      </w:r>
    </w:p>
    <w:p>
      <w:pPr>
        <w:pStyle w:val="44"/>
        <w:spacing w:before="190" w:after="190"/>
        <w:ind w:firstLine="560"/>
        <w:rPr>
          <w:rFonts w:ascii="仿宋_GB2312" w:hAnsi="仿宋" w:eastAsia="仿宋_GB2312"/>
          <w:b w:val="0"/>
        </w:rPr>
      </w:pPr>
      <w:r>
        <w:rPr>
          <w:rFonts w:hint="eastAsia" w:ascii="仿宋_GB2312" w:hAnsi="仿宋" w:eastAsia="仿宋_GB2312"/>
          <w:b w:val="0"/>
        </w:rPr>
        <w:t>表1</w:t>
      </w:r>
      <w:r>
        <w:rPr>
          <w:rFonts w:ascii="仿宋_GB2312" w:hAnsi="仿宋" w:eastAsia="仿宋_GB2312"/>
          <w:b w:val="0"/>
        </w:rPr>
        <w:t xml:space="preserve"> </w:t>
      </w:r>
      <w:r>
        <w:rPr>
          <w:rFonts w:hint="eastAsia" w:ascii="仿宋_GB2312" w:hAnsi="仿宋" w:eastAsia="仿宋_GB2312"/>
          <w:b w:val="0"/>
        </w:rPr>
        <w:t>产能规模禁止类项目（单位：万吨/年）</w:t>
      </w:r>
    </w:p>
    <w:tbl>
      <w:tblPr>
        <w:tblStyle w:val="2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648"/>
        <w:gridCol w:w="1272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  <w:tblHeader/>
        </w:trPr>
        <w:tc>
          <w:tcPr>
            <w:tcW w:w="497" w:type="pct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序号</w:t>
            </w: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项目</w:t>
            </w:r>
            <w:r>
              <w:rPr>
                <w:rFonts w:ascii="仿宋_GB2312" w:hAnsi="仿宋" w:cstheme="minorBidi"/>
                <w:kern w:val="2"/>
                <w:szCs w:val="24"/>
              </w:rPr>
              <w:t>/</w:t>
            </w:r>
            <w:r>
              <w:rPr>
                <w:rFonts w:hint="eastAsia" w:ascii="仿宋_GB2312" w:hAnsi="仿宋" w:cstheme="minorBidi"/>
                <w:kern w:val="2"/>
                <w:szCs w:val="24"/>
              </w:rPr>
              <w:t>装置名称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禁止值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常减压装置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≤200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单套粗（轻）苯精制装置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≤2</w:t>
            </w:r>
            <w:r>
              <w:rPr>
                <w:rFonts w:ascii="仿宋_GB2312" w:hAnsi="仿宋" w:cstheme="minorBidi"/>
                <w:kern w:val="2"/>
                <w:szCs w:val="24"/>
              </w:rPr>
              <w:t>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单套煤焦油加工装置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≤5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硫铁矿制酸和硫磺制酸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&lt;10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黄磷生产装置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</w:t>
            </w:r>
            <w:r>
              <w:rPr>
                <w:rFonts w:ascii="仿宋_GB2312" w:hAnsi="仿宋" w:cstheme="minorBidi"/>
                <w:kern w:val="2"/>
                <w:szCs w:val="24"/>
              </w:rPr>
              <w:t>0.5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单台产能，包括不符合准入条件的生产装置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普通级硫酸钡生产装置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</w:t>
            </w:r>
            <w:r>
              <w:rPr>
                <w:rFonts w:ascii="仿宋_GB2312" w:hAnsi="仿宋" w:cstheme="minorBidi"/>
                <w:kern w:val="2"/>
                <w:szCs w:val="24"/>
              </w:rPr>
              <w:t>0.3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氯酸钠生产装置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&lt;1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三聚磷酸钠生产装置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&lt;1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六偏磷酸钠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&lt;0.5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三氯化磷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&lt;0.5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饲料磷酸氢钙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&lt;3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工艺技术落后和污染严重的氢氟酸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</w:t>
            </w:r>
            <w:r>
              <w:rPr>
                <w:rFonts w:ascii="仿宋_GB2312" w:hAnsi="仿宋" w:cstheme="minorBidi"/>
                <w:kern w:val="2"/>
                <w:szCs w:val="24"/>
              </w:rPr>
              <w:t>0.5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湿法氟化铝生产装置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</w:t>
            </w:r>
            <w:r>
              <w:rPr>
                <w:rFonts w:ascii="仿宋_GB2312" w:hAnsi="仿宋" w:cstheme="minorBidi"/>
                <w:kern w:val="2"/>
                <w:szCs w:val="24"/>
              </w:rPr>
              <w:t>0.5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氰化钠（折</w:t>
            </w:r>
            <w:r>
              <w:rPr>
                <w:rFonts w:ascii="仿宋_GB2312" w:hAnsi="仿宋" w:cstheme="minorBidi"/>
                <w:kern w:val="2"/>
                <w:szCs w:val="24"/>
              </w:rPr>
              <w:t>100%</w:t>
            </w:r>
            <w:r>
              <w:rPr>
                <w:rFonts w:hint="eastAsia" w:ascii="仿宋_GB2312" w:hAnsi="仿宋" w:cstheme="minorBidi"/>
                <w:kern w:val="2"/>
                <w:szCs w:val="24"/>
              </w:rPr>
              <w:t>）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&lt;0.3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单线产能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氢氧化钾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&lt;1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普通级白炭黑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&lt;1.5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碳酸锂、氢氧化锂生产装置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&lt;0.3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单线产能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普通级碳酸钙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&lt;2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普通级无水硫酸钠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&lt;10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盐业联产及副产除外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普通级碳酸钡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&lt;2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普通级碳酸锶生产装置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&lt;1.5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皂素（含水解物）生产装置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</w:t>
            </w:r>
            <w:r>
              <w:rPr>
                <w:rFonts w:ascii="仿宋_GB2312" w:hAnsi="仿宋" w:cstheme="minorBidi"/>
                <w:kern w:val="2"/>
                <w:szCs w:val="24"/>
              </w:rPr>
              <w:t>0.01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斜交轮胎和以天然棉帘子布为骨架的轮胎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≤50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万条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干法造粒炭黑生产装置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≤1.5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特种炭黑和半补强炭黑除外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97" w:type="pct"/>
          </w:tcPr>
          <w:p>
            <w:pPr>
              <w:pStyle w:val="41"/>
              <w:numPr>
                <w:ilvl w:val="0"/>
                <w:numId w:val="2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65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天然胶乳安全套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&lt;</w:t>
            </w:r>
            <w:r>
              <w:rPr>
                <w:rFonts w:ascii="仿宋_GB2312" w:hAnsi="仿宋" w:cstheme="minorBidi"/>
                <w:kern w:val="2"/>
                <w:szCs w:val="24"/>
              </w:rPr>
              <w:t>3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亿只</w:t>
            </w:r>
          </w:p>
        </w:tc>
      </w:tr>
    </w:tbl>
    <w:p>
      <w:pPr>
        <w:pStyle w:val="44"/>
        <w:spacing w:before="190" w:after="190"/>
        <w:ind w:firstLine="560"/>
        <w:rPr>
          <w:rFonts w:ascii="仿宋_GB2312" w:hAnsi="仿宋" w:eastAsia="仿宋_GB2312"/>
          <w:b w:val="0"/>
        </w:rPr>
      </w:pPr>
    </w:p>
    <w:p>
      <w:pPr>
        <w:widowControl/>
        <w:overflowPunct/>
        <w:snapToGrid/>
        <w:spacing w:line="240" w:lineRule="auto"/>
        <w:ind w:firstLine="0"/>
        <w:jc w:val="left"/>
        <w:rPr>
          <w:rFonts w:ascii="仿宋_GB2312" w:hAnsi="仿宋" w:cstheme="minorBidi"/>
          <w:sz w:val="24"/>
          <w:szCs w:val="24"/>
        </w:rPr>
      </w:pPr>
      <w:r>
        <w:rPr>
          <w:rFonts w:ascii="仿宋_GB2312" w:hAnsi="仿宋"/>
          <w:b/>
        </w:rPr>
        <w:br w:type="page"/>
      </w:r>
    </w:p>
    <w:p>
      <w:pPr>
        <w:pStyle w:val="44"/>
        <w:spacing w:before="190" w:after="190"/>
        <w:ind w:firstLine="560"/>
        <w:rPr>
          <w:rFonts w:ascii="仿宋_GB2312" w:hAnsi="仿宋" w:eastAsia="仿宋_GB2312"/>
          <w:b w:val="0"/>
        </w:rPr>
      </w:pPr>
      <w:r>
        <w:rPr>
          <w:rFonts w:hint="eastAsia" w:ascii="仿宋_GB2312" w:hAnsi="仿宋" w:eastAsia="仿宋_GB2312"/>
          <w:b w:val="0"/>
        </w:rPr>
        <w:t>表2</w:t>
      </w:r>
      <w:r>
        <w:rPr>
          <w:rFonts w:ascii="仿宋_GB2312" w:hAnsi="仿宋" w:eastAsia="仿宋_GB2312"/>
          <w:b w:val="0"/>
        </w:rPr>
        <w:t xml:space="preserve"> </w:t>
      </w:r>
      <w:r>
        <w:rPr>
          <w:rFonts w:hint="eastAsia" w:ascii="仿宋_GB2312" w:hAnsi="仿宋" w:eastAsia="仿宋_GB2312"/>
          <w:b w:val="0"/>
        </w:rPr>
        <w:t>装置、生产线、生产工艺、产品的禁止类单列项目</w:t>
      </w:r>
    </w:p>
    <w:tbl>
      <w:tblPr>
        <w:tblStyle w:val="2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535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  <w:tblHeader/>
        </w:trPr>
        <w:tc>
          <w:tcPr>
            <w:tcW w:w="547" w:type="pct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序号</w:t>
            </w:r>
          </w:p>
        </w:tc>
        <w:tc>
          <w:tcPr>
            <w:tcW w:w="2586" w:type="pct"/>
            <w:shd w:val="clear" w:color="auto" w:fill="auto"/>
            <w:noWrap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 xml:space="preserve">名 </w:t>
            </w:r>
            <w:r>
              <w:rPr>
                <w:rFonts w:ascii="仿宋_GB2312" w:hAnsi="仿宋" w:cstheme="minorBidi"/>
                <w:kern w:val="2"/>
                <w:szCs w:val="24"/>
              </w:rPr>
              <w:t xml:space="preserve">  </w:t>
            </w:r>
            <w:r>
              <w:rPr>
                <w:rFonts w:hint="eastAsia" w:ascii="仿宋_GB2312" w:hAnsi="仿宋" w:cstheme="minorBidi"/>
                <w:kern w:val="2"/>
                <w:szCs w:val="24"/>
              </w:rPr>
              <w:t>称</w:t>
            </w:r>
          </w:p>
        </w:tc>
        <w:tc>
          <w:tcPr>
            <w:tcW w:w="1867" w:type="pct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ind w:left="420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一</w:t>
            </w:r>
          </w:p>
        </w:tc>
        <w:tc>
          <w:tcPr>
            <w:tcW w:w="2586" w:type="pct"/>
            <w:shd w:val="clear" w:color="auto" w:fill="auto"/>
            <w:noWrap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落后工艺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采用明火高温加热方式生产油品的釜式蒸馏装置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废旧橡胶和塑料土法炼油工艺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焦油间歇法生产沥青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平炉氧化法高锰酸钾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隔膜法烧碱生产装置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作为废盐综合利用的可以保留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平炉法和大锅蒸发法硫化碱生产工艺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芒硝法硅酸钠（泡花碱）生产工艺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间歇焦炭法二硫化碳工艺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有钙焙烧铬化合物生产装置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氢氧化钡生产装置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氯化钡生产装置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硝酸钡生产装置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单台炉容量小于1.25万伏安的电石炉及开放式电石炉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高汞催化剂（氯化汞含量6.5%以上）和使用高汞催化剂的乙炔法聚氯乙烯生产装置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使用汞或汞化合物的甲醇钠、甲醇钾、乙醇钠、乙醇钾、聚氨酯、乙醛、烧碱、生物杀虫剂和局部抗菌剂生产装置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氨钠法及氰熔体氰化钠生产工艺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敞开式结晶氟盐生产装置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半水煤气氨水液相脱硫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天然气常压间歇转化工艺制合成氨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一氧化碳常压变化及全中温变换（高温变换）工艺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没有配套硫磺回收装置的湿法脱硫工艺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没有配套建设吹风气余热回收、造气炉渣综合利用装置的固定层间歇式煤气化装置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没有配套工艺冷凝液水解解析装置的尿素生产设施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钠法百草枯生产工艺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敌百虫碱法敌敌畏生产工艺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小包装（1公斤及以下）农药产品手工包（灌）装工艺及设备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雷蒙机法生产农药粉剂装置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以六氯苯为原料生产五氯酚（钠）装置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用火直接加热的涂料用树脂生产工艺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四氯化碳溶剂法制取氯化橡胶生产工艺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盐酸酸解法皂素生产工艺及污染物排放不能达标的皂素生产装置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铁粉还原法工艺</w:t>
            </w:r>
          </w:p>
        </w:tc>
        <w:tc>
          <w:tcPr>
            <w:tcW w:w="1867" w:type="pct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4,4-二氨基二苯乙烯-二磺酸[DSD酸]、2-氨基-4-甲基-5-氯苯磺酸[CLT酸]、1-氨基-8-萘酚-3,6-二磺酸[H酸]三种产品暂缓执行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橡胶硫化促进剂N-氧联二（1,2-亚乙基）-2-苯并噻唑次磺酰胺（NOBS）生产装置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橡胶防老剂D生产装置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氯氟烃（CFCs）、含氢氯氟烃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HCFCs，作为自身下游化工产品的原料且不对外销售的除外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用于清洗的1,1,1-三氯乙烷（甲基氯仿），主产四氯化碳（CTC）、以四氯化碳（CTC）为加工助剂的所有产品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以PFOA为加工助剂的含氟聚合物生产工艺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7" w:type="pct"/>
          </w:tcPr>
          <w:p>
            <w:pPr>
              <w:pStyle w:val="41"/>
              <w:numPr>
                <w:ilvl w:val="0"/>
                <w:numId w:val="3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586" w:type="pct"/>
            <w:shd w:val="clear" w:color="auto" w:fill="auto"/>
            <w:noWrap/>
            <w:vAlign w:val="center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含滴滴涕的涂料、采用滴滴涕为原料非封闭生产三氯杀螨醇生产装置</w:t>
            </w:r>
          </w:p>
        </w:tc>
        <w:tc>
          <w:tcPr>
            <w:tcW w:w="1867" w:type="pct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根据国家履行国际公约总体计划要求进行禁止</w:t>
            </w:r>
          </w:p>
        </w:tc>
      </w:tr>
    </w:tbl>
    <w:p>
      <w:pPr>
        <w:pStyle w:val="41"/>
        <w:jc w:val="both"/>
        <w:rPr>
          <w:rFonts w:ascii="仿宋_GB2312" w:hAnsi="仿宋" w:cstheme="minorBidi"/>
          <w:kern w:val="2"/>
          <w:szCs w:val="24"/>
        </w:rPr>
      </w:pPr>
    </w:p>
    <w:p>
      <w:pPr>
        <w:widowControl/>
        <w:overflowPunct/>
        <w:snapToGrid/>
        <w:spacing w:line="240" w:lineRule="auto"/>
        <w:ind w:firstLine="0"/>
        <w:jc w:val="left"/>
        <w:rPr>
          <w:rFonts w:ascii="仿宋_GB2312" w:hAnsi="仿宋" w:cstheme="minorBidi"/>
          <w:sz w:val="24"/>
          <w:szCs w:val="24"/>
        </w:rPr>
      </w:pPr>
      <w:r>
        <w:rPr>
          <w:rFonts w:ascii="仿宋_GB2312" w:hAnsi="仿宋" w:cstheme="minorBidi"/>
          <w:szCs w:val="24"/>
        </w:rPr>
        <w:br w:type="page"/>
      </w:r>
    </w:p>
    <w:p>
      <w:pPr>
        <w:pStyle w:val="44"/>
        <w:spacing w:before="190" w:after="190"/>
        <w:ind w:firstLine="560"/>
        <w:rPr>
          <w:rFonts w:ascii="仿宋_GB2312" w:hAnsi="仿宋" w:eastAsia="仿宋_GB2312"/>
          <w:b w:val="0"/>
        </w:rPr>
      </w:pPr>
      <w:r>
        <w:rPr>
          <w:rFonts w:hint="eastAsia" w:ascii="仿宋_GB2312" w:hAnsi="仿宋" w:eastAsia="仿宋_GB2312"/>
          <w:b w:val="0"/>
        </w:rPr>
        <w:t>表3 禁止落后危险化学品安全生产工艺技术设备目录（第一批）</w:t>
      </w:r>
    </w:p>
    <w:tbl>
      <w:tblPr>
        <w:tblStyle w:val="27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416"/>
        <w:gridCol w:w="1558"/>
        <w:gridCol w:w="852"/>
        <w:gridCol w:w="1033"/>
        <w:gridCol w:w="1222"/>
        <w:gridCol w:w="1911"/>
      </w:tblGrid>
      <w:tr>
        <w:trPr>
          <w:trHeight w:val="653" w:hRule="atLeast"/>
          <w:tblHeader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序号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禁止落后工艺技术</w:t>
            </w:r>
          </w:p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装备名称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禁止原因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</w:t>
            </w:r>
          </w:p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类型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限制范围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代替的技术</w:t>
            </w:r>
          </w:p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或装备名称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依据</w:t>
            </w:r>
          </w:p>
        </w:tc>
      </w:tr>
      <w:tr>
        <w:trPr>
          <w:trHeight w:val="392" w:hRule="atLeast"/>
        </w:trPr>
        <w:tc>
          <w:tcPr>
            <w:tcW w:w="388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一、禁止落后的工艺技术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rPr>
          <w:trHeight w:val="81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采用氨冷冻盐水的氯气液化工艺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氨漏入盐水中形成氨盐，再漏入液氯中，形成三氯化氮，易发生爆炸。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限制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两年内改造完毕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环保型冷冻剂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《安全生产法》第三十五条</w:t>
            </w:r>
          </w:p>
        </w:tc>
      </w:tr>
      <w:tr>
        <w:trPr>
          <w:trHeight w:val="85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用火直接加热的涂料用树脂生产工艺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安全风险大。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列入国家发展改革委《产业结构调整指导目录（2019年本）》“禁止类”</w:t>
            </w:r>
          </w:p>
        </w:tc>
      </w:tr>
      <w:tr>
        <w:trPr>
          <w:trHeight w:val="85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3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常压固定床间歇煤气化工艺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自动化程度相对较低，人工加煤、下灰时易发生火灾、爆炸、灼烫等事故。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限制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新、扩建项目禁止采用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新型煤气化技术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《安全生产法》第三十五条</w:t>
            </w:r>
          </w:p>
        </w:tc>
      </w:tr>
      <w:tr>
        <w:trPr>
          <w:trHeight w:val="85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4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常压中和法硝酸铵生产工艺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常压反应釜内物料量大，反应速度慢且不均匀，尾气逸出量大，安全风险大。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三聚氰胺尾气综合利用项目除外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加压中和法或管式反应器法硝酸铵生产工艺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《安全生产法》第三十五条</w:t>
            </w:r>
          </w:p>
        </w:tc>
      </w:tr>
      <w:tr>
        <w:trPr>
          <w:trHeight w:val="430" w:hRule="atLeast"/>
        </w:trPr>
        <w:tc>
          <w:tcPr>
            <w:tcW w:w="388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二、禁止落后的设备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rPr>
          <w:trHeight w:val="664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敞开式离心机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缺乏有效密封，工作过程中物料及蒸气逸出带来的安全风险高。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限制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涉及易燃、有毒物料禁用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密闭式离心机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《安全生产法》第三十五条</w:t>
            </w:r>
          </w:p>
        </w:tc>
      </w:tr>
      <w:tr>
        <w:trPr>
          <w:trHeight w:val="85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多节钟罩的氯乙烯气柜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气柜导轨容易发生卡涩，使物料泄漏。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限制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新、扩建项目禁止，现有多节气柜按照单节气柜改造运行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单节钟罩气柜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《安全生产法》第三十五条</w:t>
            </w:r>
          </w:p>
        </w:tc>
      </w:tr>
      <w:tr>
        <w:trPr>
          <w:trHeight w:val="431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3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煤制甲醇装置气体净化工序三元换热器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在此环境下，易发生腐蚀造成泄漏。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常规列管换热器、板式换热器等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《安全生产法》第三十五条</w:t>
            </w:r>
          </w:p>
        </w:tc>
      </w:tr>
      <w:tr>
        <w:trPr>
          <w:trHeight w:val="85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4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未设置密闭及自动吸收系统的液氯储存仓库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安全风险高，易发生中毒事故。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限制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一年内改造完毕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仓库密闭，并设置与报警联锁的自动吸收装置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《危险化学品企业安全隐患排查治理导则》</w:t>
            </w:r>
          </w:p>
        </w:tc>
      </w:tr>
      <w:tr>
        <w:tblPrEx>
          <w:shd w:val="clear" w:color="auto" w:fill="FFFFFF"/>
        </w:tblPrEx>
        <w:trPr>
          <w:trHeight w:val="51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5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采用明火高温加热方式生产石油制品的釜式蒸馏装置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安全风险高，易发生火灾爆炸事故。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常减压蒸馏塔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列入国家发展改革委《产业结构调整指导目录（2019年本）》“禁止类”</w:t>
            </w:r>
          </w:p>
        </w:tc>
      </w:tr>
      <w:tr>
        <w:trPr>
          <w:trHeight w:val="85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6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开放式（又称敞开式）、内燃式（又称半密闭式或半开放式）电石炉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安全风险高，易发生火灾、爆炸、灼烫事故。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密闭式电石炉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电石行业产业政策</w:t>
            </w:r>
          </w:p>
        </w:tc>
      </w:tr>
      <w:tr>
        <w:trPr>
          <w:trHeight w:val="85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无火焰监测和熄火保护系统的燃气加热炉、导热油炉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燃气加热炉、导热油炉缺乏火焰监测和熄火保护系统的，容易导致炉膛爆炸。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限制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一年内改造完毕，科研实验用炉不受限制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带有火焰监测和熄火保护系统的燃气加热炉、导热油炉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《安全生产法》第三十五条</w:t>
            </w:r>
          </w:p>
        </w:tc>
      </w:tr>
      <w:tr>
        <w:trPr>
          <w:trHeight w:val="850" w:hRule="atLeast"/>
        </w:trPr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8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液化烃、液氯、液氨管道用软管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缺乏检测要求，安全可靠性低。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禁止</w:t>
            </w:r>
          </w:p>
        </w:tc>
        <w:tc>
          <w:tcPr>
            <w:tcW w:w="6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码头使用的金属软管和电子级产品使用的软管除外</w:t>
            </w:r>
          </w:p>
        </w:tc>
        <w:tc>
          <w:tcPr>
            <w:tcW w:w="7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金属制压力管道或万向充装系统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《石油化工企业设计防火规范》（GB 50160-2008）（2018版）</w:t>
            </w:r>
          </w:p>
        </w:tc>
      </w:tr>
    </w:tbl>
    <w:p>
      <w:pPr>
        <w:pStyle w:val="41"/>
        <w:rPr>
          <w:rFonts w:ascii="仿宋_GB2312" w:hAnsi="仿宋" w:cstheme="minorBidi"/>
          <w:kern w:val="2"/>
          <w:szCs w:val="24"/>
        </w:rPr>
      </w:pPr>
      <w:r>
        <w:rPr>
          <w:rFonts w:hint="eastAsia" w:ascii="仿宋_GB2312" w:hAnsi="仿宋" w:cstheme="minorBidi"/>
          <w:kern w:val="2"/>
          <w:szCs w:val="24"/>
        </w:rPr>
        <w:t xml:space="preserve"> </w:t>
      </w:r>
    </w:p>
    <w:p>
      <w:pPr>
        <w:overflowPunct/>
        <w:snapToGrid/>
        <w:spacing w:line="240" w:lineRule="auto"/>
        <w:ind w:firstLine="0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</w:p>
    <w:p>
      <w:pPr>
        <w:widowControl/>
        <w:overflowPunct/>
        <w:snapToGrid/>
        <w:spacing w:line="240" w:lineRule="auto"/>
        <w:ind w:firstLine="0"/>
        <w:jc w:val="left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/>
          <w:sz w:val="44"/>
          <w:szCs w:val="44"/>
        </w:rPr>
        <w:br w:type="page"/>
      </w:r>
    </w:p>
    <w:p>
      <w:pPr>
        <w:overflowPunct/>
        <w:snapToGrid/>
        <w:spacing w:line="240" w:lineRule="auto"/>
        <w:ind w:firstLine="0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二．限制类项目目录</w:t>
      </w:r>
      <w:bookmarkEnd w:id="3"/>
    </w:p>
    <w:p>
      <w:pPr>
        <w:overflowPunct/>
        <w:snapToGrid/>
        <w:spacing w:line="580" w:lineRule="exact"/>
        <w:ind w:firstLine="800" w:firstLineChars="25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一、与临港新材料产业园产业现状及发展相关的装置中，限制入园的生产装置如下：</w:t>
      </w:r>
    </w:p>
    <w:p>
      <w:pPr>
        <w:overflowPunct/>
        <w:snapToGrid/>
        <w:spacing w:line="580" w:lineRule="exact"/>
        <w:ind w:firstLine="800" w:firstLineChars="25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1、新建20万吨/年以下苯乙烯（干气制乙苯工艺除外）、乙烯法醋酸、30万吨/年以下羰基合成法醋酸、天然气制甲醇（CO2 含量 20%以上的天然气除外），100万吨/年以下煤制甲醇生产装置</w:t>
      </w:r>
      <w:r>
        <w:rPr>
          <w:rFonts w:ascii="仿宋_GB2312" w:hAnsi="仿宋" w:cstheme="minorBidi"/>
          <w:sz w:val="32"/>
          <w:szCs w:val="32"/>
        </w:rPr>
        <w:t xml:space="preserve"> </w:t>
      </w:r>
    </w:p>
    <w:p>
      <w:pPr>
        <w:overflowPunct/>
        <w:snapToGrid/>
        <w:spacing w:line="580" w:lineRule="exact"/>
        <w:ind w:firstLine="800" w:firstLineChars="25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2、新建 7万吨/年以下聚丙烯、20万吨/年以下聚乙烯、乙炔法聚氯乙烯、起始规模小于 30万吨/年的乙烯氧氯化法聚氯乙烯、10万吨/年以下聚苯乙烯、20万吨/年以下丙烯腈-丁二烯-苯乙烯共聚物（ABS）、3万吨/年以下普通合成胶乳-羧基丁苯胶（含丁苯胶乳）生产装置，新建、改扩建氯丁橡胶类、丁苯热塑性橡胶类、聚氨酯类和聚丙烯酸酯类中溶剂型通用胶粘剂生产装置，</w:t>
      </w:r>
    </w:p>
    <w:p>
      <w:pPr>
        <w:overflowPunct/>
        <w:snapToGrid/>
        <w:spacing w:line="580" w:lineRule="exact"/>
        <w:ind w:firstLine="800" w:firstLineChars="25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3、新建纯碱（井下循环制碱、天然碱除外）、烧碱（废盐综合利用的离子膜烧碱装置除外）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二、限制类项目分为两类，见表3和表4。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表3：产能规模限制类项目</w:t>
      </w:r>
    </w:p>
    <w:p>
      <w:pPr>
        <w:overflowPunct/>
        <w:snapToGrid/>
        <w:spacing w:line="580" w:lineRule="exact"/>
        <w:ind w:firstLine="640" w:firstLineChars="200"/>
        <w:rPr>
          <w:rFonts w:ascii="仿宋_GB2312" w:hAnsi="仿宋" w:cstheme="minorBidi"/>
          <w:sz w:val="32"/>
          <w:szCs w:val="32"/>
        </w:rPr>
      </w:pPr>
      <w:r>
        <w:rPr>
          <w:rFonts w:hint="eastAsia" w:ascii="仿宋_GB2312" w:hAnsi="仿宋" w:cstheme="minorBidi"/>
          <w:sz w:val="32"/>
          <w:szCs w:val="32"/>
        </w:rPr>
        <w:t>表</w:t>
      </w:r>
      <w:bookmarkStart w:id="4" w:name="_GoBack"/>
      <w:bookmarkEnd w:id="4"/>
      <w:r>
        <w:rPr>
          <w:rFonts w:hint="eastAsia" w:ascii="仿宋_GB2312" w:hAnsi="仿宋" w:cstheme="minorBidi"/>
          <w:sz w:val="32"/>
          <w:szCs w:val="32"/>
        </w:rPr>
        <w:t>4：生产线、生产工艺、产品的限制类单列项目</w:t>
      </w:r>
    </w:p>
    <w:p>
      <w:pPr>
        <w:overflowPunct/>
        <w:snapToGrid/>
        <w:spacing w:line="580" w:lineRule="exact"/>
        <w:ind w:firstLine="800" w:firstLineChars="250"/>
        <w:rPr>
          <w:rFonts w:ascii="仿宋_GB2312" w:hAnsi="仿宋" w:cstheme="minorBidi"/>
          <w:sz w:val="32"/>
          <w:szCs w:val="32"/>
        </w:rPr>
      </w:pPr>
    </w:p>
    <w:p>
      <w:pPr>
        <w:overflowPunct/>
        <w:snapToGrid/>
        <w:spacing w:line="240" w:lineRule="auto"/>
        <w:ind w:firstLine="0"/>
        <w:rPr>
          <w:rFonts w:ascii="方正小标宋简体" w:eastAsia="方正小标宋简体" w:hAnsiTheme="minorHAnsi" w:cstheme="minorBidi"/>
          <w:sz w:val="44"/>
          <w:szCs w:val="44"/>
        </w:rPr>
      </w:pPr>
    </w:p>
    <w:p>
      <w:pPr>
        <w:overflowPunct/>
        <w:snapToGrid/>
        <w:spacing w:line="240" w:lineRule="auto"/>
        <w:ind w:firstLine="0"/>
        <w:rPr>
          <w:rFonts w:ascii="方正小标宋简体" w:eastAsia="方正小标宋简体" w:hAnsiTheme="minorHAnsi" w:cstheme="minorBidi"/>
          <w:sz w:val="44"/>
          <w:szCs w:val="44"/>
        </w:rPr>
      </w:pPr>
    </w:p>
    <w:p>
      <w:pPr>
        <w:pStyle w:val="44"/>
        <w:spacing w:before="190" w:after="190"/>
        <w:ind w:firstLine="560"/>
        <w:rPr>
          <w:rFonts w:ascii="仿宋_GB2312" w:hAnsi="仿宋" w:eastAsia="仿宋_GB2312"/>
          <w:b w:val="0"/>
        </w:rPr>
      </w:pPr>
      <w:r>
        <w:rPr>
          <w:rFonts w:hint="eastAsia" w:ascii="仿宋_GB2312" w:hAnsi="仿宋" w:eastAsia="仿宋_GB2312"/>
          <w:b w:val="0"/>
        </w:rPr>
        <w:t>表:3产能规模限制类项目（单位：万吨/年）</w:t>
      </w:r>
    </w:p>
    <w:tbl>
      <w:tblPr>
        <w:tblStyle w:val="2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544"/>
        <w:gridCol w:w="1559"/>
        <w:gridCol w:w="2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  <w:tblHeader/>
        </w:trPr>
        <w:tc>
          <w:tcPr>
            <w:tcW w:w="466" w:type="pct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装置名称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限制值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常减压装置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催化裂化装置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&lt;150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连续重整装置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&lt;100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含芳烃抽提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加氢裂化生产装置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&lt;150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石脑油裂解制乙烯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</w:t>
            </w: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丙烯腈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&lt;13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精对苯二甲酸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&lt;100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乙二醇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&lt;20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苯乙烯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&lt;20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干气制乙苯工艺除外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己内酰胺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羰基合成法醋酸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&lt;30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煤制甲醇生产装置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&lt;100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皂素装置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&lt;0.03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含水解物除外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聚丙烯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&lt;7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聚乙烯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&lt;20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乙烯氧氯化法聚氯乙烯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&lt;30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起始规模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聚苯乙烯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&lt;10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丙烯腈-丁二烯-苯乙烯共聚物（ABS）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&lt;20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普通合成胶乳</w:t>
            </w:r>
            <w:r>
              <w:rPr>
                <w:rFonts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羧基丁苯胶（含丁苯胶乳）生产装置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&lt;3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硫磺制酸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&lt;30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单项金属离子≤100ppb的电子级硫酸除外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硫铁矿制酸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&lt;20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氢氧化钾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&lt;5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单线产能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氧化铁系颜料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甲基氯硅烷单体生产装置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&lt;20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新建初始规模小于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万吨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年、单套规模小于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万吨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vMerge w:val="restar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新建甲烷氯化物生产装置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&lt;10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有机硅配套除外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vMerge w:val="continue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没有副产四氯化碳配套处置设施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新建黄磷生产装置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起始规模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新建氰化钠（折100%）生产装置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单线产能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新建碳酸锂生产装置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</w:t>
            </w:r>
            <w:r>
              <w:rPr>
                <w:rFonts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单线产能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中低分子比冰晶石生产装置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7"/>
              <w:numPr>
                <w:ilvl w:val="0"/>
                <w:numId w:val="4"/>
              </w:num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钢丝帘线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&lt;3</w:t>
            </w:r>
          </w:p>
        </w:tc>
        <w:tc>
          <w:tcPr>
            <w:tcW w:w="1624" w:type="pct"/>
            <w:shd w:val="clear" w:color="auto" w:fill="auto"/>
            <w:vAlign w:val="center"/>
          </w:tcPr>
          <w:p>
            <w:pPr>
              <w:overflowPunct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44"/>
        <w:spacing w:before="190" w:after="190"/>
        <w:ind w:firstLine="0"/>
        <w:rPr>
          <w:rFonts w:ascii="仿宋_GB2312" w:hAnsi="仿宋" w:eastAsia="仿宋_GB2312"/>
          <w:b w:val="0"/>
        </w:rPr>
      </w:pPr>
    </w:p>
    <w:p>
      <w:pPr>
        <w:widowControl/>
        <w:overflowPunct/>
        <w:snapToGrid/>
        <w:spacing w:line="240" w:lineRule="auto"/>
        <w:ind w:firstLine="0"/>
        <w:jc w:val="left"/>
        <w:rPr>
          <w:rFonts w:ascii="仿宋_GB2312" w:hAnsi="仿宋" w:cstheme="minorBidi"/>
          <w:sz w:val="24"/>
          <w:szCs w:val="24"/>
        </w:rPr>
      </w:pPr>
      <w:r>
        <w:rPr>
          <w:rFonts w:ascii="仿宋_GB2312" w:hAnsi="仿宋"/>
          <w:b/>
        </w:rPr>
        <w:br w:type="page"/>
      </w:r>
    </w:p>
    <w:p>
      <w:pPr>
        <w:pStyle w:val="44"/>
        <w:spacing w:before="190" w:after="190"/>
        <w:ind w:firstLine="0"/>
        <w:rPr>
          <w:rFonts w:ascii="仿宋_GB2312" w:hAnsi="仿宋" w:eastAsia="仿宋_GB2312"/>
          <w:b w:val="0"/>
        </w:rPr>
      </w:pPr>
      <w:r>
        <w:rPr>
          <w:rFonts w:hint="eastAsia" w:ascii="仿宋_GB2312" w:hAnsi="仿宋" w:eastAsia="仿宋_GB2312"/>
          <w:b w:val="0"/>
        </w:rPr>
        <w:t>表4</w:t>
      </w:r>
      <w:r>
        <w:rPr>
          <w:rFonts w:ascii="仿宋_GB2312" w:hAnsi="仿宋" w:eastAsia="仿宋_GB2312"/>
          <w:b w:val="0"/>
        </w:rPr>
        <w:t xml:space="preserve"> </w:t>
      </w:r>
      <w:r>
        <w:rPr>
          <w:rFonts w:hint="eastAsia" w:ascii="仿宋_GB2312" w:hAnsi="仿宋" w:eastAsia="仿宋_GB2312"/>
          <w:b w:val="0"/>
        </w:rPr>
        <w:t>生产线、生产工艺、产品的限制类单列项目</w:t>
      </w:r>
    </w:p>
    <w:tbl>
      <w:tblPr>
        <w:tblStyle w:val="2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3"/>
        <w:gridCol w:w="4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  <w:tblHeader/>
        </w:trPr>
        <w:tc>
          <w:tcPr>
            <w:tcW w:w="466" w:type="pct"/>
          </w:tcPr>
          <w:p>
            <w:pPr>
              <w:pStyle w:val="41"/>
              <w:jc w:val="both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序号</w:t>
            </w: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名   称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乙烯法醋酸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天然气制甲醇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二氧化碳含量20%以上的天然气除</w:t>
            </w:r>
            <w:r>
              <w:rPr>
                <w:rFonts w:hint="eastAsia" w:ascii="仿宋_GB2312" w:hAnsi="仿宋" w:cstheme="minorBidi"/>
                <w:kern w:val="2"/>
                <w:szCs w:val="24"/>
              </w:rPr>
              <w:t>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丙酮氰醇法甲基丙烯酸甲酯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粮食法丙酮/丁醇生产装置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氯醇法环氧丙烷生产装置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皂化法环氧氯丙烷生产装置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乙炔法聚氯乙烯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b/>
                <w:kern w:val="2"/>
                <w:szCs w:val="24"/>
              </w:rPr>
            </w:pPr>
            <w:r>
              <w:rPr>
                <w:rFonts w:ascii="仿宋_GB2312" w:hAnsi="仿宋" w:cstheme="minorBidi"/>
                <w:b/>
                <w:kern w:val="2"/>
                <w:szCs w:val="24"/>
              </w:rPr>
              <w:t>新建、改扩建氯丁橡胶类生产装置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新建、改扩建丁苯热塑性橡胶类生产装置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聚氨酯类和聚丙烯酸酯类中溶剂型通用胶粘剂生产装置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常压法及综合法硝酸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电石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以大型先进工艺设备进行等量替换的除外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b/>
                <w:kern w:val="2"/>
                <w:szCs w:val="24"/>
              </w:rPr>
            </w:pPr>
            <w:r>
              <w:rPr>
                <w:rFonts w:ascii="仿宋_GB2312" w:hAnsi="仿宋" w:cstheme="minorBidi"/>
                <w:b/>
                <w:kern w:val="2"/>
                <w:szCs w:val="24"/>
              </w:rPr>
              <w:t>新建纯碱生产装置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井下循环制碱、天然碱除外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b/>
                <w:kern w:val="2"/>
                <w:szCs w:val="24"/>
              </w:rPr>
            </w:pPr>
            <w:r>
              <w:rPr>
                <w:rFonts w:ascii="仿宋_GB2312" w:hAnsi="仿宋" w:cstheme="minorBidi"/>
                <w:b/>
                <w:kern w:val="2"/>
                <w:szCs w:val="24"/>
              </w:rPr>
              <w:t>新建烧碱生产装置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废盐综合利用的离子膜烧碱装置除外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新建三聚磷酸钠生产装置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新建六偏磷酸钠生产装置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新建三氯化磷生产装置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新建五硫化二磷生产装置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新建磷酸氢钙生产装置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新建氯酸钠生产装置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新建少钙焙烧工艺重铬酸钠生产装置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新建电解二氧化锰生产装置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</w:t>
            </w:r>
            <w:r>
              <w:rPr>
                <w:rFonts w:hint="eastAsia" w:ascii="仿宋_GB2312" w:hAnsi="仿宋" w:cstheme="minorBidi"/>
                <w:kern w:val="2"/>
                <w:szCs w:val="24"/>
              </w:rPr>
              <w:t>普通</w:t>
            </w:r>
            <w:r>
              <w:rPr>
                <w:rFonts w:ascii="仿宋_GB2312" w:hAnsi="仿宋" w:cstheme="minorBidi"/>
                <w:kern w:val="2"/>
                <w:szCs w:val="24"/>
              </w:rPr>
              <w:t>级碳酸钙生产装置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新建无水硫酸钠生产装置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盐业联产及副产除外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新建碳酸钡生产装置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新建硫酸钡生产装置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新建氢氧化钡生产装置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新建氯化钡生产装置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新建硝酸钡生产装置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新建</w:t>
            </w:r>
            <w:r>
              <w:rPr>
                <w:rFonts w:ascii="仿宋_GB2312" w:hAnsi="仿宋" w:cstheme="minorBidi"/>
                <w:kern w:val="2"/>
                <w:szCs w:val="24"/>
              </w:rPr>
              <w:t>碳酸锶生产装置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新建白炭黑生产装置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气相法除外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新建氯化胆碱生产装置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新建氢氧化锂生产装置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新建干法氟化铝生产装置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新建以石油、天然气为原料的氮肥生产装置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新建采用固定层气化技术合成氨生产装置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新建磷铵生产装置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新建铜洗法氨合成原料气净化工艺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新建高毒、高残留以及对环境影响大的农药原药生产装置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包括氧乐果、水胺硫磷、甲基异柳磷、甲拌磷、特丁磷、杀扑磷、溴甲烷、灭多威、涕灭威、克百威、敌鼠钠、敌鼠酮、杀鼠灵、杀鼠醚、溴敌隆、溴鼠灵、肉毒素、杀虫双、灭线磷、磷化铝，有机氯类、有机锡类杀虫剂，福美类杀菌剂，复硝酚钠（钾）、氯磺隆、胺苯磺隆、甲磺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新建草甘膦生产装置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新建毒死蜱生产装置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水相法工艺除外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新建三唑磷生产装置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新建百草枯生产装置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新建百菌清生产装置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新建阿维菌素生产装置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新建吡虫啉生产装置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新建乙草胺生产装置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甲叉法工艺除外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新建氯化苦生产装置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新建硫酸法钛白粉生产装置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新建染料、染料中间体、有机颜料、印染助剂生产装置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鼓励类及采用鼓励类技术的除外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新建铅铬黄生产装置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新建溶剂型涂料生产装置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鼓励类的涂料品种和生产工艺除外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新建含异氰脲酸三缩水甘油酯（TGIC）的粉末涂料生产装置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新建氟化氢（HF）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hint="eastAsia" w:ascii="仿宋_GB2312" w:hAnsi="仿宋" w:cstheme="minorBidi"/>
                <w:kern w:val="2"/>
                <w:szCs w:val="24"/>
              </w:rPr>
              <w:t>企业下游深加工产品配套自用、</w:t>
            </w:r>
            <w:r>
              <w:rPr>
                <w:rFonts w:ascii="仿宋_GB2312" w:hAnsi="仿宋" w:cstheme="minorBidi"/>
                <w:kern w:val="2"/>
                <w:szCs w:val="24"/>
              </w:rPr>
              <w:t>电子级及湿法磷酸配套除外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没有副产三氟甲烷配套处置设施的二氟一</w:t>
            </w:r>
          </w:p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氯甲烷生产装置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可接受用途的全氟辛基磺酸及其盐类生产装置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全氟辛基磺酰氟生产装置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其余为禁止类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全氟辛酸（PFOA）生产装置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六氟化硫生产装置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SF6，高纯级除外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特定豁免用途的六溴环十二烷生产装置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其余为禁止类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新建斜交轮胎和力车胎生产装置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含手推车胎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新建再生胶生产装置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常压连续脱硫工艺除外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新建橡胶塑解剂五氯硫酚生产装置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新建橡胶促进剂二硫化四甲基秋兰姆（TMTD）生产线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466" w:type="pct"/>
          </w:tcPr>
          <w:p>
            <w:pPr>
              <w:pStyle w:val="41"/>
              <w:numPr>
                <w:ilvl w:val="0"/>
                <w:numId w:val="5"/>
              </w:numPr>
              <w:rPr>
                <w:rFonts w:ascii="仿宋_GB2312" w:hAnsi="仿宋" w:cstheme="minorBidi"/>
                <w:kern w:val="2"/>
                <w:szCs w:val="24"/>
              </w:rPr>
            </w:pPr>
          </w:p>
        </w:tc>
        <w:tc>
          <w:tcPr>
            <w:tcW w:w="2020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  <w:r>
              <w:rPr>
                <w:rFonts w:ascii="仿宋_GB2312" w:hAnsi="仿宋" w:cstheme="minorBidi"/>
                <w:kern w:val="2"/>
                <w:szCs w:val="24"/>
              </w:rPr>
              <w:t>新建锦纶帘线生产装置</w:t>
            </w:r>
          </w:p>
        </w:tc>
        <w:tc>
          <w:tcPr>
            <w:tcW w:w="2514" w:type="pct"/>
            <w:shd w:val="clear" w:color="auto" w:fill="auto"/>
            <w:noWrap/>
            <w:vAlign w:val="center"/>
          </w:tcPr>
          <w:p>
            <w:pPr>
              <w:pStyle w:val="41"/>
              <w:jc w:val="left"/>
              <w:rPr>
                <w:rFonts w:ascii="仿宋_GB2312" w:hAnsi="仿宋" w:cstheme="minorBidi"/>
                <w:kern w:val="2"/>
                <w:szCs w:val="24"/>
              </w:rPr>
            </w:pPr>
          </w:p>
        </w:tc>
      </w:tr>
    </w:tbl>
    <w:p>
      <w:pPr>
        <w:pStyle w:val="41"/>
        <w:ind w:right="360"/>
        <w:jc w:val="right"/>
        <w:rPr>
          <w:rFonts w:ascii="仿宋_GB2312" w:hAnsi="仿宋" w:cstheme="minorBidi"/>
          <w:kern w:val="2"/>
          <w:szCs w:val="24"/>
        </w:rPr>
      </w:pPr>
      <w:r>
        <w:rPr>
          <w:rFonts w:hint="eastAsia" w:ascii="仿宋_GB2312" w:hAnsi="仿宋" w:cstheme="minorBidi"/>
          <w:kern w:val="2"/>
          <w:szCs w:val="24"/>
        </w:rPr>
        <w:t>（全文完）</w:t>
      </w:r>
    </w:p>
    <w:p>
      <w:pPr>
        <w:pStyle w:val="41"/>
        <w:jc w:val="both"/>
        <w:rPr>
          <w:rFonts w:ascii="仿宋_GB2312" w:hAnsi="仿宋" w:cstheme="minorBidi"/>
          <w:kern w:val="2"/>
          <w:szCs w:val="24"/>
        </w:rPr>
      </w:pPr>
    </w:p>
    <w:sectPr>
      <w:headerReference r:id="rId7" w:type="default"/>
      <w:pgSz w:w="11906" w:h="16838"/>
      <w:pgMar w:top="1440" w:right="1440" w:bottom="1440" w:left="1800" w:header="851" w:footer="992" w:gutter="113"/>
      <w:pgNumType w:start="1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粗宋简">
    <w:altName w:val="方正书宋_GBK"/>
    <w:panose1 w:val="00000000000000000000"/>
    <w:charset w:val="86"/>
    <w:family w:val="modern"/>
    <w:pitch w:val="default"/>
    <w:sig w:usb0="00000000" w:usb1="00000000" w:usb2="0000001E" w:usb3="00000000" w:csb0="2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4604419"/>
      <w:docPartObj>
        <w:docPartGallery w:val="AutoText"/>
      </w:docPartObj>
    </w:sdtPr>
    <w:sdtContent>
      <w:p>
        <w:pPr>
          <w:pStyle w:val="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asciiTheme="minorEastAsia" w:hAnsiTheme="minorEastAsia" w:eastAsiaTheme="minorEastAsia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asciiTheme="minorEastAsia" w:hAnsiTheme="minorEastAsia" w:eastAsiaTheme="minorEastAsia"/>
        <w:sz w:val="20"/>
        <w:szCs w:val="20"/>
      </w:rPr>
    </w:pPr>
    <w:r>
      <w:rPr>
        <w:rFonts w:hint="eastAsia" w:asciiTheme="minorEastAsia" w:hAnsiTheme="minorEastAsia" w:eastAsiaTheme="minorEastAsia"/>
        <w:sz w:val="20"/>
        <w:szCs w:val="20"/>
      </w:rPr>
      <w:t>临港新材料产业园产业发展禁限控目录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446D"/>
    <w:multiLevelType w:val="multilevel"/>
    <w:tmpl w:val="1002446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114DA9"/>
    <w:multiLevelType w:val="multilevel"/>
    <w:tmpl w:val="28114DA9"/>
    <w:lvl w:ilvl="0" w:tentative="0">
      <w:start w:val="1"/>
      <w:numFmt w:val="decimal"/>
      <w:pStyle w:val="2"/>
      <w:suff w:val="space"/>
      <w:lvlText w:val="%1 "/>
      <w:lvlJc w:val="center"/>
      <w:pPr>
        <w:ind w:left="0" w:firstLine="0"/>
      </w:pPr>
      <w:rPr>
        <w:rFonts w:hint="default" w:ascii="Arial" w:hAnsi="Arial" w:eastAsia="经典粗宋简"/>
        <w:b/>
        <w:i w:val="0"/>
        <w:sz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567"/>
      </w:pPr>
      <w:rPr>
        <w:rFonts w:hint="default" w:ascii="Arial" w:hAnsi="Arial" w:eastAsia="黑体"/>
        <w:spacing w:val="0"/>
        <w:position w:val="0"/>
        <w:sz w:val="30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567"/>
      </w:pPr>
      <w:rPr>
        <w:rFonts w:hint="default" w:ascii="Arial" w:hAnsi="Arial" w:eastAsia="黑体"/>
        <w:sz w:val="30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567"/>
      </w:pPr>
      <w:rPr>
        <w:rFonts w:hint="default" w:ascii="Arial" w:hAnsi="Arial" w:eastAsia="楷体_GB2312"/>
        <w:b w:val="0"/>
        <w:i w:val="0"/>
        <w:sz w:val="30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567"/>
      </w:pPr>
      <w:rPr>
        <w:rFonts w:hint="default" w:ascii="Arial" w:hAnsi="Arial" w:eastAsia="仿宋_GB2312"/>
        <w:b/>
        <w:i w:val="0"/>
        <w:sz w:val="28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567"/>
      </w:pPr>
      <w:rPr>
        <w:rFonts w:hint="default" w:ascii="Arial" w:hAnsi="Arial" w:eastAsia="仿宋_GB2312"/>
        <w:sz w:val="28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2">
    <w:nsid w:val="3EB0196B"/>
    <w:multiLevelType w:val="multilevel"/>
    <w:tmpl w:val="3EB0196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66007C"/>
    <w:multiLevelType w:val="multilevel"/>
    <w:tmpl w:val="4666007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F215A2"/>
    <w:multiLevelType w:val="multilevel"/>
    <w:tmpl w:val="6AF215A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6F"/>
    <w:rsid w:val="00001642"/>
    <w:rsid w:val="0000435D"/>
    <w:rsid w:val="00005720"/>
    <w:rsid w:val="0000576F"/>
    <w:rsid w:val="00006192"/>
    <w:rsid w:val="000110A5"/>
    <w:rsid w:val="00024CF1"/>
    <w:rsid w:val="00036D6F"/>
    <w:rsid w:val="000427F2"/>
    <w:rsid w:val="00043C9D"/>
    <w:rsid w:val="00052AB1"/>
    <w:rsid w:val="00060A06"/>
    <w:rsid w:val="00061A5E"/>
    <w:rsid w:val="000642DF"/>
    <w:rsid w:val="000651C4"/>
    <w:rsid w:val="00065B98"/>
    <w:rsid w:val="00082EDC"/>
    <w:rsid w:val="0008510A"/>
    <w:rsid w:val="00086584"/>
    <w:rsid w:val="000A49F0"/>
    <w:rsid w:val="000B5ADB"/>
    <w:rsid w:val="000C0B15"/>
    <w:rsid w:val="000C14F9"/>
    <w:rsid w:val="000C64D8"/>
    <w:rsid w:val="000D2849"/>
    <w:rsid w:val="000F7AF3"/>
    <w:rsid w:val="001042FA"/>
    <w:rsid w:val="001048A2"/>
    <w:rsid w:val="00107D5B"/>
    <w:rsid w:val="00115C27"/>
    <w:rsid w:val="001225F2"/>
    <w:rsid w:val="00124257"/>
    <w:rsid w:val="00137F1A"/>
    <w:rsid w:val="00140949"/>
    <w:rsid w:val="00152D84"/>
    <w:rsid w:val="00153890"/>
    <w:rsid w:val="00161139"/>
    <w:rsid w:val="00164A03"/>
    <w:rsid w:val="001738A1"/>
    <w:rsid w:val="00177A20"/>
    <w:rsid w:val="00184D49"/>
    <w:rsid w:val="00194CC9"/>
    <w:rsid w:val="001A2205"/>
    <w:rsid w:val="001B7143"/>
    <w:rsid w:val="001C0A97"/>
    <w:rsid w:val="001C3391"/>
    <w:rsid w:val="001C6118"/>
    <w:rsid w:val="001F02F0"/>
    <w:rsid w:val="001F3D6A"/>
    <w:rsid w:val="001F6B10"/>
    <w:rsid w:val="002078ED"/>
    <w:rsid w:val="00211390"/>
    <w:rsid w:val="00212736"/>
    <w:rsid w:val="002140D7"/>
    <w:rsid w:val="00215683"/>
    <w:rsid w:val="00221D62"/>
    <w:rsid w:val="0022543D"/>
    <w:rsid w:val="0023742F"/>
    <w:rsid w:val="002415FD"/>
    <w:rsid w:val="002422BC"/>
    <w:rsid w:val="0024422A"/>
    <w:rsid w:val="002447F0"/>
    <w:rsid w:val="00244DBC"/>
    <w:rsid w:val="00247CAD"/>
    <w:rsid w:val="00247E68"/>
    <w:rsid w:val="002651D3"/>
    <w:rsid w:val="002663B1"/>
    <w:rsid w:val="00283B9B"/>
    <w:rsid w:val="002844EA"/>
    <w:rsid w:val="0028465A"/>
    <w:rsid w:val="002905BC"/>
    <w:rsid w:val="0029796B"/>
    <w:rsid w:val="002C7676"/>
    <w:rsid w:val="002D5AB2"/>
    <w:rsid w:val="002D7455"/>
    <w:rsid w:val="002E0F15"/>
    <w:rsid w:val="002E45B9"/>
    <w:rsid w:val="002F1C32"/>
    <w:rsid w:val="002F2BBC"/>
    <w:rsid w:val="00301C86"/>
    <w:rsid w:val="003041C0"/>
    <w:rsid w:val="00305534"/>
    <w:rsid w:val="003146F6"/>
    <w:rsid w:val="00316408"/>
    <w:rsid w:val="003232D5"/>
    <w:rsid w:val="0032668A"/>
    <w:rsid w:val="00327CFF"/>
    <w:rsid w:val="00335077"/>
    <w:rsid w:val="00337682"/>
    <w:rsid w:val="00342708"/>
    <w:rsid w:val="003430A0"/>
    <w:rsid w:val="003466C6"/>
    <w:rsid w:val="003510A9"/>
    <w:rsid w:val="003529B3"/>
    <w:rsid w:val="003554C4"/>
    <w:rsid w:val="00355CB2"/>
    <w:rsid w:val="00356E8D"/>
    <w:rsid w:val="00357049"/>
    <w:rsid w:val="00362636"/>
    <w:rsid w:val="00362EC4"/>
    <w:rsid w:val="00363A10"/>
    <w:rsid w:val="00366F2C"/>
    <w:rsid w:val="00375B0A"/>
    <w:rsid w:val="003805D5"/>
    <w:rsid w:val="00381DA6"/>
    <w:rsid w:val="00381DAE"/>
    <w:rsid w:val="00383523"/>
    <w:rsid w:val="00392502"/>
    <w:rsid w:val="0039432C"/>
    <w:rsid w:val="00394E0D"/>
    <w:rsid w:val="003A4601"/>
    <w:rsid w:val="003A7B53"/>
    <w:rsid w:val="003B0EB6"/>
    <w:rsid w:val="003B1C1C"/>
    <w:rsid w:val="003B33F0"/>
    <w:rsid w:val="003C07D8"/>
    <w:rsid w:val="003E0421"/>
    <w:rsid w:val="003E15D3"/>
    <w:rsid w:val="004035E7"/>
    <w:rsid w:val="00403DDF"/>
    <w:rsid w:val="00417BF9"/>
    <w:rsid w:val="00433598"/>
    <w:rsid w:val="00433E9F"/>
    <w:rsid w:val="00440303"/>
    <w:rsid w:val="00470F86"/>
    <w:rsid w:val="00472CF4"/>
    <w:rsid w:val="004769DB"/>
    <w:rsid w:val="00481345"/>
    <w:rsid w:val="00487509"/>
    <w:rsid w:val="0049246A"/>
    <w:rsid w:val="00492586"/>
    <w:rsid w:val="00494748"/>
    <w:rsid w:val="004A7236"/>
    <w:rsid w:val="004B135E"/>
    <w:rsid w:val="004B26DE"/>
    <w:rsid w:val="004D344E"/>
    <w:rsid w:val="004F0715"/>
    <w:rsid w:val="0050082A"/>
    <w:rsid w:val="00504405"/>
    <w:rsid w:val="0050478E"/>
    <w:rsid w:val="0051680A"/>
    <w:rsid w:val="00521FD7"/>
    <w:rsid w:val="00523EE0"/>
    <w:rsid w:val="00524B92"/>
    <w:rsid w:val="005269B6"/>
    <w:rsid w:val="0053720A"/>
    <w:rsid w:val="00537447"/>
    <w:rsid w:val="00537E5E"/>
    <w:rsid w:val="00540DD8"/>
    <w:rsid w:val="00547780"/>
    <w:rsid w:val="00556194"/>
    <w:rsid w:val="00556319"/>
    <w:rsid w:val="00573912"/>
    <w:rsid w:val="00587CA6"/>
    <w:rsid w:val="00592EBE"/>
    <w:rsid w:val="00597E3E"/>
    <w:rsid w:val="005A13B3"/>
    <w:rsid w:val="005A73ED"/>
    <w:rsid w:val="005B19F4"/>
    <w:rsid w:val="005B22A1"/>
    <w:rsid w:val="005C4F80"/>
    <w:rsid w:val="005C5439"/>
    <w:rsid w:val="005C7026"/>
    <w:rsid w:val="005E1A41"/>
    <w:rsid w:val="005E4BA5"/>
    <w:rsid w:val="005E71C9"/>
    <w:rsid w:val="005F3DE4"/>
    <w:rsid w:val="005F64E0"/>
    <w:rsid w:val="00601163"/>
    <w:rsid w:val="006101C3"/>
    <w:rsid w:val="00610715"/>
    <w:rsid w:val="00614EA7"/>
    <w:rsid w:val="00616313"/>
    <w:rsid w:val="0062468A"/>
    <w:rsid w:val="00627A1C"/>
    <w:rsid w:val="00632CEB"/>
    <w:rsid w:val="006333D6"/>
    <w:rsid w:val="00633DC2"/>
    <w:rsid w:val="006401C6"/>
    <w:rsid w:val="006408BC"/>
    <w:rsid w:val="006438A5"/>
    <w:rsid w:val="00643D97"/>
    <w:rsid w:val="00653838"/>
    <w:rsid w:val="00660498"/>
    <w:rsid w:val="006670A6"/>
    <w:rsid w:val="006671F2"/>
    <w:rsid w:val="00673076"/>
    <w:rsid w:val="00677F5A"/>
    <w:rsid w:val="00681566"/>
    <w:rsid w:val="006824C9"/>
    <w:rsid w:val="0068486E"/>
    <w:rsid w:val="0068565E"/>
    <w:rsid w:val="00685BA0"/>
    <w:rsid w:val="00695180"/>
    <w:rsid w:val="00696188"/>
    <w:rsid w:val="006A0668"/>
    <w:rsid w:val="006A5DAA"/>
    <w:rsid w:val="006A77EC"/>
    <w:rsid w:val="006A7CC0"/>
    <w:rsid w:val="006B012B"/>
    <w:rsid w:val="006B4FF0"/>
    <w:rsid w:val="006B631B"/>
    <w:rsid w:val="006C35A3"/>
    <w:rsid w:val="006C5643"/>
    <w:rsid w:val="006C7335"/>
    <w:rsid w:val="006D214B"/>
    <w:rsid w:val="006E0519"/>
    <w:rsid w:val="006E0BB3"/>
    <w:rsid w:val="006E1DC1"/>
    <w:rsid w:val="006E4F70"/>
    <w:rsid w:val="006F08BA"/>
    <w:rsid w:val="006F0925"/>
    <w:rsid w:val="006F2464"/>
    <w:rsid w:val="006F29C9"/>
    <w:rsid w:val="00702E35"/>
    <w:rsid w:val="00727A14"/>
    <w:rsid w:val="0073053F"/>
    <w:rsid w:val="0073502F"/>
    <w:rsid w:val="00771B57"/>
    <w:rsid w:val="007749A1"/>
    <w:rsid w:val="00786F5F"/>
    <w:rsid w:val="007928FA"/>
    <w:rsid w:val="0079633F"/>
    <w:rsid w:val="007C6139"/>
    <w:rsid w:val="007D16A6"/>
    <w:rsid w:val="007D1704"/>
    <w:rsid w:val="007D63E3"/>
    <w:rsid w:val="007E21FE"/>
    <w:rsid w:val="007F01C6"/>
    <w:rsid w:val="007F0982"/>
    <w:rsid w:val="00800C89"/>
    <w:rsid w:val="0082105E"/>
    <w:rsid w:val="00822FD1"/>
    <w:rsid w:val="00826E8D"/>
    <w:rsid w:val="00830AD3"/>
    <w:rsid w:val="00852AA9"/>
    <w:rsid w:val="008602DE"/>
    <w:rsid w:val="0086152C"/>
    <w:rsid w:val="008621D7"/>
    <w:rsid w:val="008651CC"/>
    <w:rsid w:val="00873F47"/>
    <w:rsid w:val="00873F72"/>
    <w:rsid w:val="0088418F"/>
    <w:rsid w:val="008A004A"/>
    <w:rsid w:val="008A28E1"/>
    <w:rsid w:val="008B3749"/>
    <w:rsid w:val="008B3966"/>
    <w:rsid w:val="008B4164"/>
    <w:rsid w:val="008B44CD"/>
    <w:rsid w:val="008B764B"/>
    <w:rsid w:val="008C230D"/>
    <w:rsid w:val="008D3045"/>
    <w:rsid w:val="008D3E2B"/>
    <w:rsid w:val="008D4829"/>
    <w:rsid w:val="008D5455"/>
    <w:rsid w:val="008E2BE5"/>
    <w:rsid w:val="008F1605"/>
    <w:rsid w:val="008F5456"/>
    <w:rsid w:val="0090385F"/>
    <w:rsid w:val="009046B2"/>
    <w:rsid w:val="009057FA"/>
    <w:rsid w:val="00920645"/>
    <w:rsid w:val="009212B9"/>
    <w:rsid w:val="0092183E"/>
    <w:rsid w:val="009244C4"/>
    <w:rsid w:val="0092534E"/>
    <w:rsid w:val="00926097"/>
    <w:rsid w:val="00926560"/>
    <w:rsid w:val="009341BF"/>
    <w:rsid w:val="009436BF"/>
    <w:rsid w:val="009473D7"/>
    <w:rsid w:val="00973912"/>
    <w:rsid w:val="00975564"/>
    <w:rsid w:val="00980FD0"/>
    <w:rsid w:val="0098100D"/>
    <w:rsid w:val="00997FD7"/>
    <w:rsid w:val="009A3116"/>
    <w:rsid w:val="009A320B"/>
    <w:rsid w:val="009B2DF7"/>
    <w:rsid w:val="009B613F"/>
    <w:rsid w:val="009B74DB"/>
    <w:rsid w:val="009C69EA"/>
    <w:rsid w:val="009C79A5"/>
    <w:rsid w:val="009D25E9"/>
    <w:rsid w:val="009D5E66"/>
    <w:rsid w:val="009E21A2"/>
    <w:rsid w:val="009E7A32"/>
    <w:rsid w:val="009F4C96"/>
    <w:rsid w:val="00A00A16"/>
    <w:rsid w:val="00A061C0"/>
    <w:rsid w:val="00A070B1"/>
    <w:rsid w:val="00A15748"/>
    <w:rsid w:val="00A16A09"/>
    <w:rsid w:val="00A2033B"/>
    <w:rsid w:val="00A20B1C"/>
    <w:rsid w:val="00A22A11"/>
    <w:rsid w:val="00A31BB1"/>
    <w:rsid w:val="00A41FD6"/>
    <w:rsid w:val="00A511DC"/>
    <w:rsid w:val="00A66C91"/>
    <w:rsid w:val="00A70A90"/>
    <w:rsid w:val="00A75056"/>
    <w:rsid w:val="00A83350"/>
    <w:rsid w:val="00A92568"/>
    <w:rsid w:val="00A930E4"/>
    <w:rsid w:val="00A97A54"/>
    <w:rsid w:val="00AA0992"/>
    <w:rsid w:val="00AA2720"/>
    <w:rsid w:val="00AA30B6"/>
    <w:rsid w:val="00AA40CC"/>
    <w:rsid w:val="00AA7630"/>
    <w:rsid w:val="00AB720D"/>
    <w:rsid w:val="00AC6B1A"/>
    <w:rsid w:val="00AD3F17"/>
    <w:rsid w:val="00AD50EE"/>
    <w:rsid w:val="00AE14C1"/>
    <w:rsid w:val="00AE42D9"/>
    <w:rsid w:val="00AE6D94"/>
    <w:rsid w:val="00AF5DC9"/>
    <w:rsid w:val="00B03C80"/>
    <w:rsid w:val="00B05281"/>
    <w:rsid w:val="00B1581F"/>
    <w:rsid w:val="00B16AD6"/>
    <w:rsid w:val="00B17F8B"/>
    <w:rsid w:val="00B45B91"/>
    <w:rsid w:val="00B45F47"/>
    <w:rsid w:val="00B46CD2"/>
    <w:rsid w:val="00B46F6C"/>
    <w:rsid w:val="00B511CB"/>
    <w:rsid w:val="00B531CD"/>
    <w:rsid w:val="00B5459C"/>
    <w:rsid w:val="00B54916"/>
    <w:rsid w:val="00B62935"/>
    <w:rsid w:val="00B6299A"/>
    <w:rsid w:val="00B63C26"/>
    <w:rsid w:val="00B7446A"/>
    <w:rsid w:val="00B778B3"/>
    <w:rsid w:val="00B80BDF"/>
    <w:rsid w:val="00B8298B"/>
    <w:rsid w:val="00B847DF"/>
    <w:rsid w:val="00B85BD4"/>
    <w:rsid w:val="00BA0BF4"/>
    <w:rsid w:val="00BA1B6C"/>
    <w:rsid w:val="00BA31BE"/>
    <w:rsid w:val="00BA3F89"/>
    <w:rsid w:val="00BC1104"/>
    <w:rsid w:val="00BC4A23"/>
    <w:rsid w:val="00BC6F76"/>
    <w:rsid w:val="00BD135F"/>
    <w:rsid w:val="00BD1E93"/>
    <w:rsid w:val="00BD592F"/>
    <w:rsid w:val="00BD64BC"/>
    <w:rsid w:val="00BE1E6C"/>
    <w:rsid w:val="00BF53DD"/>
    <w:rsid w:val="00C14D3F"/>
    <w:rsid w:val="00C14E28"/>
    <w:rsid w:val="00C16CDC"/>
    <w:rsid w:val="00C23F90"/>
    <w:rsid w:val="00C24C6C"/>
    <w:rsid w:val="00C25D18"/>
    <w:rsid w:val="00C4074E"/>
    <w:rsid w:val="00C47994"/>
    <w:rsid w:val="00C51DA2"/>
    <w:rsid w:val="00C61CB4"/>
    <w:rsid w:val="00C766FB"/>
    <w:rsid w:val="00C81917"/>
    <w:rsid w:val="00C845F7"/>
    <w:rsid w:val="00C92173"/>
    <w:rsid w:val="00CA58D6"/>
    <w:rsid w:val="00CA5FBC"/>
    <w:rsid w:val="00CA7966"/>
    <w:rsid w:val="00CB1C24"/>
    <w:rsid w:val="00CC199A"/>
    <w:rsid w:val="00CC2E8A"/>
    <w:rsid w:val="00CD343C"/>
    <w:rsid w:val="00CD43C4"/>
    <w:rsid w:val="00CD5B57"/>
    <w:rsid w:val="00CD7D32"/>
    <w:rsid w:val="00CE03AE"/>
    <w:rsid w:val="00CE0893"/>
    <w:rsid w:val="00CE6FFE"/>
    <w:rsid w:val="00CF14A6"/>
    <w:rsid w:val="00CF1A11"/>
    <w:rsid w:val="00CF6A6E"/>
    <w:rsid w:val="00D04810"/>
    <w:rsid w:val="00D10751"/>
    <w:rsid w:val="00D12CCF"/>
    <w:rsid w:val="00D1720E"/>
    <w:rsid w:val="00D203DF"/>
    <w:rsid w:val="00D3155A"/>
    <w:rsid w:val="00D33443"/>
    <w:rsid w:val="00D457B7"/>
    <w:rsid w:val="00D4723E"/>
    <w:rsid w:val="00D54F36"/>
    <w:rsid w:val="00D55510"/>
    <w:rsid w:val="00D62E88"/>
    <w:rsid w:val="00D72285"/>
    <w:rsid w:val="00D81651"/>
    <w:rsid w:val="00D91CD4"/>
    <w:rsid w:val="00D937A3"/>
    <w:rsid w:val="00D94943"/>
    <w:rsid w:val="00D97CA0"/>
    <w:rsid w:val="00DB3944"/>
    <w:rsid w:val="00DD3F02"/>
    <w:rsid w:val="00DE4190"/>
    <w:rsid w:val="00DE4638"/>
    <w:rsid w:val="00DE471A"/>
    <w:rsid w:val="00DE52FD"/>
    <w:rsid w:val="00DE650C"/>
    <w:rsid w:val="00DF098C"/>
    <w:rsid w:val="00E034FB"/>
    <w:rsid w:val="00E058D7"/>
    <w:rsid w:val="00E06C02"/>
    <w:rsid w:val="00E14941"/>
    <w:rsid w:val="00E1790F"/>
    <w:rsid w:val="00E2264A"/>
    <w:rsid w:val="00E25A99"/>
    <w:rsid w:val="00E25C2E"/>
    <w:rsid w:val="00E261BC"/>
    <w:rsid w:val="00E44488"/>
    <w:rsid w:val="00E54E58"/>
    <w:rsid w:val="00E60016"/>
    <w:rsid w:val="00E61475"/>
    <w:rsid w:val="00E6760F"/>
    <w:rsid w:val="00E708C8"/>
    <w:rsid w:val="00E75211"/>
    <w:rsid w:val="00E847A5"/>
    <w:rsid w:val="00E9140A"/>
    <w:rsid w:val="00E9357B"/>
    <w:rsid w:val="00E93BB2"/>
    <w:rsid w:val="00E94F1B"/>
    <w:rsid w:val="00E974C5"/>
    <w:rsid w:val="00EA24DB"/>
    <w:rsid w:val="00EA3BFB"/>
    <w:rsid w:val="00EA7E82"/>
    <w:rsid w:val="00EC6819"/>
    <w:rsid w:val="00EE52E7"/>
    <w:rsid w:val="00EF7648"/>
    <w:rsid w:val="00F0442B"/>
    <w:rsid w:val="00F13535"/>
    <w:rsid w:val="00F17AA0"/>
    <w:rsid w:val="00F17D3A"/>
    <w:rsid w:val="00F2254D"/>
    <w:rsid w:val="00F236DC"/>
    <w:rsid w:val="00F24F4A"/>
    <w:rsid w:val="00F255DC"/>
    <w:rsid w:val="00F31CCB"/>
    <w:rsid w:val="00F342C4"/>
    <w:rsid w:val="00F406F1"/>
    <w:rsid w:val="00F40773"/>
    <w:rsid w:val="00F45D6F"/>
    <w:rsid w:val="00F47706"/>
    <w:rsid w:val="00F50CF1"/>
    <w:rsid w:val="00F510F0"/>
    <w:rsid w:val="00F53B0B"/>
    <w:rsid w:val="00F5486A"/>
    <w:rsid w:val="00F5592B"/>
    <w:rsid w:val="00F67559"/>
    <w:rsid w:val="00F747D3"/>
    <w:rsid w:val="00F82BC1"/>
    <w:rsid w:val="00F9328B"/>
    <w:rsid w:val="00FA0C55"/>
    <w:rsid w:val="00FA2423"/>
    <w:rsid w:val="00FA5A01"/>
    <w:rsid w:val="00FB5650"/>
    <w:rsid w:val="00FC3CBC"/>
    <w:rsid w:val="00FC631B"/>
    <w:rsid w:val="00FD68BF"/>
    <w:rsid w:val="00FE3039"/>
    <w:rsid w:val="00FE53D7"/>
    <w:rsid w:val="00FF333F"/>
    <w:rsid w:val="00FF3596"/>
    <w:rsid w:val="FDB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480" w:lineRule="exact"/>
      <w:ind w:firstLine="567"/>
      <w:jc w:val="both"/>
    </w:pPr>
    <w:rPr>
      <w:rFonts w:ascii="Arial" w:hAnsi="Arial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3"/>
    <w:link w:val="32"/>
    <w:qFormat/>
    <w:uiPriority w:val="0"/>
    <w:pPr>
      <w:keepNext/>
      <w:keepLines/>
      <w:widowControl/>
      <w:numPr>
        <w:ilvl w:val="0"/>
        <w:numId w:val="1"/>
      </w:numPr>
      <w:adjustRightInd w:val="0"/>
      <w:spacing w:before="720" w:after="240" w:line="500" w:lineRule="atLeast"/>
      <w:jc w:val="center"/>
      <w:textAlignment w:val="center"/>
      <w:outlineLvl w:val="0"/>
    </w:pPr>
    <w:rPr>
      <w:rFonts w:eastAsia="经典粗宋简"/>
      <w:kern w:val="0"/>
      <w:sz w:val="32"/>
    </w:rPr>
  </w:style>
  <w:style w:type="paragraph" w:styleId="3">
    <w:name w:val="heading 2"/>
    <w:basedOn w:val="1"/>
    <w:next w:val="4"/>
    <w:link w:val="33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40"/>
      <w:jc w:val="left"/>
      <w:textAlignment w:val="baseline"/>
      <w:outlineLvl w:val="1"/>
    </w:pPr>
    <w:rPr>
      <w:rFonts w:eastAsia="黑体"/>
      <w:b/>
      <w:kern w:val="0"/>
      <w:sz w:val="30"/>
    </w:rPr>
  </w:style>
  <w:style w:type="paragraph" w:styleId="4">
    <w:name w:val="heading 3"/>
    <w:basedOn w:val="1"/>
    <w:next w:val="1"/>
    <w:link w:val="34"/>
    <w:qFormat/>
    <w:uiPriority w:val="0"/>
    <w:pPr>
      <w:keepNext/>
      <w:widowControl/>
      <w:numPr>
        <w:ilvl w:val="2"/>
        <w:numId w:val="1"/>
      </w:numPr>
      <w:adjustRightInd w:val="0"/>
      <w:spacing w:before="120"/>
      <w:jc w:val="left"/>
      <w:textAlignment w:val="baseline"/>
      <w:outlineLvl w:val="2"/>
    </w:pPr>
    <w:rPr>
      <w:rFonts w:eastAsia="楷体_GB2312"/>
      <w:b/>
      <w:kern w:val="0"/>
      <w:sz w:val="30"/>
    </w:rPr>
  </w:style>
  <w:style w:type="paragraph" w:styleId="5">
    <w:name w:val="heading 4"/>
    <w:basedOn w:val="1"/>
    <w:next w:val="1"/>
    <w:link w:val="35"/>
    <w:qFormat/>
    <w:uiPriority w:val="0"/>
    <w:pPr>
      <w:keepNext/>
      <w:widowControl/>
      <w:numPr>
        <w:ilvl w:val="3"/>
        <w:numId w:val="1"/>
      </w:numPr>
      <w:adjustRightInd w:val="0"/>
      <w:spacing w:before="120"/>
      <w:jc w:val="left"/>
      <w:textAlignment w:val="baseline"/>
      <w:outlineLvl w:val="3"/>
    </w:pPr>
    <w:rPr>
      <w:b/>
      <w:kern w:val="0"/>
    </w:rPr>
  </w:style>
  <w:style w:type="paragraph" w:styleId="6">
    <w:name w:val="heading 5"/>
    <w:basedOn w:val="1"/>
    <w:next w:val="1"/>
    <w:link w:val="36"/>
    <w:qFormat/>
    <w:uiPriority w:val="0"/>
    <w:pPr>
      <w:keepNext/>
      <w:widowControl/>
      <w:numPr>
        <w:ilvl w:val="4"/>
        <w:numId w:val="1"/>
      </w:numPr>
      <w:adjustRightInd w:val="0"/>
      <w:spacing w:before="120"/>
      <w:jc w:val="left"/>
      <w:textAlignment w:val="baseline"/>
      <w:outlineLvl w:val="4"/>
    </w:pPr>
    <w:rPr>
      <w:kern w:val="0"/>
    </w:rPr>
  </w:style>
  <w:style w:type="paragraph" w:styleId="7">
    <w:name w:val="heading 6"/>
    <w:basedOn w:val="1"/>
    <w:next w:val="1"/>
    <w:link w:val="37"/>
    <w:qFormat/>
    <w:uiPriority w:val="0"/>
    <w:pPr>
      <w:keepNext/>
      <w:widowControl/>
      <w:numPr>
        <w:ilvl w:val="5"/>
        <w:numId w:val="1"/>
      </w:numPr>
      <w:adjustRightInd w:val="0"/>
      <w:spacing w:before="120"/>
      <w:jc w:val="left"/>
      <w:textAlignment w:val="baseline"/>
      <w:outlineLvl w:val="5"/>
    </w:pPr>
    <w:rPr>
      <w:kern w:val="0"/>
    </w:rPr>
  </w:style>
  <w:style w:type="paragraph" w:styleId="8">
    <w:name w:val="heading 7"/>
    <w:basedOn w:val="1"/>
    <w:next w:val="1"/>
    <w:link w:val="38"/>
    <w:qFormat/>
    <w:uiPriority w:val="0"/>
    <w:pPr>
      <w:numPr>
        <w:ilvl w:val="6"/>
        <w:numId w:val="1"/>
      </w:numPr>
      <w:adjustRightInd w:val="0"/>
      <w:spacing w:before="120"/>
      <w:jc w:val="left"/>
      <w:textAlignment w:val="baseline"/>
      <w:outlineLvl w:val="6"/>
    </w:pPr>
    <w:rPr>
      <w:kern w:val="0"/>
    </w:rPr>
  </w:style>
  <w:style w:type="paragraph" w:styleId="9">
    <w:name w:val="heading 8"/>
    <w:basedOn w:val="1"/>
    <w:next w:val="1"/>
    <w:link w:val="39"/>
    <w:qFormat/>
    <w:uiPriority w:val="0"/>
    <w:pPr>
      <w:numPr>
        <w:ilvl w:val="7"/>
        <w:numId w:val="1"/>
      </w:numPr>
      <w:adjustRightInd w:val="0"/>
      <w:spacing w:before="120"/>
      <w:jc w:val="left"/>
      <w:textAlignment w:val="baseline"/>
      <w:outlineLvl w:val="7"/>
    </w:pPr>
    <w:rPr>
      <w:kern w:val="0"/>
    </w:rPr>
  </w:style>
  <w:style w:type="paragraph" w:styleId="10">
    <w:name w:val="heading 9"/>
    <w:basedOn w:val="1"/>
    <w:next w:val="1"/>
    <w:link w:val="40"/>
    <w:qFormat/>
    <w:uiPriority w:val="0"/>
    <w:pPr>
      <w:numPr>
        <w:ilvl w:val="8"/>
        <w:numId w:val="1"/>
      </w:numPr>
      <w:adjustRightInd w:val="0"/>
      <w:spacing w:before="120"/>
      <w:jc w:val="left"/>
      <w:textAlignment w:val="baseline"/>
      <w:outlineLvl w:val="8"/>
    </w:pPr>
    <w:rPr>
      <w:kern w:val="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12">
    <w:name w:val="Document Map"/>
    <w:basedOn w:val="1"/>
    <w:link w:val="5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3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15">
    <w:name w:val="toc 3"/>
    <w:basedOn w:val="1"/>
    <w:next w:val="1"/>
    <w:unhideWhenUsed/>
    <w:qFormat/>
    <w:uiPriority w:val="39"/>
    <w:pPr>
      <w:ind w:left="560"/>
      <w:jc w:val="left"/>
    </w:pPr>
    <w:rPr>
      <w:rFonts w:asciiTheme="minorHAnsi" w:hAnsiTheme="minorHAnsi"/>
      <w:i/>
      <w:iCs/>
      <w:sz w:val="20"/>
    </w:rPr>
  </w:style>
  <w:style w:type="paragraph" w:styleId="16">
    <w:name w:val="toc 8"/>
    <w:basedOn w:val="1"/>
    <w:next w:val="1"/>
    <w:unhideWhenUsed/>
    <w:qFormat/>
    <w:uiPriority w:val="39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17">
    <w:name w:val="Balloon Text"/>
    <w:basedOn w:val="1"/>
    <w:link w:val="4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9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tabs>
        <w:tab w:val="right" w:leader="dot" w:pos="8364"/>
      </w:tabs>
      <w:overflowPunct/>
      <w:snapToGrid/>
      <w:spacing w:line="360" w:lineRule="auto"/>
      <w:ind w:right="462" w:rightChars="165" w:firstLine="0"/>
      <w:jc w:val="center"/>
    </w:pPr>
    <w:rPr>
      <w:rFonts w:asciiTheme="minorHAnsi" w:hAnsiTheme="minorHAnsi"/>
      <w:b/>
      <w:bCs/>
      <w:caps/>
      <w:szCs w:val="28"/>
    </w:rPr>
  </w:style>
  <w:style w:type="paragraph" w:styleId="21">
    <w:name w:val="toc 4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80"/>
      <w:jc w:val="left"/>
    </w:pPr>
    <w:rPr>
      <w:rFonts w:asciiTheme="minorHAnsi" w:hAnsiTheme="minorHAnsi"/>
      <w:smallCaps/>
      <w:sz w:val="20"/>
    </w:rPr>
  </w:style>
  <w:style w:type="paragraph" w:styleId="24">
    <w:name w:val="toc 9"/>
    <w:basedOn w:val="1"/>
    <w:next w:val="1"/>
    <w:unhideWhenUsed/>
    <w:qFormat/>
    <w:uiPriority w:val="39"/>
    <w:pPr>
      <w:ind w:left="2240"/>
      <w:jc w:val="left"/>
    </w:pPr>
    <w:rPr>
      <w:rFonts w:asciiTheme="minorHAnsi" w:hAnsiTheme="minorHAnsi"/>
      <w:sz w:val="18"/>
      <w:szCs w:val="18"/>
    </w:rPr>
  </w:style>
  <w:style w:type="paragraph" w:styleId="25">
    <w:name w:val="Normal (Web)"/>
    <w:basedOn w:val="1"/>
    <w:unhideWhenUsed/>
    <w:qFormat/>
    <w:uiPriority w:val="99"/>
    <w:pPr>
      <w:widowControl/>
      <w:overflowPunct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annotation subject"/>
    <w:basedOn w:val="13"/>
    <w:next w:val="13"/>
    <w:link w:val="51"/>
    <w:semiHidden/>
    <w:unhideWhenUsed/>
    <w:qFormat/>
    <w:uiPriority w:val="99"/>
    <w:rPr>
      <w:b/>
      <w:bCs/>
    </w:r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Hyperlink"/>
    <w:basedOn w:val="2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2">
    <w:name w:val="标题 1 字符"/>
    <w:basedOn w:val="28"/>
    <w:link w:val="2"/>
    <w:qFormat/>
    <w:uiPriority w:val="0"/>
    <w:rPr>
      <w:rFonts w:ascii="Arial" w:hAnsi="Arial" w:eastAsia="经典粗宋简" w:cs="Times New Roman"/>
      <w:kern w:val="0"/>
      <w:sz w:val="32"/>
      <w:szCs w:val="20"/>
    </w:rPr>
  </w:style>
  <w:style w:type="character" w:customStyle="1" w:styleId="33">
    <w:name w:val="标题 2 字符"/>
    <w:basedOn w:val="28"/>
    <w:link w:val="3"/>
    <w:qFormat/>
    <w:uiPriority w:val="0"/>
    <w:rPr>
      <w:rFonts w:ascii="Arial" w:hAnsi="Arial" w:eastAsia="黑体" w:cs="Times New Roman"/>
      <w:b/>
      <w:kern w:val="0"/>
      <w:sz w:val="30"/>
      <w:szCs w:val="20"/>
    </w:rPr>
  </w:style>
  <w:style w:type="character" w:customStyle="1" w:styleId="34">
    <w:name w:val="标题 3 字符"/>
    <w:basedOn w:val="28"/>
    <w:link w:val="4"/>
    <w:qFormat/>
    <w:uiPriority w:val="0"/>
    <w:rPr>
      <w:rFonts w:ascii="Arial" w:hAnsi="Arial" w:eastAsia="楷体_GB2312" w:cs="Times New Roman"/>
      <w:b/>
      <w:kern w:val="0"/>
      <w:sz w:val="30"/>
      <w:szCs w:val="20"/>
    </w:rPr>
  </w:style>
  <w:style w:type="character" w:customStyle="1" w:styleId="35">
    <w:name w:val="标题 4 字符"/>
    <w:basedOn w:val="28"/>
    <w:link w:val="5"/>
    <w:qFormat/>
    <w:uiPriority w:val="0"/>
    <w:rPr>
      <w:rFonts w:ascii="Arial" w:hAnsi="Arial" w:eastAsia="仿宋_GB2312" w:cs="Times New Roman"/>
      <w:b/>
      <w:kern w:val="0"/>
      <w:sz w:val="28"/>
      <w:szCs w:val="20"/>
    </w:rPr>
  </w:style>
  <w:style w:type="character" w:customStyle="1" w:styleId="36">
    <w:name w:val="标题 5 字符"/>
    <w:basedOn w:val="28"/>
    <w:link w:val="6"/>
    <w:qFormat/>
    <w:uiPriority w:val="0"/>
    <w:rPr>
      <w:rFonts w:ascii="Arial" w:hAnsi="Arial" w:eastAsia="仿宋_GB2312" w:cs="Times New Roman"/>
      <w:kern w:val="0"/>
      <w:sz w:val="28"/>
      <w:szCs w:val="20"/>
    </w:rPr>
  </w:style>
  <w:style w:type="character" w:customStyle="1" w:styleId="37">
    <w:name w:val="标题 6 字符"/>
    <w:basedOn w:val="28"/>
    <w:link w:val="7"/>
    <w:qFormat/>
    <w:uiPriority w:val="0"/>
    <w:rPr>
      <w:rFonts w:ascii="Arial" w:hAnsi="Arial" w:eastAsia="仿宋_GB2312" w:cs="Times New Roman"/>
      <w:kern w:val="0"/>
      <w:sz w:val="28"/>
      <w:szCs w:val="20"/>
    </w:rPr>
  </w:style>
  <w:style w:type="character" w:customStyle="1" w:styleId="38">
    <w:name w:val="标题 7 字符"/>
    <w:basedOn w:val="28"/>
    <w:link w:val="8"/>
    <w:qFormat/>
    <w:uiPriority w:val="0"/>
    <w:rPr>
      <w:rFonts w:ascii="Arial" w:hAnsi="Arial" w:eastAsia="仿宋_GB2312" w:cs="Times New Roman"/>
      <w:kern w:val="0"/>
      <w:sz w:val="28"/>
      <w:szCs w:val="20"/>
    </w:rPr>
  </w:style>
  <w:style w:type="character" w:customStyle="1" w:styleId="39">
    <w:name w:val="标题 8 字符"/>
    <w:basedOn w:val="28"/>
    <w:link w:val="9"/>
    <w:qFormat/>
    <w:uiPriority w:val="0"/>
    <w:rPr>
      <w:rFonts w:ascii="Arial" w:hAnsi="Arial" w:eastAsia="仿宋_GB2312" w:cs="Times New Roman"/>
      <w:kern w:val="0"/>
      <w:sz w:val="28"/>
      <w:szCs w:val="20"/>
    </w:rPr>
  </w:style>
  <w:style w:type="character" w:customStyle="1" w:styleId="40">
    <w:name w:val="标题 9 字符"/>
    <w:basedOn w:val="28"/>
    <w:link w:val="10"/>
    <w:qFormat/>
    <w:uiPriority w:val="0"/>
    <w:rPr>
      <w:rFonts w:ascii="Arial" w:hAnsi="Arial" w:eastAsia="仿宋_GB2312" w:cs="Times New Roman"/>
      <w:kern w:val="0"/>
      <w:sz w:val="28"/>
      <w:szCs w:val="20"/>
    </w:rPr>
  </w:style>
  <w:style w:type="paragraph" w:customStyle="1" w:styleId="41">
    <w:name w:val="表格内容"/>
    <w:basedOn w:val="1"/>
    <w:link w:val="42"/>
    <w:qFormat/>
    <w:uiPriority w:val="0"/>
    <w:pPr>
      <w:adjustRightInd w:val="0"/>
      <w:snapToGrid/>
      <w:spacing w:before="40" w:after="60" w:line="200" w:lineRule="atLeast"/>
      <w:ind w:firstLine="0"/>
      <w:jc w:val="center"/>
      <w:textAlignment w:val="baseline"/>
    </w:pPr>
    <w:rPr>
      <w:kern w:val="0"/>
      <w:sz w:val="24"/>
    </w:rPr>
  </w:style>
  <w:style w:type="character" w:customStyle="1" w:styleId="42">
    <w:name w:val="表格内容 Char"/>
    <w:link w:val="41"/>
    <w:qFormat/>
    <w:uiPriority w:val="0"/>
    <w:rPr>
      <w:rFonts w:ascii="Arial" w:hAnsi="Arial" w:eastAsia="仿宋_GB2312" w:cs="Times New Roman"/>
      <w:kern w:val="0"/>
      <w:sz w:val="24"/>
      <w:szCs w:val="20"/>
    </w:rPr>
  </w:style>
  <w:style w:type="character" w:customStyle="1" w:styleId="43">
    <w:name w:val="表格标题-总体规划 Char"/>
    <w:link w:val="44"/>
    <w:qFormat/>
    <w:uiPriority w:val="0"/>
    <w:rPr>
      <w:rFonts w:ascii="黑体" w:hAnsi="黑体" w:eastAsia="黑体"/>
      <w:b/>
      <w:sz w:val="24"/>
      <w:szCs w:val="24"/>
    </w:rPr>
  </w:style>
  <w:style w:type="paragraph" w:customStyle="1" w:styleId="44">
    <w:name w:val="表格标题-总体规划"/>
    <w:basedOn w:val="1"/>
    <w:link w:val="43"/>
    <w:qFormat/>
    <w:uiPriority w:val="0"/>
    <w:pPr>
      <w:spacing w:beforeLines="50" w:afterLines="50"/>
      <w:jc w:val="center"/>
    </w:pPr>
    <w:rPr>
      <w:rFonts w:ascii="黑体" w:hAnsi="黑体" w:eastAsia="黑体" w:cstheme="minorBidi"/>
      <w:b/>
      <w:sz w:val="24"/>
      <w:szCs w:val="24"/>
    </w:rPr>
  </w:style>
  <w:style w:type="character" w:customStyle="1" w:styleId="45">
    <w:name w:val="页眉 字符"/>
    <w:basedOn w:val="28"/>
    <w:link w:val="19"/>
    <w:qFormat/>
    <w:uiPriority w:val="99"/>
    <w:rPr>
      <w:rFonts w:ascii="Arial" w:hAnsi="Arial" w:eastAsia="仿宋_GB2312" w:cs="Times New Roman"/>
      <w:sz w:val="18"/>
      <w:szCs w:val="18"/>
    </w:rPr>
  </w:style>
  <w:style w:type="character" w:customStyle="1" w:styleId="46">
    <w:name w:val="页脚 字符"/>
    <w:basedOn w:val="28"/>
    <w:link w:val="18"/>
    <w:qFormat/>
    <w:uiPriority w:val="99"/>
    <w:rPr>
      <w:rFonts w:ascii="Arial" w:hAnsi="Arial" w:eastAsia="仿宋_GB2312" w:cs="Times New Roman"/>
      <w:sz w:val="18"/>
      <w:szCs w:val="18"/>
    </w:rPr>
  </w:style>
  <w:style w:type="paragraph" w:styleId="47">
    <w:name w:val="List Paragraph"/>
    <w:basedOn w:val="1"/>
    <w:qFormat/>
    <w:uiPriority w:val="34"/>
    <w:pPr>
      <w:ind w:firstLine="420" w:firstLineChars="200"/>
    </w:pPr>
  </w:style>
  <w:style w:type="paragraph" w:styleId="48">
    <w:name w:val="No Spacing"/>
    <w:link w:val="62"/>
    <w:qFormat/>
    <w:uiPriority w:val="1"/>
    <w:pPr>
      <w:widowControl w:val="0"/>
      <w:overflowPunct w:val="0"/>
      <w:snapToGrid w:val="0"/>
      <w:ind w:firstLine="567"/>
      <w:jc w:val="both"/>
    </w:pPr>
    <w:rPr>
      <w:rFonts w:ascii="Arial" w:hAnsi="Arial" w:eastAsia="仿宋_GB2312" w:cs="Times New Roman"/>
      <w:kern w:val="2"/>
      <w:sz w:val="28"/>
      <w:szCs w:val="20"/>
      <w:lang w:val="en-US" w:eastAsia="zh-CN" w:bidi="ar-SA"/>
    </w:rPr>
  </w:style>
  <w:style w:type="character" w:customStyle="1" w:styleId="49">
    <w:name w:val="批注框文本 字符"/>
    <w:basedOn w:val="28"/>
    <w:link w:val="17"/>
    <w:semiHidden/>
    <w:qFormat/>
    <w:uiPriority w:val="99"/>
    <w:rPr>
      <w:rFonts w:ascii="Arial" w:hAnsi="Arial" w:eastAsia="仿宋_GB2312" w:cs="Times New Roman"/>
      <w:sz w:val="18"/>
      <w:szCs w:val="18"/>
    </w:rPr>
  </w:style>
  <w:style w:type="character" w:customStyle="1" w:styleId="50">
    <w:name w:val="批注文字 字符"/>
    <w:basedOn w:val="28"/>
    <w:link w:val="13"/>
    <w:semiHidden/>
    <w:qFormat/>
    <w:uiPriority w:val="99"/>
    <w:rPr>
      <w:rFonts w:ascii="Arial" w:hAnsi="Arial" w:eastAsia="仿宋_GB2312" w:cs="Times New Roman"/>
      <w:sz w:val="28"/>
      <w:szCs w:val="20"/>
    </w:rPr>
  </w:style>
  <w:style w:type="character" w:customStyle="1" w:styleId="51">
    <w:name w:val="批注主题 字符"/>
    <w:basedOn w:val="50"/>
    <w:link w:val="26"/>
    <w:semiHidden/>
    <w:qFormat/>
    <w:uiPriority w:val="99"/>
    <w:rPr>
      <w:rFonts w:ascii="Arial" w:hAnsi="Arial" w:eastAsia="仿宋_GB2312" w:cs="Times New Roman"/>
      <w:b/>
      <w:bCs/>
      <w:sz w:val="28"/>
      <w:szCs w:val="20"/>
    </w:rPr>
  </w:style>
  <w:style w:type="paragraph" w:customStyle="1" w:styleId="52">
    <w:name w:val="Revision"/>
    <w:hidden/>
    <w:semiHidden/>
    <w:qFormat/>
    <w:uiPriority w:val="99"/>
    <w:rPr>
      <w:rFonts w:ascii="Arial" w:hAnsi="Arial" w:eastAsia="仿宋_GB2312" w:cs="Times New Roman"/>
      <w:kern w:val="2"/>
      <w:sz w:val="28"/>
      <w:szCs w:val="20"/>
      <w:lang w:val="en-US" w:eastAsia="zh-CN" w:bidi="ar-SA"/>
    </w:rPr>
  </w:style>
  <w:style w:type="character" w:customStyle="1" w:styleId="53">
    <w:name w:val="文档结构图 字符"/>
    <w:basedOn w:val="28"/>
    <w:link w:val="12"/>
    <w:semiHidden/>
    <w:qFormat/>
    <w:uiPriority w:val="99"/>
    <w:rPr>
      <w:rFonts w:ascii="宋体" w:hAnsi="Arial" w:eastAsia="宋体" w:cs="Times New Roman"/>
      <w:sz w:val="18"/>
      <w:szCs w:val="18"/>
    </w:rPr>
  </w:style>
  <w:style w:type="paragraph" w:customStyle="1" w:styleId="54">
    <w:name w:val="封面-对象名称"/>
    <w:basedOn w:val="1"/>
    <w:link w:val="55"/>
    <w:qFormat/>
    <w:uiPriority w:val="0"/>
    <w:pPr>
      <w:spacing w:line="240" w:lineRule="atLeast"/>
      <w:ind w:firstLine="0"/>
      <w:jc w:val="center"/>
    </w:pPr>
    <w:rPr>
      <w:b/>
      <w:bCs/>
      <w:sz w:val="44"/>
    </w:rPr>
  </w:style>
  <w:style w:type="character" w:customStyle="1" w:styleId="55">
    <w:name w:val="封面-对象名称 字符"/>
    <w:link w:val="54"/>
    <w:qFormat/>
    <w:uiPriority w:val="0"/>
    <w:rPr>
      <w:rFonts w:ascii="Arial" w:hAnsi="Arial" w:eastAsia="仿宋_GB2312" w:cs="Times New Roman"/>
      <w:b/>
      <w:bCs/>
      <w:sz w:val="44"/>
      <w:szCs w:val="20"/>
    </w:rPr>
  </w:style>
  <w:style w:type="paragraph" w:customStyle="1" w:styleId="56">
    <w:name w:val="封面-报告标题"/>
    <w:basedOn w:val="1"/>
    <w:link w:val="57"/>
    <w:qFormat/>
    <w:uiPriority w:val="0"/>
    <w:pPr>
      <w:adjustRightInd w:val="0"/>
      <w:spacing w:before="480" w:line="240" w:lineRule="auto"/>
      <w:ind w:firstLine="0"/>
      <w:jc w:val="center"/>
    </w:pPr>
    <w:rPr>
      <w:rFonts w:eastAsia="经典粗宋简"/>
      <w:spacing w:val="20"/>
      <w:sz w:val="52"/>
    </w:rPr>
  </w:style>
  <w:style w:type="character" w:customStyle="1" w:styleId="57">
    <w:name w:val="封面-报告标题 字符"/>
    <w:link w:val="56"/>
    <w:qFormat/>
    <w:uiPriority w:val="0"/>
    <w:rPr>
      <w:rFonts w:ascii="Arial" w:hAnsi="Arial" w:eastAsia="经典粗宋简" w:cs="Times New Roman"/>
      <w:spacing w:val="20"/>
      <w:sz w:val="52"/>
      <w:szCs w:val="20"/>
    </w:rPr>
  </w:style>
  <w:style w:type="paragraph" w:customStyle="1" w:styleId="58">
    <w:name w:val="封面-编制单位"/>
    <w:basedOn w:val="1"/>
    <w:link w:val="59"/>
    <w:qFormat/>
    <w:uiPriority w:val="0"/>
    <w:pPr>
      <w:spacing w:line="600" w:lineRule="exact"/>
      <w:ind w:firstLine="0"/>
      <w:jc w:val="center"/>
    </w:pPr>
    <w:rPr>
      <w:rFonts w:eastAsia="经典粗宋简"/>
      <w:bCs/>
      <w:spacing w:val="20"/>
      <w:sz w:val="32"/>
    </w:rPr>
  </w:style>
  <w:style w:type="character" w:customStyle="1" w:styleId="59">
    <w:name w:val="封面-编制单位 字符"/>
    <w:link w:val="58"/>
    <w:qFormat/>
    <w:uiPriority w:val="0"/>
    <w:rPr>
      <w:rFonts w:ascii="Arial" w:hAnsi="Arial" w:eastAsia="经典粗宋简" w:cs="Times New Roman"/>
      <w:bCs/>
      <w:spacing w:val="20"/>
      <w:sz w:val="32"/>
      <w:szCs w:val="20"/>
    </w:rPr>
  </w:style>
  <w:style w:type="paragraph" w:customStyle="1" w:styleId="60">
    <w:name w:val="封面-编制时间"/>
    <w:basedOn w:val="1"/>
    <w:link w:val="61"/>
    <w:qFormat/>
    <w:uiPriority w:val="0"/>
    <w:pPr>
      <w:spacing w:line="600" w:lineRule="exact"/>
      <w:ind w:firstLine="0"/>
      <w:jc w:val="center"/>
    </w:pPr>
    <w:rPr>
      <w:rFonts w:eastAsia="黑体"/>
      <w:bCs/>
      <w:spacing w:val="20"/>
      <w:sz w:val="32"/>
    </w:rPr>
  </w:style>
  <w:style w:type="character" w:customStyle="1" w:styleId="61">
    <w:name w:val="封面-编制时间 字符"/>
    <w:link w:val="60"/>
    <w:qFormat/>
    <w:uiPriority w:val="0"/>
    <w:rPr>
      <w:rFonts w:ascii="Arial" w:hAnsi="Arial" w:eastAsia="黑体" w:cs="Times New Roman"/>
      <w:bCs/>
      <w:spacing w:val="20"/>
      <w:sz w:val="32"/>
      <w:szCs w:val="20"/>
    </w:rPr>
  </w:style>
  <w:style w:type="character" w:customStyle="1" w:styleId="62">
    <w:name w:val="无间隔 字符"/>
    <w:link w:val="48"/>
    <w:qFormat/>
    <w:uiPriority w:val="1"/>
    <w:rPr>
      <w:rFonts w:ascii="Arial" w:hAnsi="Arial" w:eastAsia="仿宋_GB2312" w:cs="Times New Roman"/>
      <w:sz w:val="28"/>
      <w:szCs w:val="20"/>
    </w:rPr>
  </w:style>
  <w:style w:type="paragraph" w:customStyle="1" w:styleId="63">
    <w:name w:val="说明书正文"/>
    <w:basedOn w:val="1"/>
    <w:link w:val="64"/>
    <w:qFormat/>
    <w:uiPriority w:val="0"/>
    <w:pPr>
      <w:overflowPunct/>
      <w:snapToGrid/>
      <w:spacing w:line="460" w:lineRule="exact"/>
      <w:ind w:firstLine="480" w:firstLineChars="200"/>
    </w:pPr>
    <w:rPr>
      <w:rFonts w:ascii="Times New Roman" w:hAnsi="Times New Roman" w:eastAsia="宋体"/>
      <w:sz w:val="24"/>
      <w:szCs w:val="28"/>
    </w:rPr>
  </w:style>
  <w:style w:type="character" w:customStyle="1" w:styleId="64">
    <w:name w:val="说明书正文 Char"/>
    <w:link w:val="63"/>
    <w:qFormat/>
    <w:uiPriority w:val="0"/>
    <w:rPr>
      <w:rFonts w:ascii="Times New Roman" w:hAnsi="Times New Roman" w:eastAsia="宋体" w:cs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905</Words>
  <Characters>5164</Characters>
  <Lines>43</Lines>
  <Paragraphs>12</Paragraphs>
  <TotalTime>409</TotalTime>
  <ScaleCrop>false</ScaleCrop>
  <LinksUpToDate>false</LinksUpToDate>
  <CharactersWithSpaces>6057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2022-12-16T15:59:00Z</dcterms:created>
  <dc:creator>V</dc:creator>
  <cp:lastModifiedBy>greatwall</cp:lastModifiedBy>
  <cp:lastPrinted>2023-03-13T10:16:00Z</cp:lastPrinted>
  <dcterms:modified xsi:type="dcterms:W3CDTF">2023-08-21T11:21:03Z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