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olor w:val="000000"/>
          <w:sz w:val="44"/>
          <w:szCs w:val="44"/>
        </w:rPr>
      </w:pPr>
      <w:bookmarkStart w:id="0" w:name="content"/>
      <w:bookmarkEnd w:id="0"/>
    </w:p>
    <w:p>
      <w:pPr>
        <w:spacing w:line="560" w:lineRule="exact"/>
        <w:jc w:val="center"/>
        <w:rPr>
          <w:rFonts w:ascii="方正小标宋简体" w:hAnsi="Calibri" w:eastAsia="方正小标宋简体"/>
          <w:spacing w:val="10"/>
          <w:sz w:val="44"/>
          <w:szCs w:val="44"/>
        </w:rPr>
      </w:pPr>
      <w:r>
        <w:rPr>
          <w:rFonts w:hint="eastAsia" w:ascii="方正小标宋简体" w:hAnsi="Calibri" w:eastAsia="方正小标宋简体"/>
          <w:spacing w:val="-12"/>
          <w:sz w:val="44"/>
          <w:szCs w:val="44"/>
        </w:rPr>
        <w:t>天津港保税区管委会关于印发关于天津港保税区</w:t>
      </w:r>
      <w:r>
        <w:rPr>
          <w:rFonts w:hint="eastAsia" w:ascii="方正小标宋简体" w:hAnsi="Calibri" w:eastAsia="方正小标宋简体"/>
          <w:spacing w:val="10"/>
          <w:sz w:val="44"/>
          <w:szCs w:val="44"/>
        </w:rPr>
        <w:t>支持打造特色载体推动中小企业创新创业</w:t>
      </w:r>
    </w:p>
    <w:p>
      <w:pPr>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升级专项工作的实施意见、天津港保税区</w:t>
      </w:r>
    </w:p>
    <w:p>
      <w:pPr>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支持打造特色载体推动中小企业创新</w:t>
      </w:r>
    </w:p>
    <w:p>
      <w:pPr>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创业升级项目申报指南、天津港</w:t>
      </w:r>
    </w:p>
    <w:p>
      <w:pPr>
        <w:spacing w:line="560" w:lineRule="exact"/>
        <w:jc w:val="center"/>
        <w:rPr>
          <w:rFonts w:ascii="方正小标宋简体" w:hAnsi="Calibri" w:eastAsia="方正小标宋简体"/>
          <w:spacing w:val="-30"/>
          <w:sz w:val="44"/>
          <w:szCs w:val="44"/>
        </w:rPr>
      </w:pPr>
      <w:r>
        <w:rPr>
          <w:rFonts w:hint="eastAsia" w:ascii="方正小标宋简体" w:hAnsi="Calibri" w:eastAsia="方正小标宋简体"/>
          <w:spacing w:val="-30"/>
          <w:sz w:val="44"/>
          <w:szCs w:val="44"/>
        </w:rPr>
        <w:t>保税区支持打造特色载体推动中小</w:t>
      </w:r>
    </w:p>
    <w:p>
      <w:pPr>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企业创新创业升级专项资金</w:t>
      </w:r>
    </w:p>
    <w:p>
      <w:pPr>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使用管理办法（试行）的</w:t>
      </w:r>
    </w:p>
    <w:p>
      <w:pPr>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通知</w:t>
      </w:r>
    </w:p>
    <w:p>
      <w:pPr>
        <w:spacing w:line="640" w:lineRule="exact"/>
        <w:jc w:val="center"/>
        <w:rPr>
          <w:rFonts w:ascii="方正小标宋简体" w:hAnsi="Calibri" w:eastAsia="方正小标宋简体"/>
          <w:sz w:val="44"/>
          <w:szCs w:val="44"/>
        </w:rPr>
      </w:pPr>
    </w:p>
    <w:p>
      <w:pPr>
        <w:spacing w:before="120" w:after="120" w:line="500" w:lineRule="exact"/>
        <w:rPr>
          <w:rFonts w:ascii="仿宋_GB2312" w:hAnsi="Calibri" w:eastAsia="仿宋_GB2312"/>
          <w:sz w:val="32"/>
          <w:szCs w:val="32"/>
        </w:rPr>
      </w:pPr>
      <w:r>
        <w:rPr>
          <w:rFonts w:hint="eastAsia" w:ascii="仿宋_GB2312" w:hAnsi="Calibri" w:eastAsia="仿宋_GB2312"/>
          <w:sz w:val="32"/>
          <w:szCs w:val="32"/>
        </w:rPr>
        <w:t>各有关单位</w:t>
      </w:r>
      <w:r>
        <w:rPr>
          <w:rFonts w:ascii="仿宋_GB2312" w:hAnsi="Calibri"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hAnsi="Calibri" w:eastAsia="仿宋_GB2312"/>
          <w:sz w:val="32"/>
          <w:szCs w:val="32"/>
        </w:rPr>
        <w:t>为贯彻落实国家关于加强对中小企业创新支持、提升中小企业专业化能力、促进大众创业万众创新上水平的决策部署，按照《支持打造特色载体推动中小企业创新创业升级的实施方案》、《促进大中</w:t>
      </w:r>
      <w:r>
        <w:rPr>
          <w:rFonts w:hint="eastAsia" w:ascii="仿宋_GB2312" w:eastAsia="仿宋_GB2312"/>
          <w:sz w:val="32"/>
          <w:szCs w:val="32"/>
        </w:rPr>
        <w:t>小企业融通发展三年行动计划》的指引要求，制定了《关于天津港保税区支持打造特色载体推动中小企业创新创业升级专项工作的实施意见》、《天津港保税区支持打造特色载体推动中小企业创新创业升级项目申报指南》、《天津港保税区支持打造特色载体推动中小企业创新创业升级专项资金使用管理办法（试行）》。现予以印发，请遵照执行。</w:t>
      </w:r>
    </w:p>
    <w:p>
      <w:pPr>
        <w:spacing w:line="560" w:lineRule="exact"/>
        <w:ind w:firstLine="640" w:firstLineChars="200"/>
        <w:rPr>
          <w:rFonts w:ascii="仿宋_GB2312" w:eastAsia="仿宋_GB2312"/>
          <w:sz w:val="32"/>
          <w:szCs w:val="32"/>
        </w:rPr>
      </w:pPr>
    </w:p>
    <w:p>
      <w:pPr>
        <w:spacing w:before="120" w:after="120" w:line="560" w:lineRule="exact"/>
        <w:ind w:firstLine="640"/>
        <w:rPr>
          <w:rFonts w:ascii="仿宋_GB2312" w:eastAsia="仿宋_GB2312"/>
          <w:sz w:val="32"/>
          <w:szCs w:val="32"/>
        </w:rPr>
      </w:pPr>
    </w:p>
    <w:p>
      <w:pPr>
        <w:spacing w:before="120" w:after="120" w:line="560" w:lineRule="exact"/>
        <w:ind w:firstLine="640"/>
        <w:rPr>
          <w:rFonts w:ascii="仿宋_GB2312" w:eastAsia="仿宋_GB2312"/>
          <w:sz w:val="32"/>
          <w:szCs w:val="32"/>
        </w:rPr>
      </w:pPr>
    </w:p>
    <w:p>
      <w:pPr>
        <w:spacing w:before="120" w:after="120" w:line="560" w:lineRule="exact"/>
        <w:ind w:firstLine="640"/>
        <w:rPr>
          <w:rFonts w:ascii="仿宋_GB2312" w:eastAsia="仿宋_GB2312"/>
          <w:sz w:val="32"/>
          <w:szCs w:val="32"/>
        </w:rPr>
      </w:pPr>
    </w:p>
    <w:p>
      <w:pPr>
        <w:tabs>
          <w:tab w:val="left" w:pos="7513"/>
        </w:tabs>
        <w:spacing w:before="240" w:line="560" w:lineRule="exact"/>
        <w:ind w:firstLine="5280" w:firstLineChars="1650"/>
        <w:jc w:val="left"/>
        <w:rPr>
          <w:rFonts w:ascii="仿宋_GB2312" w:eastAsia="仿宋_GB2312"/>
          <w:sz w:val="32"/>
          <w:szCs w:val="32"/>
        </w:rPr>
      </w:pPr>
      <w:r>
        <w:rPr>
          <w:rFonts w:hint="eastAsia" w:ascii="仿宋_GB2312" w:eastAsia="仿宋_GB2312"/>
          <w:sz w:val="32"/>
          <w:szCs w:val="32"/>
        </w:rPr>
        <w:t>2020年2月3日</w:t>
      </w:r>
    </w:p>
    <w:p>
      <w:pPr>
        <w:spacing w:before="120" w:after="120" w:line="560" w:lineRule="exact"/>
        <w:ind w:firstLine="64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此件主动公开</w:t>
      </w:r>
      <w:r>
        <w:rPr>
          <w:rFonts w:ascii="仿宋_GB2312" w:eastAsia="仿宋_GB2312"/>
          <w:sz w:val="32"/>
          <w:szCs w:val="32"/>
        </w:rPr>
        <w:t>）</w:t>
      </w:r>
    </w:p>
    <w:p>
      <w:pPr>
        <w:spacing w:before="120" w:after="120" w:line="560" w:lineRule="exact"/>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before="120" w:after="120"/>
        <w:ind w:firstLine="640"/>
        <w:rPr>
          <w:rFonts w:ascii="仿宋_GB2312" w:eastAsia="仿宋_GB2312"/>
          <w:sz w:val="32"/>
          <w:szCs w:val="32"/>
        </w:rPr>
      </w:pPr>
    </w:p>
    <w:p>
      <w:pPr>
        <w:spacing w:line="6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关于天津港保税区支持打造特色载体推动</w:t>
      </w:r>
    </w:p>
    <w:p>
      <w:pPr>
        <w:spacing w:line="6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中小企业创新创业升级专项工作的</w:t>
      </w:r>
    </w:p>
    <w:p>
      <w:pPr>
        <w:spacing w:line="6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实施意见</w:t>
      </w:r>
    </w:p>
    <w:p>
      <w:pPr>
        <w:spacing w:line="560" w:lineRule="exact"/>
        <w:ind w:firstLine="640" w:firstLineChars="200"/>
        <w:jc w:val="center"/>
        <w:rPr>
          <w:sz w:val="32"/>
          <w:szCs w:val="32"/>
        </w:rPr>
      </w:pP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为贯彻落实党中央、国务院关于促进中小企业健康发展的决策部署，提升中小企业专业化能力，深入推进我区双创工作在实现高质量发展过程中不断取得新进展，现根据国家工信部、科技部、财政部三部委《关于支持打造特色载体推动中小企业创新创业升级工作的通知》（财建[2018]408号）精神，结合工信部、财政部对我区打造特色载体提出的目标和工作要求，就我区支持打造特色载体推进中小企业创新创业升级（以下简称“双创升级”）专项工作提出如下实施意见。</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一、总体要求</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（一）指导思想</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全面贯彻党的十九大精神，坚持以习近平新时代中国特色社会主义思想为指引，落实推进京津冀协同发展和创新驱动发展等国家重大战略，积极响应《促进大中小企业融通发展三年行动计划》。统筹推进“五位一体”总体布局和协调推进“四个全面”战略布局，以构建大企业与中小企业协同创新、共享资源、融合发展的产业生态为目标，着力挖掘和推广融通发展模式。通过夯实融通载体、完善融通环境，发挥大企业引领支持作用，提高中小企业专业化水平，培育经济增长新动能，助力实体经济发展。</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（二）基本原则</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坚持机制创新，营造创业环境。探索形成“龙头企业+孵化”模式的创新创业机制，打造具有天津港保税区特色的大中小企业融通创新创业生态环境，推动模式创新、协同共享，凝聚创业创新发展新动能。</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坚持需求引领，激发创业活力。尊重创新创业规律，坚持需求导向，切实解决中小企业发展过程中面临的融资需求、政策支持、技术带动、公共服务等“卡脖子”问题，最大限度激发各类市场主体创新创业活力。</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坚持择优支持，促进产业联动。优先扶持符合天津港保税区主导产业发展方向的特色载体，重点聚焦战略性新兴产业领域，优选一批创新能力强、带动作用突出的特色载体和创业创新主体，采取重点突破、以点带面和辐射拉动的方式，打通行业壁垒，形成产业联动。</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坚持高端链接，实现协同共生。注重引导科技企业、特色载体、科研机构等创新创业主体链接国内外高端资源，深入推动产业链、创新链、资金链、信息链、服务链“五链”融合，实现更深层次、更宽领域和更高水平的开放协同创新。</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（三）发展目标</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实施期内，通过充分发挥区内龙头企业带动优势，打造大中小企业融通型创新创业载体，支持引导载体发挥行业龙头企业在资本、品牌和产供销体系等方面的优势，开放共享资源，促使大中小企业在设计研发、生产制造、物资采购、市场营销、资金融通、品牌嫁接等方面深度融合、相互嵌入式合作；促进中小企业特别是小微企业提升专业化能力和水平，形成可复制可推广的特色双创经验，引导中小企业在关键领域核心技术有所突破，加快形成“龙头企业+孵化”的共生共赢生态，提升龙头企业与中小企业协同创新的质量与效率。</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二、主要任务和举措</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（一）建设融通发展特色平台</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支持引导大企业围绕产业发展建设体现资源开放、共享、为中小企业服务理念的专业平台，以此挖掘和推广以平台赋能产业创新的融通发展模式。专业平台应经区级以上（含区级）相关部门认定或备案，鼓励购置硬件设备及服务设施升级等方向，用于建设融通发展特色平台。</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（二）完善服务机构配套</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支持保税区科技企业孵化器、高新技术产业培育基地以及企业投资建设的专业孵化器完善服务体系，建设双创广场，引进法律咨询、项目策划、财务服务、行政审批代理、专利代理等服务机构。</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（三）补助优质项目</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根据双创服务开展情况、获奖情况对优质项目给予补助。带动中小企业在技术、产品、业态、模式等方面的创新，从而推动中小企业加快转型升级，增强企业竞争实力，为实体经济发展质量的整体提升提供有力支撑。</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（四）支持载体运营建设</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支持载体运营建设，载体指经认定（备案）的科技企业孵化器、众创空间和公共技术服务平台。鼓励载体引入智能化、专业化服务设备，提升载体服务设施与服务能力，促进区内企业的大中小企业融通和快速发展，改善创新创业环境。</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（五）奖励优质创新创业活动</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支持载体举办双创周、创新创业大赛等双创活动，组建产业联盟、行业协会等（人工智能、新材料、高端装备制造、航空航天、生命健康等主导产业方向）。</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（六）建立综合科技服务中心</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支持在天津港保税区内建立综合科技服务中心，加快科技培育能力建设。根据企业实际需求情况，提供知识产权代理、运营、高新技术企业、科技型企业认定等咨询服务。</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（七）搭建公共服务平台</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支持在天津港保税区内搭建中小企业创新创业公共服务平台，加快服务型政府构建。通过利用云计算和大数据手段，以数据共享和整合服务为重点，线上与线下相结合，实现资源能力开放共享，以及区域载体管理与服务升级。</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三、保障措施</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（一）加强组织领导</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成立双创升级项目领导小组，由天津港保税区管委会主任担任组长，分管副主任担任副组长，财政局、审计局、科工局、双创中心、招商局等相关部门为主要成员。双创升级领导小组成员单位结合自身职责，按照本方案各项工作部署，从政策、人才、资金、项目等方面大力支持天津港保税区支持打造特色载体推动中小企业创新创业升级工作。</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（二）狠抓责任落实</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强化政策落实，贯彻执行国家支持双创主体发展的优惠政策，明确主要责任部门及成员单位工作分工，时间进度安排等内容，确保各项工作落到实处，提高工作执行效率。强化绩效评估，总结双创升级建设成效，对特色明显、示范带动性强的特色载体，助力宣传推广其先进经验，并予以大力支持，对工作进展慢、绩效不佳的特色载体，责成其限期整改。</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（三）完善创新管理</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加强政府部门、政企之间的沟通协调，研究解决双创升级中出现的问题。形成监督核查机制，定期考核管理载体项目执行情况，强化对特色明显、成效突出的优质企业宣传，提升示范带动作用。充分利用大数据、云计算等新一代信息技术，搭建公共服务平台、信息资源共享平台、创业政策发布平台等“互联网+”政务服务平台，创新管理模式，提高服务效率。</w:t>
      </w:r>
    </w:p>
    <w:p>
      <w:pPr>
        <w:spacing w:line="560" w:lineRule="exact"/>
        <w:ind w:firstLine="640" w:firstLineChars="200"/>
        <w:rPr>
          <w:rFonts w:ascii="楷体_GB2312" w:hAnsi="Calibri" w:eastAsia="楷体_GB2312"/>
          <w:sz w:val="32"/>
          <w:szCs w:val="32"/>
        </w:rPr>
      </w:pPr>
      <w:r>
        <w:rPr>
          <w:rFonts w:hint="eastAsia" w:ascii="楷体_GB2312" w:hAnsi="Calibri" w:eastAsia="楷体_GB2312"/>
          <w:sz w:val="32"/>
          <w:szCs w:val="32"/>
        </w:rPr>
        <w:t>（四）落实资金保障</w:t>
      </w:r>
    </w:p>
    <w:p>
      <w:pPr>
        <w:spacing w:line="560" w:lineRule="exact"/>
        <w:ind w:firstLine="640" w:firstLineChars="200"/>
        <w:rPr>
          <w:rFonts w:ascii="仿宋_GB2312" w:eastAsia="仿宋_GB2312"/>
          <w:sz w:val="32"/>
          <w:szCs w:val="32"/>
        </w:rPr>
      </w:pPr>
      <w:r>
        <w:rPr>
          <w:rFonts w:hint="eastAsia" w:ascii="仿宋_GB2312" w:hAnsi="Calibri" w:eastAsia="仿宋_GB2312"/>
          <w:sz w:val="32"/>
          <w:szCs w:val="32"/>
        </w:rPr>
        <w:t>加强资金预算管理，建立专项资金预算体系，统筹中央财政支持资金和本区财政资金。全面实施专项资金绩效分配制度，建立科学、公开、透明的分配决策机制，主要采取竞争立项、规划分配、据实据效等资金分配方法。加强资金使用管理，资金使用单位应对专项资金实行专款专用、专账管理；建立考核评价与资金安排挂钩机制，将考核评价结果作为下阶段预算安排和转移支付资金分配的重要依据。</w:t>
      </w: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60" w:lineRule="exact"/>
        <w:jc w:val="center"/>
        <w:rPr>
          <w:rFonts w:ascii="方正小标宋简体" w:hAnsi="Calibri" w:eastAsia="方正小标宋简体"/>
          <w:sz w:val="44"/>
          <w:szCs w:val="44"/>
        </w:rPr>
      </w:pPr>
    </w:p>
    <w:p>
      <w:pPr>
        <w:spacing w:line="6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天津港保税区支持打造特色载体推动中小</w:t>
      </w:r>
    </w:p>
    <w:p>
      <w:pPr>
        <w:spacing w:line="6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企业创新创业升级项目申报指南</w:t>
      </w:r>
    </w:p>
    <w:p>
      <w:pPr>
        <w:spacing w:line="540" w:lineRule="exact"/>
        <w:ind w:firstLine="640"/>
        <w:jc w:val="center"/>
      </w:pPr>
    </w:p>
    <w:p>
      <w:pPr>
        <w:spacing w:line="540" w:lineRule="exact"/>
        <w:ind w:firstLine="640" w:firstLineChars="200"/>
        <w:rPr>
          <w:rFonts w:ascii="仿宋_GB2312" w:eastAsia="仿宋_GB2312"/>
          <w:b/>
          <w:sz w:val="32"/>
          <w:szCs w:val="32"/>
        </w:rPr>
      </w:pPr>
      <w:r>
        <w:rPr>
          <w:rFonts w:hint="eastAsia" w:ascii="仿宋_GB2312" w:eastAsia="仿宋_GB2312"/>
          <w:sz w:val="32"/>
          <w:szCs w:val="32"/>
        </w:rPr>
        <w:t>天津港保税区（以下简称“保税区”）打造特色载体推动中小企业创新创业升级，加快构建大企业与中小企业协同创新、共享资源、融合发展的产业生态，促进中小企业专业化高质量发展，着力提高创新创业资源融通效率与质量。为加快推动双创升级工作，落实保税区《2019-2020年支持打造特色载体推动中小企业创新创业升级申报书》（以下简称“申报书”）中实施方案与绩效目标，实现双创升级工作的高效运行与规范管理，有效发挥中央财政资金的使用效益，特制定本指南。</w:t>
      </w:r>
    </w:p>
    <w:p>
      <w:pPr>
        <w:pStyle w:val="4"/>
        <w:spacing w:beforeLines="0" w:afterLines="0" w:line="540" w:lineRule="exact"/>
        <w:rPr>
          <w:rFonts w:ascii="黑体" w:hAnsi="黑体" w:eastAsia="黑体"/>
          <w:b/>
          <w:sz w:val="32"/>
        </w:rPr>
      </w:pPr>
      <w:r>
        <w:rPr>
          <w:rFonts w:hint="eastAsia" w:ascii="黑体" w:hAnsi="黑体" w:eastAsia="黑体"/>
          <w:b/>
          <w:sz w:val="32"/>
        </w:rPr>
        <w:t>第一章 双创升级建设主要任务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第一条 保税区双创升级工作，将围绕以下七大重点方向组织开展。</w:t>
      </w:r>
    </w:p>
    <w:p>
      <w:pPr>
        <w:spacing w:line="540" w:lineRule="exact"/>
        <w:ind w:left="640"/>
        <w:jc w:val="left"/>
        <w:rPr>
          <w:rFonts w:ascii="楷体_GB2312" w:hAnsi="仿宋" w:eastAsia="楷体_GB2312"/>
          <w:sz w:val="32"/>
          <w:szCs w:val="32"/>
        </w:rPr>
      </w:pPr>
      <w:r>
        <w:rPr>
          <w:rFonts w:hint="eastAsia" w:ascii="楷体_GB2312" w:hAnsi="Calibri" w:eastAsia="楷体_GB2312"/>
          <w:sz w:val="32"/>
          <w:szCs w:val="32"/>
        </w:rPr>
        <w:t>（一）</w:t>
      </w:r>
      <w:r>
        <w:rPr>
          <w:rFonts w:hint="eastAsia" w:ascii="楷体_GB2312" w:hAnsi="仿宋" w:eastAsia="楷体_GB2312"/>
          <w:sz w:val="32"/>
          <w:szCs w:val="32"/>
        </w:rPr>
        <w:t>建设融通发展特色平台</w:t>
      </w:r>
    </w:p>
    <w:p>
      <w:pPr>
        <w:pStyle w:val="8"/>
        <w:spacing w:line="540" w:lineRule="exact"/>
        <w:ind w:firstLine="640"/>
        <w:jc w:val="left"/>
        <w:rPr>
          <w:rFonts w:ascii="仿宋_GB2312" w:hAnsi="仿宋" w:eastAsia="仿宋_GB2312" w:cs="Times New Roman"/>
          <w:szCs w:val="32"/>
        </w:rPr>
      </w:pPr>
      <w:r>
        <w:rPr>
          <w:rFonts w:hint="eastAsia" w:ascii="仿宋_GB2312" w:hAnsi="仿宋" w:eastAsia="仿宋_GB2312" w:cs="Times New Roman"/>
          <w:szCs w:val="32"/>
        </w:rPr>
        <w:t>支持引导大企业围绕产业发展建设体现资源开放、共享、为中小企业服务理念的专业平台，以此挖掘和推广以平台赋能产业创新的融通发展模式。专业平台应经区级以上（含区级）相关部门认定或备案，鼓励购置硬件设备及服务设施升级等方向，用于建设融通发展特色平台。</w:t>
      </w:r>
    </w:p>
    <w:p>
      <w:pPr>
        <w:spacing w:line="540" w:lineRule="exact"/>
        <w:ind w:left="640"/>
        <w:jc w:val="left"/>
        <w:rPr>
          <w:rFonts w:ascii="楷体_GB2312" w:hAnsi="Calibri" w:eastAsia="楷体_GB2312"/>
          <w:sz w:val="32"/>
          <w:szCs w:val="32"/>
        </w:rPr>
      </w:pPr>
      <w:bookmarkStart w:id="1" w:name="_Toc6141147"/>
      <w:bookmarkStart w:id="2" w:name="_Toc5868195"/>
      <w:bookmarkStart w:id="3" w:name="_Toc8983256"/>
      <w:r>
        <w:rPr>
          <w:rFonts w:hint="eastAsia" w:ascii="楷体_GB2312" w:hAnsi="Calibri" w:eastAsia="楷体_GB2312"/>
          <w:sz w:val="32"/>
          <w:szCs w:val="32"/>
        </w:rPr>
        <w:t>（二）完善服务机构配套</w:t>
      </w:r>
      <w:bookmarkEnd w:id="1"/>
      <w:bookmarkEnd w:id="2"/>
      <w:bookmarkEnd w:id="3"/>
    </w:p>
    <w:p>
      <w:pPr>
        <w:pStyle w:val="8"/>
        <w:spacing w:line="580" w:lineRule="exact"/>
        <w:ind w:firstLine="640"/>
        <w:jc w:val="left"/>
        <w:rPr>
          <w:rFonts w:ascii="仿宋_GB2312" w:hAnsi="仿宋" w:eastAsia="仿宋_GB2312" w:cs="Times New Roman"/>
          <w:szCs w:val="32"/>
        </w:rPr>
      </w:pPr>
      <w:r>
        <w:rPr>
          <w:rFonts w:hint="eastAsia" w:ascii="仿宋_GB2312" w:hAnsi="仿宋" w:eastAsia="仿宋_GB2312" w:cs="Times New Roman"/>
          <w:szCs w:val="32"/>
        </w:rPr>
        <w:t>支持保税区科技企业孵化器、高新技术产业培育基地以及企业投资建设的专业孵化器完善服务体系，建设双创广场，引进法律咨询、项目策划、财务服务、行政审批代理、专利代理等服务机构。</w:t>
      </w:r>
    </w:p>
    <w:p>
      <w:pPr>
        <w:spacing w:line="580" w:lineRule="exact"/>
        <w:ind w:left="640"/>
        <w:jc w:val="left"/>
        <w:rPr>
          <w:rFonts w:ascii="楷体_GB2312" w:hAnsi="Calibri" w:eastAsia="楷体_GB2312"/>
          <w:sz w:val="32"/>
          <w:szCs w:val="32"/>
        </w:rPr>
      </w:pPr>
      <w:bookmarkStart w:id="4" w:name="_Toc6141148"/>
      <w:bookmarkStart w:id="5" w:name="_Toc8983257"/>
      <w:bookmarkStart w:id="6" w:name="_Toc5868196"/>
      <w:r>
        <w:rPr>
          <w:rFonts w:hint="eastAsia" w:ascii="楷体_GB2312" w:hAnsi="Calibri" w:eastAsia="楷体_GB2312"/>
          <w:sz w:val="32"/>
          <w:szCs w:val="32"/>
        </w:rPr>
        <w:t>（三）补助优质项目</w:t>
      </w:r>
      <w:bookmarkEnd w:id="4"/>
      <w:bookmarkEnd w:id="5"/>
      <w:bookmarkEnd w:id="6"/>
    </w:p>
    <w:p>
      <w:pPr>
        <w:pStyle w:val="8"/>
        <w:spacing w:line="580" w:lineRule="exact"/>
        <w:ind w:firstLine="640"/>
        <w:jc w:val="left"/>
        <w:rPr>
          <w:rFonts w:ascii="仿宋_GB2312" w:hAnsi="仿宋" w:eastAsia="仿宋_GB2312" w:cs="Times New Roman"/>
          <w:szCs w:val="32"/>
        </w:rPr>
      </w:pPr>
      <w:r>
        <w:rPr>
          <w:rFonts w:hint="eastAsia" w:ascii="仿宋_GB2312" w:hAnsi="仿宋" w:eastAsia="仿宋_GB2312" w:cs="Times New Roman"/>
          <w:szCs w:val="32"/>
        </w:rPr>
        <w:t>根据双创服务开展情况、获奖情况对优质项目给予补助。带动中小企业在技术、产品、业态、模式等方面的创新，从而推动中小企业加快转型升级，增强企业竞争实力，为实体经济发展质量的整体提升提供有力支撑。</w:t>
      </w:r>
    </w:p>
    <w:p>
      <w:pPr>
        <w:spacing w:line="580" w:lineRule="exact"/>
        <w:ind w:left="640"/>
        <w:jc w:val="left"/>
        <w:rPr>
          <w:rFonts w:ascii="楷体_GB2312" w:hAnsi="Calibri" w:eastAsia="楷体_GB2312"/>
          <w:sz w:val="32"/>
          <w:szCs w:val="32"/>
        </w:rPr>
      </w:pPr>
      <w:r>
        <w:rPr>
          <w:rFonts w:hint="eastAsia" w:ascii="楷体_GB2312" w:hAnsi="Calibri" w:eastAsia="楷体_GB2312"/>
          <w:sz w:val="32"/>
          <w:szCs w:val="32"/>
        </w:rPr>
        <w:t>（四）支持载体运营建设</w:t>
      </w:r>
    </w:p>
    <w:p>
      <w:pPr>
        <w:pStyle w:val="8"/>
        <w:spacing w:line="580" w:lineRule="exact"/>
        <w:ind w:firstLine="640"/>
        <w:jc w:val="left"/>
        <w:rPr>
          <w:rFonts w:ascii="仿宋_GB2312" w:hAnsi="仿宋" w:eastAsia="仿宋_GB2312" w:cs="Times New Roman"/>
          <w:szCs w:val="32"/>
        </w:rPr>
      </w:pPr>
      <w:r>
        <w:rPr>
          <w:rFonts w:hint="eastAsia" w:ascii="仿宋_GB2312" w:hAnsi="仿宋" w:eastAsia="仿宋_GB2312" w:cs="Times New Roman"/>
          <w:szCs w:val="32"/>
        </w:rPr>
        <w:t>支持载体运营建设，载体指经认定（备案）的科技企业孵化器、众创空间和公共技术服务平台。鼓励载体引入智能化、专业化服务设备，提升载体服务设施与服务能力，促进区内企业的大中小企业融通和快速发展，改善创新创业环境。</w:t>
      </w:r>
    </w:p>
    <w:p>
      <w:pPr>
        <w:spacing w:line="580" w:lineRule="exact"/>
        <w:ind w:left="640"/>
        <w:jc w:val="left"/>
        <w:rPr>
          <w:rFonts w:ascii="楷体_GB2312" w:hAnsi="Calibri" w:eastAsia="楷体_GB2312"/>
          <w:sz w:val="32"/>
          <w:szCs w:val="32"/>
        </w:rPr>
      </w:pPr>
      <w:r>
        <w:rPr>
          <w:rFonts w:hint="eastAsia" w:ascii="楷体_GB2312" w:hAnsi="Calibri" w:eastAsia="楷体_GB2312"/>
          <w:sz w:val="32"/>
          <w:szCs w:val="32"/>
        </w:rPr>
        <w:t>（五）奖励优质创新创业活动</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支持载体举办双创周、创新创业大赛等双创活动，组建产业联盟、行业协会等（人工智能、新材料、高端装备制造、航空航天、生命健康等主导产业方向）。</w:t>
      </w:r>
    </w:p>
    <w:p>
      <w:pPr>
        <w:spacing w:line="580" w:lineRule="exact"/>
        <w:ind w:left="640"/>
        <w:jc w:val="left"/>
        <w:rPr>
          <w:rFonts w:ascii="楷体_GB2312" w:hAnsi="Calibri" w:eastAsia="楷体_GB2312"/>
          <w:sz w:val="32"/>
          <w:szCs w:val="32"/>
        </w:rPr>
      </w:pPr>
      <w:r>
        <w:rPr>
          <w:rFonts w:hint="eastAsia" w:ascii="楷体_GB2312" w:hAnsi="Calibri" w:eastAsia="楷体_GB2312"/>
          <w:sz w:val="32"/>
          <w:szCs w:val="32"/>
        </w:rPr>
        <w:t>（六）建立综合科技服务中心</w:t>
      </w:r>
    </w:p>
    <w:p>
      <w:pPr>
        <w:pStyle w:val="8"/>
        <w:spacing w:line="580" w:lineRule="exact"/>
        <w:ind w:firstLine="640"/>
        <w:jc w:val="left"/>
        <w:rPr>
          <w:rFonts w:ascii="仿宋_GB2312" w:hAnsi="仿宋" w:eastAsia="仿宋_GB2312" w:cs="Times New Roman"/>
          <w:szCs w:val="32"/>
        </w:rPr>
      </w:pPr>
      <w:r>
        <w:rPr>
          <w:rFonts w:hint="eastAsia" w:ascii="仿宋_GB2312" w:hAnsi="仿宋" w:eastAsia="仿宋_GB2312" w:cs="Times New Roman"/>
          <w:szCs w:val="32"/>
        </w:rPr>
        <w:t>支持建立综合科技服务中心，加快科技培育能力建设。根据企业实际需求情况，提供知识产权代理、运营、高新技术企业、科技型企业认定等咨询服务。</w:t>
      </w:r>
    </w:p>
    <w:p>
      <w:pPr>
        <w:spacing w:line="580" w:lineRule="exact"/>
        <w:ind w:left="640"/>
        <w:jc w:val="left"/>
        <w:rPr>
          <w:rFonts w:ascii="楷体_GB2312" w:hAnsi="Calibri" w:eastAsia="楷体_GB2312"/>
          <w:sz w:val="32"/>
          <w:szCs w:val="32"/>
        </w:rPr>
      </w:pPr>
      <w:r>
        <w:rPr>
          <w:rFonts w:hint="eastAsia" w:ascii="楷体_GB2312" w:hAnsi="Calibri" w:eastAsia="楷体_GB2312"/>
          <w:sz w:val="32"/>
          <w:szCs w:val="32"/>
        </w:rPr>
        <w:t>（七）搭建公共服务平台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搭建中小企业创新创业公共服务平台，加快服务型政府构建。通过利用云计算和大数据手段，以数据共享和整合服务为重点，线上与线下相结合，实现资源能力开放共享，以及区域载体管理与服务升级。</w:t>
      </w:r>
    </w:p>
    <w:p>
      <w:pPr>
        <w:pStyle w:val="4"/>
        <w:spacing w:beforeLines="0" w:afterLines="0"/>
        <w:rPr>
          <w:rFonts w:ascii="黑体" w:hAnsi="黑体" w:eastAsia="黑体"/>
          <w:b/>
          <w:sz w:val="32"/>
        </w:rPr>
      </w:pPr>
      <w:r>
        <w:rPr>
          <w:rFonts w:hint="eastAsia" w:ascii="黑体" w:hAnsi="黑体" w:eastAsia="黑体"/>
          <w:b/>
          <w:sz w:val="32"/>
        </w:rPr>
        <w:t>第二章 双创升级工作组织运行管理</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保税区采取以直接补助、绩效奖励、购买服务的形式，支持特色载体在七大重点方向开展工作，如下：</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直接补助：建设融通发展特色平台、完善服务机构配套、补助优质项目；</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绩效奖励：支持载体运营建设、奖励优质创新创业活动；</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政府购买服务：建立综合科技服务中心、搭建公共服务平台。</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申请专项资金支持的载体，需填写以下材料：</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附件1：载体基本信息表；</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附件2：承诺书。</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依据载体具体建设方向，还需提交相应附件材料。（详见以下内容）。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第二条 </w:t>
      </w:r>
      <w:r>
        <w:rPr>
          <w:rFonts w:hint="eastAsia" w:ascii="仿宋_GB2312" w:hAnsi="仿宋" w:eastAsia="仿宋_GB2312"/>
          <w:sz w:val="32"/>
          <w:szCs w:val="32"/>
        </w:rPr>
        <w:t>建设融通发展特色平台</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为规范项目管理和提供有效服务，确保相关载体按照实施方案如期完成专业平台建设任务，特制定如下措施：</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项目立项。载体提交项目相关立项材料，说明载体现有创新创业工作开展情况，细化项目实施内容，明确绩效目标及资金预算。工作小组负责与载体项目负责人对接，做好具体协调、组织与服务工作，汇总相关材料并报领导小组审议、备案。</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载体所需提交的材料为：</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附件3：支持特色载体专项平台建设（直接补助），具体包括：</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载体双创升级发展计划（见附件3-1）；</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项目立项书（见附件3-2）；</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项目资金预算表（见附件3-3） 。</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项目运行监督管控。工作小组将对载体项目进展及实施情况进行监督指导。载体根据要求按季度定期报送项目工作进展、资金支出、成效、下一步计划、数据指标统计等材料，由工作小组汇总材料提交领导小组审核备案。保税区将基于以上材料对载体进行绩效考核。</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载体所需提交的材料为：</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附件4：载体季度报送材料，具体包括：</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绩效数据指标报送表（季报）（见附件4-1）</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项目工作总结（季报）（见附件4-2）</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项目验收。项目完成建设，载体向领导小组提交项目结项申请，保税区领导小组将组织专家对载体项目开展结项验收。验收内容包括：项目立项书所确定的建设目标、指标完成情况、经费执行情况。验收方式包括：书面评审、现场考察和汇报答辩等形式。项目结项材料包括：项目结项报告、经费支出情况、验收报告，报有关部门备案。</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对于验收未通过的项目，保税区有权对拨付资金比例给予保留与调整，并要求限期整改，重新验收直至合格。对于项目责令整改仍未通过验收的，保税区有权追回拨付资金，相关载体承担相应责任。</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载体原则上不得改变经费预算、建设内容和绩效目标，并积极配合过程管理与监督工作。如因特殊情况需修正项目内容或预算，载体需提出书面申请并将更改内容报天津港保税区管委会，经批准后方可调整方案。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第三条 完善服务机构配套</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保税区各载体可按照其自身特色优势，申请资金支持，依据提交材料情况，择优予以资金支持。</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载体所需提交的材料为：</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附件5：特色载体双创升级资金申请表（直接补助）。</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第四条 </w:t>
      </w:r>
      <w:r>
        <w:rPr>
          <w:rFonts w:hint="eastAsia" w:ascii="仿宋_GB2312" w:hAnsi="仿宋" w:eastAsia="仿宋_GB2312"/>
          <w:bCs/>
          <w:sz w:val="32"/>
          <w:szCs w:val="32"/>
        </w:rPr>
        <w:t>补助优</w:t>
      </w:r>
      <w:r>
        <w:rPr>
          <w:rFonts w:hint="eastAsia" w:ascii="仿宋_GB2312" w:hAnsi="仿宋" w:eastAsia="仿宋_GB2312"/>
          <w:sz w:val="32"/>
          <w:szCs w:val="32"/>
        </w:rPr>
        <w:t>质项目</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保税区各载体可按照其自身特色优势，申请资金支持，依据提交材料情况，择优予以资金支持。</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载体所需提交的材料为：</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附件5：特色载体双创升级资金申请表（直接补助）。</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第五条 支持载体运营建设</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依据保税区《天津港保税区支持打造特色载体推动中小企业创新创业升级专项资金实施细则》评价载体绩效，对能够凝聚创新能力、集中创新资源、活跃创新氛围的优秀载体，依据以上管理办法给予一定资金奖励。</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保税区各载体可按照其自身特色优势，申请资金支持，所需提交的材料为：</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附件6：特色载体双创升级资金申请表（绩效奖励）。</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第六条 </w:t>
      </w:r>
      <w:r>
        <w:rPr>
          <w:rFonts w:hint="eastAsia" w:ascii="仿宋_GB2312" w:hAnsi="仿宋" w:eastAsia="仿宋_GB2312"/>
          <w:bCs/>
          <w:sz w:val="32"/>
          <w:szCs w:val="32"/>
        </w:rPr>
        <w:t>奖励优质</w:t>
      </w:r>
      <w:r>
        <w:rPr>
          <w:rFonts w:hint="eastAsia" w:ascii="仿宋_GB2312" w:hAnsi="仿宋" w:eastAsia="仿宋_GB2312"/>
          <w:sz w:val="32"/>
          <w:szCs w:val="32"/>
        </w:rPr>
        <w:t>创新创业活动</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保税区各载体可按照其自身特色优势，申请资金支持，依据提交材料情况，择优予以资金支持。所需提交的材料为：</w:t>
      </w:r>
    </w:p>
    <w:p>
      <w:pPr>
        <w:spacing w:line="600" w:lineRule="exact"/>
        <w:ind w:firstLine="640" w:firstLineChars="200"/>
        <w:jc w:val="left"/>
        <w:rPr>
          <w:rFonts w:ascii="仿宋_GB2312" w:hAnsi="仿宋" w:eastAsia="仿宋_GB2312"/>
          <w:b/>
          <w:sz w:val="32"/>
          <w:szCs w:val="32"/>
        </w:rPr>
      </w:pPr>
      <w:r>
        <w:rPr>
          <w:rFonts w:hint="eastAsia" w:ascii="仿宋_GB2312" w:hAnsi="仿宋" w:eastAsia="仿宋_GB2312"/>
          <w:sz w:val="32"/>
          <w:szCs w:val="32"/>
        </w:rPr>
        <w:t>附件6：特色载体双创升级资金申请表（绩效奖励）。</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第七条 建立综合科技服务中心</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载体需按照实施方案中综合科技服务中心建设内容及资金预算,编制提交项目任务书。根据任务书内容及完成情况，对项目进行验收。</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载体所需提交的材料为：</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附件7：项目任务书（政府购买服务）。</w:t>
      </w:r>
    </w:p>
    <w:p>
      <w:pPr>
        <w:spacing w:line="60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 xml:space="preserve">第八条 </w:t>
      </w:r>
      <w:r>
        <w:rPr>
          <w:rFonts w:hint="eastAsia" w:ascii="仿宋_GB2312" w:hAnsi="仿宋" w:eastAsia="仿宋_GB2312"/>
          <w:sz w:val="32"/>
          <w:szCs w:val="32"/>
        </w:rPr>
        <w:t>搭建公共服务平台</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载体需按照实施方案中公共服务平台建设内容及资金预算,编制提交项目任务书。根据任务书内容及完成情况，对项目进行验收。</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载体所需提交的材料为：</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附件7：项目任务书（政府购买服务）。</w:t>
      </w:r>
    </w:p>
    <w:p>
      <w:pPr>
        <w:pStyle w:val="4"/>
        <w:spacing w:beforeLines="0" w:afterLines="0" w:line="600" w:lineRule="exact"/>
        <w:rPr>
          <w:rFonts w:ascii="黑体" w:hAnsi="黑体" w:eastAsia="黑体"/>
          <w:b/>
          <w:sz w:val="32"/>
        </w:rPr>
      </w:pPr>
      <w:r>
        <w:rPr>
          <w:rFonts w:hint="eastAsia" w:ascii="黑体" w:hAnsi="黑体" w:eastAsia="黑体"/>
          <w:b/>
          <w:sz w:val="32"/>
        </w:rPr>
        <w:t>第三章 职责与分工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第九条 保税区成立双创升级建设领导小组（以下简称“领导小组”），总体负责双创升级建设战略方向，以及重点项目立项、结项验收、预算决算等重大事项的确定和审批。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第十条 保税区成立特色载体工作小组（以下简称“工作小组”），对支持的载体项目进行规范化管理和跟踪评估。包括：载体调研、资金使用跟踪、绩效进度跟踪、考核与监督管理、评估及整改措施、材料提交上报等工作，确保项目建设顺利推进，保证资金专款专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第十一条 载体需配合保税区组织的双创工作调研、数据资料统计等工作，并提供双创实施内容、成效及资金预算与支出等必要性的文件和证明材料，用于绩效考评，并予以材料备案。</w:t>
      </w:r>
    </w:p>
    <w:p>
      <w:pPr>
        <w:pStyle w:val="4"/>
        <w:spacing w:beforeLines="0" w:afterLines="0"/>
        <w:rPr>
          <w:rFonts w:ascii="黑体" w:hAnsi="黑体" w:eastAsia="黑体"/>
          <w:b/>
          <w:sz w:val="32"/>
        </w:rPr>
      </w:pPr>
      <w:r>
        <w:rPr>
          <w:rFonts w:hint="eastAsia" w:ascii="黑体" w:hAnsi="黑体" w:eastAsia="黑体"/>
          <w:b/>
          <w:sz w:val="32"/>
        </w:rPr>
        <w:t>第四章 保税区特色载体的总体绩效考核评估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第十二条 申报载体提供项目申报材料和证明材料。纸质版材料统一用A4纸单面打印或复印，左侧装订成册，一式三份，报送工作小组，电子版材料发送至“双创升级”工作</w:t>
      </w:r>
      <w:r>
        <w:rPr>
          <w:rFonts w:hint="eastAsia" w:ascii="仿宋_GB2312" w:hAnsi="仿宋" w:eastAsia="仿宋_GB2312"/>
          <w:sz w:val="32"/>
          <w:szCs w:val="32"/>
        </w:rPr>
        <w:t>邮箱（电子邮箱：houlf@adm.tjftz.gov.cn）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第十三条 保税区双创工作小组调研区内特色载体情况，统计相关数据及材料，填写大中小融通型特色载体的绩效目标表（按季度、半年、年度指标如期填写），定期报送国家。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本文件未尽事宜由工作小组另行补充。</w:t>
      </w:r>
    </w:p>
    <w:p>
      <w:pPr>
        <w:spacing w:line="560" w:lineRule="exact"/>
        <w:jc w:val="left"/>
        <w:rPr>
          <w:rFonts w:ascii="黑体" w:hAnsi="黑体" w:eastAsia="黑体"/>
          <w:sz w:val="32"/>
          <w:szCs w:val="32"/>
        </w:rPr>
      </w:pPr>
      <w:r>
        <w:rPr>
          <w:rFonts w:hint="eastAsia" w:ascii="仿宋_GB2312" w:hAnsi="仿宋" w:eastAsia="仿宋_GB2312"/>
          <w:sz w:val="32"/>
          <w:szCs w:val="32"/>
        </w:rPr>
        <w:br w:type="page"/>
      </w:r>
      <w:r>
        <w:rPr>
          <w:rFonts w:hint="eastAsia" w:ascii="黑体" w:hAnsi="黑体" w:eastAsia="黑体"/>
          <w:sz w:val="32"/>
          <w:szCs w:val="32"/>
        </w:rPr>
        <w:t>附件1 载体基本信息表</w:t>
      </w:r>
    </w:p>
    <w:p>
      <w:pPr>
        <w:spacing w:line="720" w:lineRule="exact"/>
        <w:ind w:firstLine="1040"/>
        <w:jc w:val="center"/>
        <w:rPr>
          <w:rFonts w:ascii="黑体" w:hAnsi="黑体" w:eastAsia="黑体"/>
          <w:sz w:val="52"/>
          <w:szCs w:val="44"/>
        </w:rPr>
      </w:pPr>
    </w:p>
    <w:p>
      <w:pPr>
        <w:spacing w:line="720" w:lineRule="exact"/>
        <w:jc w:val="center"/>
        <w:rPr>
          <w:rFonts w:ascii="黑体" w:hAnsi="黑体" w:eastAsia="黑体"/>
          <w:sz w:val="52"/>
          <w:szCs w:val="44"/>
        </w:rPr>
      </w:pPr>
      <w:r>
        <w:rPr>
          <w:rFonts w:hint="eastAsia" w:ascii="黑体" w:hAnsi="黑体" w:eastAsia="黑体"/>
          <w:sz w:val="52"/>
          <w:szCs w:val="44"/>
        </w:rPr>
        <w:t>天津港保税区打造特色载体</w:t>
      </w:r>
    </w:p>
    <w:p>
      <w:pPr>
        <w:spacing w:line="720" w:lineRule="exact"/>
        <w:jc w:val="center"/>
        <w:rPr>
          <w:rFonts w:ascii="黑体" w:hAnsi="黑体" w:eastAsia="黑体"/>
          <w:sz w:val="52"/>
          <w:szCs w:val="44"/>
        </w:rPr>
      </w:pPr>
      <w:r>
        <w:rPr>
          <w:rFonts w:hint="eastAsia" w:ascii="黑体" w:hAnsi="黑体" w:eastAsia="黑体"/>
          <w:sz w:val="52"/>
          <w:szCs w:val="44"/>
        </w:rPr>
        <w:t>推动中小企业创新创业升级项目</w:t>
      </w:r>
    </w:p>
    <w:p>
      <w:pPr>
        <w:spacing w:line="900" w:lineRule="exact"/>
        <w:ind w:firstLine="640"/>
        <w:jc w:val="left"/>
        <w:rPr>
          <w:rFonts w:ascii="仿宋_GB2312" w:hAnsi="等线" w:eastAsia="仿宋_GB2312"/>
          <w:szCs w:val="30"/>
        </w:rPr>
      </w:pPr>
    </w:p>
    <w:p>
      <w:pPr>
        <w:spacing w:line="900" w:lineRule="exact"/>
        <w:ind w:firstLine="640"/>
        <w:jc w:val="left"/>
        <w:rPr>
          <w:rFonts w:ascii="仿宋_GB2312" w:hAnsi="等线" w:eastAsia="仿宋_GB2312"/>
          <w:szCs w:val="30"/>
        </w:rPr>
      </w:pPr>
    </w:p>
    <w:p>
      <w:pPr>
        <w:spacing w:line="900" w:lineRule="exact"/>
        <w:ind w:firstLine="630" w:firstLineChars="300"/>
        <w:jc w:val="left"/>
        <w:rPr>
          <w:rFonts w:ascii="仿宋_GB2312" w:hAnsi="等线" w:eastAsia="仿宋_GB2312"/>
          <w:szCs w:val="30"/>
        </w:rPr>
      </w:pPr>
    </w:p>
    <w:p>
      <w:pPr>
        <w:spacing w:line="720" w:lineRule="exact"/>
        <w:ind w:left="991" w:leftChars="472"/>
        <w:jc w:val="left"/>
        <w:rPr>
          <w:rFonts w:ascii="黑体" w:hAnsi="黑体" w:eastAsia="黑体"/>
          <w:sz w:val="30"/>
          <w:szCs w:val="30"/>
          <w:u w:val="single"/>
        </w:rPr>
      </w:pPr>
      <w:r>
        <w:rPr>
          <w:rFonts w:ascii="等线" w:hAnsi="等线" w:eastAsia="等线"/>
          <w:sz w:val="32"/>
          <w:szCs w:val="22"/>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160020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3.75pt;margin-top:12.6pt;height:0pt;width:0.05pt;z-index:251659264;mso-width-relative:page;mso-height-relative:page;" filled="f" stroked="t" coordsize="21600,21600" o:allowincell="f" o:gfxdata="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R9F91QAAAAkB&#10;AAAPAAAAAAAAAAEAIAAAACIAAABkcnMvZG93bnJldi54bWxQSwECFAAUAAAACACHTuJAnjPQuOUB&#10;AAC0AwAADgAAAAAAAAABACAAAAAkAQAAZHJzL2Uyb0RvYy54bWxQSwUGAAAAAAYABgBZAQAAewUA&#10;AAAA&#10;">
                <v:fill on="f" focussize="0,0"/>
                <v:stroke color="#000000" joinstyle="round"/>
                <v:imagedata o:title=""/>
                <o:lock v:ext="edit" aspectratio="f"/>
              </v:line>
            </w:pict>
          </mc:Fallback>
        </mc:AlternateContent>
      </w:r>
      <w:r>
        <w:rPr>
          <w:rFonts w:hint="eastAsia" w:ascii="黑体" w:hAnsi="黑体" w:eastAsia="黑体"/>
          <w:sz w:val="30"/>
          <w:szCs w:val="30"/>
        </w:rPr>
        <w:t>申报载体：</w:t>
      </w:r>
    </w:p>
    <w:p>
      <w:pPr>
        <w:spacing w:line="720" w:lineRule="exact"/>
        <w:ind w:left="991" w:leftChars="472"/>
        <w:jc w:val="left"/>
        <w:rPr>
          <w:rFonts w:ascii="黑体" w:hAnsi="黑体" w:eastAsia="黑体"/>
          <w:sz w:val="30"/>
          <w:szCs w:val="30"/>
          <w:u w:val="single"/>
        </w:rPr>
      </w:pPr>
      <w:r>
        <w:rPr>
          <w:rFonts w:hint="eastAsia" w:ascii="黑体" w:hAnsi="黑体" w:eastAsia="黑体"/>
          <w:sz w:val="30"/>
          <w:szCs w:val="30"/>
        </w:rPr>
        <w:t>运营单位：</w:t>
      </w:r>
    </w:p>
    <w:p>
      <w:pPr>
        <w:spacing w:line="720" w:lineRule="exact"/>
        <w:ind w:left="991" w:leftChars="472"/>
        <w:jc w:val="left"/>
        <w:rPr>
          <w:rFonts w:ascii="黑体" w:hAnsi="黑体" w:eastAsia="黑体"/>
          <w:sz w:val="30"/>
          <w:szCs w:val="30"/>
        </w:rPr>
      </w:pPr>
      <w:r>
        <w:rPr>
          <w:rFonts w:hint="eastAsia" w:ascii="黑体" w:hAnsi="黑体" w:eastAsia="黑体"/>
          <w:sz w:val="30"/>
          <w:szCs w:val="30"/>
        </w:rPr>
        <w:t>载体联系人：</w:t>
      </w:r>
    </w:p>
    <w:p>
      <w:pPr>
        <w:spacing w:line="720" w:lineRule="exact"/>
        <w:ind w:left="991" w:leftChars="472"/>
        <w:jc w:val="left"/>
        <w:rPr>
          <w:rFonts w:ascii="黑体" w:hAnsi="黑体" w:eastAsia="黑体"/>
          <w:sz w:val="30"/>
          <w:szCs w:val="30"/>
          <w:u w:val="single"/>
        </w:rPr>
      </w:pPr>
      <w:r>
        <w:rPr>
          <w:rFonts w:hint="eastAsia" w:ascii="黑体" w:hAnsi="黑体" w:eastAsia="黑体"/>
          <w:sz w:val="30"/>
          <w:szCs w:val="30"/>
        </w:rPr>
        <w:t>联系电话：</w:t>
      </w:r>
    </w:p>
    <w:p>
      <w:pPr>
        <w:spacing w:line="720" w:lineRule="exact"/>
        <w:ind w:left="991" w:leftChars="472"/>
        <w:jc w:val="left"/>
        <w:rPr>
          <w:rFonts w:ascii="黑体" w:hAnsi="黑体" w:eastAsia="黑体"/>
          <w:sz w:val="30"/>
          <w:szCs w:val="30"/>
        </w:rPr>
      </w:pPr>
      <w:r>
        <w:rPr>
          <w:rFonts w:hint="eastAsia" w:ascii="黑体" w:hAnsi="黑体" w:eastAsia="黑体"/>
          <w:sz w:val="30"/>
          <w:szCs w:val="30"/>
        </w:rPr>
        <w:t>申请日期：年月日</w:t>
      </w:r>
    </w:p>
    <w:p>
      <w:pPr>
        <w:jc w:val="left"/>
        <w:rPr>
          <w:rFonts w:ascii="仿宋_GB2312" w:hAnsi="黑体" w:eastAsia="仿宋_GB2312"/>
          <w:sz w:val="28"/>
          <w:szCs w:val="28"/>
        </w:rPr>
      </w:pPr>
      <w:r>
        <w:rPr>
          <w:rFonts w:ascii="仿宋_GB2312" w:hAnsi="黑体" w:eastAsia="仿宋_GB2312"/>
          <w:b/>
          <w:bCs/>
          <w:sz w:val="28"/>
          <w:szCs w:val="28"/>
        </w:rPr>
        <w:br w:type="page"/>
      </w:r>
    </w:p>
    <w:p>
      <w:pPr>
        <w:ind w:firstLine="640"/>
        <w:jc w:val="left"/>
        <w:rPr>
          <w:rFonts w:ascii="仿宋_GB2312" w:hAnsi="等线" w:eastAsia="仿宋_GB2312"/>
          <w:szCs w:val="22"/>
        </w:rPr>
      </w:pP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777"/>
        <w:gridCol w:w="176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613" w:type="dxa"/>
            <w:gridSpan w:val="4"/>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sz w:val="24"/>
              </w:rPr>
              <w:t>载体基本信息表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载体名称</w:t>
            </w:r>
          </w:p>
        </w:tc>
        <w:tc>
          <w:tcPr>
            <w:tcW w:w="1777" w:type="dxa"/>
            <w:noWrap w:val="0"/>
            <w:vAlign w:val="center"/>
          </w:tcPr>
          <w:p>
            <w:pPr>
              <w:spacing w:line="360" w:lineRule="exact"/>
              <w:rPr>
                <w:rFonts w:ascii="仿宋_GB2312" w:hAnsi="仿宋" w:eastAsia="仿宋_GB2312"/>
                <w:kern w:val="0"/>
                <w:sz w:val="24"/>
              </w:rPr>
            </w:pPr>
          </w:p>
        </w:tc>
        <w:tc>
          <w:tcPr>
            <w:tcW w:w="176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载体属性</w:t>
            </w:r>
          </w:p>
        </w:tc>
        <w:tc>
          <w:tcPr>
            <w:tcW w:w="2693" w:type="dxa"/>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主要运营管理机构</w:t>
            </w:r>
          </w:p>
        </w:tc>
        <w:tc>
          <w:tcPr>
            <w:tcW w:w="1777" w:type="dxa"/>
            <w:noWrap w:val="0"/>
            <w:vAlign w:val="center"/>
          </w:tcPr>
          <w:p>
            <w:pPr>
              <w:spacing w:line="360" w:lineRule="exact"/>
              <w:rPr>
                <w:rFonts w:ascii="仿宋_GB2312" w:hAnsi="仿宋" w:eastAsia="仿宋_GB2312"/>
                <w:kern w:val="0"/>
                <w:sz w:val="24"/>
              </w:rPr>
            </w:pPr>
          </w:p>
        </w:tc>
        <w:tc>
          <w:tcPr>
            <w:tcW w:w="176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主要运营管理机构性质</w:t>
            </w:r>
          </w:p>
        </w:tc>
        <w:tc>
          <w:tcPr>
            <w:tcW w:w="2693" w:type="dxa"/>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主要服务领域</w:t>
            </w:r>
          </w:p>
        </w:tc>
        <w:tc>
          <w:tcPr>
            <w:tcW w:w="1777" w:type="dxa"/>
            <w:noWrap w:val="0"/>
            <w:vAlign w:val="center"/>
          </w:tcPr>
          <w:p>
            <w:pPr>
              <w:spacing w:line="360" w:lineRule="exact"/>
              <w:rPr>
                <w:rFonts w:ascii="仿宋_GB2312" w:hAnsi="仿宋" w:eastAsia="仿宋_GB2312"/>
                <w:kern w:val="0"/>
                <w:sz w:val="24"/>
              </w:rPr>
            </w:pPr>
          </w:p>
        </w:tc>
        <w:tc>
          <w:tcPr>
            <w:tcW w:w="176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注册时间</w:t>
            </w:r>
          </w:p>
        </w:tc>
        <w:tc>
          <w:tcPr>
            <w:tcW w:w="2693" w:type="dxa"/>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法人代表</w:t>
            </w:r>
          </w:p>
        </w:tc>
        <w:tc>
          <w:tcPr>
            <w:tcW w:w="1777" w:type="dxa"/>
            <w:noWrap w:val="0"/>
            <w:vAlign w:val="center"/>
          </w:tcPr>
          <w:p>
            <w:pPr>
              <w:spacing w:line="360" w:lineRule="exact"/>
              <w:rPr>
                <w:rFonts w:ascii="仿宋_GB2312" w:hAnsi="仿宋" w:eastAsia="仿宋_GB2312"/>
                <w:kern w:val="0"/>
                <w:sz w:val="24"/>
              </w:rPr>
            </w:pPr>
          </w:p>
        </w:tc>
        <w:tc>
          <w:tcPr>
            <w:tcW w:w="176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统一社会信用代码</w:t>
            </w:r>
          </w:p>
        </w:tc>
        <w:tc>
          <w:tcPr>
            <w:tcW w:w="2693" w:type="dxa"/>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载体对接负责人</w:t>
            </w:r>
          </w:p>
        </w:tc>
        <w:tc>
          <w:tcPr>
            <w:tcW w:w="1777" w:type="dxa"/>
            <w:noWrap w:val="0"/>
            <w:vAlign w:val="center"/>
          </w:tcPr>
          <w:p>
            <w:pPr>
              <w:spacing w:line="360" w:lineRule="exact"/>
              <w:rPr>
                <w:rFonts w:ascii="仿宋_GB2312" w:hAnsi="仿宋" w:eastAsia="仿宋_GB2312"/>
                <w:kern w:val="0"/>
                <w:sz w:val="24"/>
              </w:rPr>
            </w:pPr>
          </w:p>
        </w:tc>
        <w:tc>
          <w:tcPr>
            <w:tcW w:w="176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联系电话</w:t>
            </w:r>
          </w:p>
        </w:tc>
        <w:tc>
          <w:tcPr>
            <w:tcW w:w="2693" w:type="dxa"/>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jc w:val="center"/>
        </w:trPr>
        <w:tc>
          <w:tcPr>
            <w:tcW w:w="2376"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载体概况</w:t>
            </w:r>
          </w:p>
        </w:tc>
        <w:tc>
          <w:tcPr>
            <w:tcW w:w="6237" w:type="dxa"/>
            <w:gridSpan w:val="3"/>
            <w:noWrap w:val="0"/>
            <w:vAlign w:val="center"/>
          </w:tcPr>
          <w:p>
            <w:pPr>
              <w:spacing w:line="500" w:lineRule="exact"/>
              <w:rPr>
                <w:rFonts w:ascii="仿宋_GB2312" w:hAnsi="仿宋" w:eastAsia="仿宋_GB2312"/>
                <w:b/>
                <w:bCs/>
                <w:sz w:val="24"/>
              </w:rPr>
            </w:pPr>
            <w:r>
              <w:rPr>
                <w:rFonts w:hint="eastAsia" w:ascii="仿宋_GB2312" w:hAnsi="仿宋" w:eastAsia="仿宋_GB2312"/>
                <w:sz w:val="24"/>
              </w:rPr>
              <w:t>主要包括载体基本情况，核心竞争力，载体开展双创服务的功能与特色（包括但不限于创业辅导、资源对接、市场开拓、科技中介、共享资源平台搭建等）、技术支撑、带动服务资源等情况（包括线上、线下）等。</w:t>
            </w:r>
          </w:p>
        </w:tc>
      </w:tr>
    </w:tbl>
    <w:p>
      <w:pPr>
        <w:rPr>
          <w:rFonts w:ascii="仿宋_GB2312" w:hAnsi="等线" w:eastAsia="仿宋_GB2312"/>
          <w:szCs w:val="2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28" w:left="1588" w:header="851" w:footer="992" w:gutter="0"/>
          <w:cols w:space="720" w:num="1"/>
          <w:docGrid w:type="lines" w:linePitch="574" w:charSpace="0"/>
        </w:sectPr>
      </w:pPr>
    </w:p>
    <w:p>
      <w:pPr>
        <w:spacing w:line="560" w:lineRule="exact"/>
        <w:jc w:val="left"/>
        <w:rPr>
          <w:rFonts w:ascii="黑体" w:hAnsi="黑体" w:eastAsia="黑体"/>
          <w:sz w:val="32"/>
          <w:szCs w:val="32"/>
        </w:rPr>
      </w:pPr>
      <w:r>
        <w:rPr>
          <w:rFonts w:hint="eastAsia" w:ascii="黑体" w:hAnsi="黑体" w:eastAsia="黑体"/>
          <w:sz w:val="32"/>
          <w:szCs w:val="32"/>
        </w:rPr>
        <w:t>附件2 承诺书</w:t>
      </w:r>
    </w:p>
    <w:p>
      <w:pPr>
        <w:spacing w:line="560" w:lineRule="exact"/>
        <w:jc w:val="left"/>
        <w:rPr>
          <w:rFonts w:ascii="仿宋" w:hAnsi="仿宋"/>
          <w:szCs w:val="32"/>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承诺书</w:t>
      </w:r>
    </w:p>
    <w:p>
      <w:pPr>
        <w:spacing w:line="560" w:lineRule="exact"/>
        <w:jc w:val="center"/>
        <w:rPr>
          <w:rFonts w:ascii="仿宋_GB2312" w:hAnsi="黑体" w:eastAsia="仿宋_GB2312"/>
          <w:sz w:val="44"/>
          <w:szCs w:val="44"/>
        </w:rPr>
      </w:pP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本文件中涉及到本载体机构提交的附件及相关材料，填写的有关内容和提交的资料均准确、真实、合法、有效，本机构愿为此承担有关法律责任。本机构承诺对获批资金做到专款专用，专门账户管理，并严格按照国家财政部《中小企业发展专项资金管理办法》、《天津港保税区支持打造特色载体推动中小企业创新创业升级专项资金使用管理办法（试行）》等相关资金使用规定执行。</w:t>
      </w:r>
    </w:p>
    <w:p>
      <w:pPr>
        <w:ind w:firstLine="640"/>
        <w:jc w:val="left"/>
        <w:rPr>
          <w:rFonts w:ascii="仿宋_GB2312" w:hAnsi="仿宋" w:eastAsia="仿宋_GB2312"/>
          <w:szCs w:val="32"/>
        </w:rPr>
      </w:pPr>
    </w:p>
    <w:p>
      <w:pPr>
        <w:ind w:firstLine="640"/>
        <w:jc w:val="left"/>
        <w:rPr>
          <w:rFonts w:ascii="仿宋_GB2312" w:hAnsi="仿宋" w:eastAsia="仿宋_GB2312"/>
          <w:szCs w:val="32"/>
        </w:rPr>
      </w:pPr>
    </w:p>
    <w:p>
      <w:pPr>
        <w:ind w:firstLine="640"/>
        <w:jc w:val="left"/>
        <w:rPr>
          <w:rFonts w:ascii="仿宋_GB2312" w:hAnsi="仿宋" w:eastAsia="仿宋_GB2312"/>
          <w:szCs w:val="32"/>
        </w:rPr>
      </w:pPr>
    </w:p>
    <w:p>
      <w:pPr>
        <w:ind w:firstLine="640"/>
        <w:jc w:val="left"/>
        <w:rPr>
          <w:rFonts w:ascii="仿宋_GB2312" w:hAnsi="仿宋" w:eastAsia="仿宋_GB2312"/>
          <w:szCs w:val="32"/>
        </w:rPr>
      </w:pPr>
    </w:p>
    <w:p>
      <w:pPr>
        <w:ind w:firstLine="640"/>
        <w:jc w:val="left"/>
        <w:rPr>
          <w:rFonts w:ascii="仿宋_GB2312" w:hAnsi="仿宋" w:eastAsia="仿宋_GB2312"/>
          <w:sz w:val="32"/>
          <w:szCs w:val="32"/>
        </w:rPr>
      </w:pPr>
    </w:p>
    <w:p>
      <w:pPr>
        <w:ind w:firstLine="3542" w:firstLineChars="1107"/>
        <w:jc w:val="left"/>
        <w:rPr>
          <w:rFonts w:ascii="仿宋_GB2312" w:hAnsi="仿宋" w:eastAsia="仿宋_GB2312"/>
          <w:sz w:val="32"/>
          <w:szCs w:val="32"/>
        </w:rPr>
      </w:pPr>
      <w:r>
        <w:rPr>
          <w:rFonts w:hint="eastAsia" w:ascii="仿宋_GB2312" w:hAnsi="仿宋" w:eastAsia="仿宋_GB2312"/>
          <w:sz w:val="32"/>
          <w:szCs w:val="32"/>
        </w:rPr>
        <w:t>法定代表人（签字）：</w:t>
      </w:r>
    </w:p>
    <w:p>
      <w:pPr>
        <w:ind w:firstLine="3542" w:firstLineChars="1107"/>
        <w:jc w:val="left"/>
        <w:rPr>
          <w:rFonts w:ascii="仿宋_GB2312" w:hAnsi="仿宋" w:eastAsia="仿宋_GB2312"/>
          <w:sz w:val="32"/>
          <w:szCs w:val="32"/>
        </w:rPr>
      </w:pPr>
    </w:p>
    <w:p>
      <w:pPr>
        <w:ind w:firstLine="3542" w:firstLineChars="1107"/>
        <w:jc w:val="left"/>
        <w:rPr>
          <w:rFonts w:ascii="仿宋_GB2312" w:hAnsi="仿宋" w:eastAsia="仿宋_GB2312"/>
          <w:sz w:val="32"/>
          <w:szCs w:val="32"/>
        </w:rPr>
      </w:pPr>
      <w:r>
        <w:rPr>
          <w:rFonts w:hint="eastAsia" w:ascii="仿宋_GB2312" w:hAnsi="仿宋" w:eastAsia="仿宋_GB2312"/>
          <w:sz w:val="32"/>
          <w:szCs w:val="32"/>
        </w:rPr>
        <w:t>申报单位（公章）：</w:t>
      </w:r>
    </w:p>
    <w:p>
      <w:pPr>
        <w:ind w:firstLine="3542" w:firstLineChars="1107"/>
        <w:jc w:val="left"/>
        <w:rPr>
          <w:rFonts w:ascii="仿宋_GB2312" w:hAnsi="仿宋" w:eastAsia="仿宋_GB2312"/>
          <w:sz w:val="32"/>
          <w:szCs w:val="32"/>
        </w:rPr>
      </w:pPr>
    </w:p>
    <w:p>
      <w:pPr>
        <w:ind w:firstLine="3542" w:firstLineChars="1107"/>
        <w:jc w:val="left"/>
        <w:rPr>
          <w:rFonts w:ascii="仿宋_GB2312" w:hAnsi="仿宋" w:eastAsia="仿宋_GB2312"/>
          <w:sz w:val="32"/>
          <w:szCs w:val="32"/>
        </w:rPr>
      </w:pPr>
      <w:r>
        <w:rPr>
          <w:rFonts w:hint="eastAsia" w:ascii="仿宋_GB2312" w:hAnsi="仿宋" w:eastAsia="仿宋_GB2312"/>
          <w:sz w:val="32"/>
          <w:szCs w:val="32"/>
        </w:rPr>
        <w:t>年  月  日</w:t>
      </w:r>
    </w:p>
    <w:p>
      <w:pPr>
        <w:ind w:firstLine="640"/>
        <w:jc w:val="left"/>
        <w:rPr>
          <w:rFonts w:ascii="仿宋_GB2312" w:hAnsi="仿宋" w:eastAsia="仿宋_GB2312"/>
          <w:sz w:val="32"/>
          <w:szCs w:val="32"/>
        </w:rPr>
      </w:pPr>
    </w:p>
    <w:p>
      <w:pPr>
        <w:spacing w:line="360" w:lineRule="exact"/>
        <w:ind w:firstLine="480"/>
        <w:rPr>
          <w:rFonts w:ascii="仿宋_GB2312" w:hAnsi="仿宋" w:eastAsia="仿宋_GB2312"/>
          <w:kern w:val="0"/>
          <w:sz w:val="32"/>
          <w:szCs w:val="32"/>
        </w:rPr>
      </w:pPr>
    </w:p>
    <w:p>
      <w:pPr>
        <w:spacing w:line="360" w:lineRule="exact"/>
        <w:ind w:firstLine="480"/>
        <w:rPr>
          <w:rFonts w:ascii="仿宋_GB2312" w:hAnsi="仿宋" w:eastAsia="仿宋_GB2312"/>
          <w:kern w:val="0"/>
          <w:sz w:val="24"/>
        </w:rPr>
      </w:pPr>
    </w:p>
    <w:p>
      <w:pPr>
        <w:jc w:val="left"/>
        <w:rPr>
          <w:rFonts w:ascii="黑体" w:hAnsi="黑体" w:eastAsia="黑体"/>
          <w:sz w:val="32"/>
          <w:szCs w:val="32"/>
        </w:rPr>
      </w:pPr>
      <w:r>
        <w:rPr>
          <w:rFonts w:ascii="仿宋_GB2312" w:hAnsi="仿宋" w:eastAsia="仿宋_GB2312"/>
          <w:kern w:val="0"/>
          <w:sz w:val="24"/>
        </w:rPr>
        <w:br w:type="page"/>
      </w:r>
      <w:r>
        <w:rPr>
          <w:rFonts w:hint="eastAsia" w:ascii="黑体" w:hAnsi="黑体" w:eastAsia="黑体"/>
          <w:sz w:val="32"/>
          <w:szCs w:val="32"/>
        </w:rPr>
        <w:t>附件3支持特色载体专项平台建设（直接补助）</w:t>
      </w:r>
    </w:p>
    <w:p>
      <w:pPr>
        <w:jc w:val="left"/>
        <w:rPr>
          <w:rFonts w:ascii="黑体" w:hAnsi="黑体" w:eastAsia="黑体"/>
          <w:sz w:val="32"/>
          <w:szCs w:val="32"/>
        </w:rPr>
      </w:pPr>
      <w:r>
        <w:rPr>
          <w:rFonts w:hint="eastAsia" w:ascii="黑体" w:hAnsi="黑体" w:eastAsia="黑体"/>
          <w:sz w:val="32"/>
          <w:szCs w:val="32"/>
        </w:rPr>
        <w:t>附件3-1载体双创升级发展计划</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613" w:type="dxa"/>
            <w:gridSpan w:val="2"/>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8"/>
              </w:rPr>
              <w:t>载体双创升级发展计划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2376" w:type="dxa"/>
            <w:noWrap w:val="0"/>
            <w:vAlign w:val="center"/>
          </w:tcPr>
          <w:p>
            <w:pPr>
              <w:jc w:val="center"/>
              <w:rPr>
                <w:rFonts w:ascii="仿宋_GB2312" w:hAnsi="仿宋" w:eastAsia="仿宋_GB2312"/>
                <w:kern w:val="0"/>
                <w:sz w:val="24"/>
              </w:rPr>
            </w:pPr>
            <w:r>
              <w:rPr>
                <w:rFonts w:hint="eastAsia" w:ascii="仿宋_GB2312" w:hAnsi="仿宋" w:eastAsia="仿宋_GB2312"/>
                <w:szCs w:val="32"/>
              </w:rPr>
              <w:br w:type="page"/>
            </w:r>
            <w:r>
              <w:rPr>
                <w:rFonts w:hint="eastAsia" w:ascii="仿宋_GB2312" w:hAnsi="仿宋" w:eastAsia="仿宋_GB2312"/>
              </w:rPr>
              <w:t>2019-2020年载体双创升级发展计划</w:t>
            </w:r>
          </w:p>
        </w:tc>
        <w:tc>
          <w:tcPr>
            <w:tcW w:w="623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主要包括载体计划开展的双创工作，按年度编制两年实施内容。开展的工作需体现开放、共享。能够在凝聚创新能力、集中创新资源、活跃创新氛围、带动大中小企业协同创新、促进中小企业发展方面体现作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1" w:hRule="atLeast"/>
          <w:jc w:val="center"/>
        </w:trPr>
        <w:tc>
          <w:tcPr>
            <w:tcW w:w="2376" w:type="dxa"/>
            <w:noWrap w:val="0"/>
            <w:vAlign w:val="center"/>
          </w:tcPr>
          <w:p>
            <w:pPr>
              <w:jc w:val="center"/>
              <w:rPr>
                <w:rFonts w:ascii="仿宋_GB2312" w:hAnsi="仿宋" w:eastAsia="仿宋_GB2312"/>
              </w:rPr>
            </w:pPr>
            <w:r>
              <w:rPr>
                <w:rFonts w:hint="eastAsia" w:ascii="仿宋_GB2312" w:hAnsi="仿宋" w:eastAsia="仿宋_GB2312"/>
              </w:rPr>
              <w:t>2019-2020年载体双创升级绩效目标</w:t>
            </w:r>
          </w:p>
        </w:tc>
        <w:tc>
          <w:tcPr>
            <w:tcW w:w="623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sz w:val="24"/>
              </w:rPr>
              <w:t>载体应参照国家对实体经济开发区的绩效目标评价标准，结合自身特色和实际情况，合理设置绩效目标，支持天津港保税区完成双创升级工作。</w:t>
            </w:r>
          </w:p>
        </w:tc>
      </w:tr>
    </w:tbl>
    <w:p>
      <w:pPr>
        <w:jc w:val="left"/>
        <w:rPr>
          <w:rFonts w:ascii="黑体" w:hAnsi="黑体" w:eastAsia="黑体"/>
          <w:sz w:val="32"/>
          <w:szCs w:val="32"/>
        </w:rPr>
      </w:pPr>
      <w:r>
        <w:rPr>
          <w:rFonts w:ascii="仿宋_GB2312" w:hAnsi="仿宋" w:eastAsia="仿宋_GB2312"/>
          <w:szCs w:val="32"/>
        </w:rPr>
        <w:br w:type="page"/>
      </w:r>
      <w:r>
        <w:rPr>
          <w:rFonts w:hint="eastAsia" w:ascii="黑体" w:hAnsi="黑体" w:eastAsia="黑体"/>
          <w:sz w:val="32"/>
          <w:szCs w:val="32"/>
        </w:rPr>
        <w:t>附件3-2项目立项书</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777"/>
        <w:gridCol w:w="190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13" w:type="dxa"/>
            <w:gridSpan w:val="4"/>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8"/>
              </w:rPr>
              <w:t>项目立项书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项目名称</w:t>
            </w:r>
          </w:p>
        </w:tc>
        <w:tc>
          <w:tcPr>
            <w:tcW w:w="6237" w:type="dxa"/>
            <w:gridSpan w:val="3"/>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项目申报领域</w:t>
            </w:r>
          </w:p>
        </w:tc>
        <w:tc>
          <w:tcPr>
            <w:tcW w:w="6237" w:type="dxa"/>
            <w:gridSpan w:val="3"/>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申请资金</w:t>
            </w:r>
          </w:p>
        </w:tc>
        <w:tc>
          <w:tcPr>
            <w:tcW w:w="1777" w:type="dxa"/>
            <w:noWrap w:val="0"/>
            <w:vAlign w:val="center"/>
          </w:tcPr>
          <w:p>
            <w:pPr>
              <w:spacing w:line="360" w:lineRule="exact"/>
              <w:rPr>
                <w:rFonts w:ascii="仿宋_GB2312" w:hAnsi="仿宋" w:eastAsia="仿宋_GB2312"/>
                <w:kern w:val="0"/>
                <w:sz w:val="24"/>
              </w:rPr>
            </w:pPr>
          </w:p>
        </w:tc>
        <w:tc>
          <w:tcPr>
            <w:tcW w:w="1909"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载体配套资金</w:t>
            </w:r>
          </w:p>
        </w:tc>
        <w:tc>
          <w:tcPr>
            <w:tcW w:w="2551" w:type="dxa"/>
            <w:noWrap w:val="0"/>
            <w:vAlign w:val="top"/>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开户银行</w:t>
            </w:r>
          </w:p>
        </w:tc>
        <w:tc>
          <w:tcPr>
            <w:tcW w:w="1777" w:type="dxa"/>
            <w:noWrap w:val="0"/>
            <w:vAlign w:val="center"/>
          </w:tcPr>
          <w:p>
            <w:pPr>
              <w:spacing w:line="360" w:lineRule="exact"/>
              <w:rPr>
                <w:rFonts w:ascii="仿宋_GB2312" w:hAnsi="仿宋" w:eastAsia="仿宋_GB2312"/>
                <w:kern w:val="0"/>
                <w:sz w:val="24"/>
              </w:rPr>
            </w:pPr>
          </w:p>
        </w:tc>
        <w:tc>
          <w:tcPr>
            <w:tcW w:w="1909"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开户账号</w:t>
            </w:r>
          </w:p>
        </w:tc>
        <w:tc>
          <w:tcPr>
            <w:tcW w:w="2551" w:type="dxa"/>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项目负责人姓名</w:t>
            </w:r>
          </w:p>
        </w:tc>
        <w:tc>
          <w:tcPr>
            <w:tcW w:w="1777" w:type="dxa"/>
            <w:noWrap w:val="0"/>
            <w:vAlign w:val="center"/>
          </w:tcPr>
          <w:p>
            <w:pPr>
              <w:spacing w:line="360" w:lineRule="exact"/>
              <w:rPr>
                <w:rFonts w:ascii="仿宋_GB2312" w:hAnsi="仿宋" w:eastAsia="仿宋_GB2312"/>
                <w:kern w:val="0"/>
                <w:sz w:val="24"/>
              </w:rPr>
            </w:pPr>
          </w:p>
        </w:tc>
        <w:tc>
          <w:tcPr>
            <w:tcW w:w="1909"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身份证号</w:t>
            </w:r>
          </w:p>
        </w:tc>
        <w:tc>
          <w:tcPr>
            <w:tcW w:w="2551" w:type="dxa"/>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6"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职务/职称</w:t>
            </w:r>
          </w:p>
        </w:tc>
        <w:tc>
          <w:tcPr>
            <w:tcW w:w="1777" w:type="dxa"/>
            <w:noWrap w:val="0"/>
            <w:vAlign w:val="center"/>
          </w:tcPr>
          <w:p>
            <w:pPr>
              <w:spacing w:line="360" w:lineRule="exact"/>
              <w:rPr>
                <w:rFonts w:ascii="仿宋_GB2312" w:hAnsi="仿宋" w:eastAsia="仿宋_GB2312"/>
                <w:kern w:val="0"/>
                <w:sz w:val="24"/>
              </w:rPr>
            </w:pPr>
          </w:p>
        </w:tc>
        <w:tc>
          <w:tcPr>
            <w:tcW w:w="1909"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电话</w:t>
            </w:r>
          </w:p>
        </w:tc>
        <w:tc>
          <w:tcPr>
            <w:tcW w:w="2551" w:type="dxa"/>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376"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项目立项总体思路</w:t>
            </w:r>
          </w:p>
        </w:tc>
        <w:tc>
          <w:tcPr>
            <w:tcW w:w="6237" w:type="dxa"/>
            <w:gridSpan w:val="3"/>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载体项目立项的目的、必要性和工作思路等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2376"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建设内容</w:t>
            </w:r>
          </w:p>
        </w:tc>
        <w:tc>
          <w:tcPr>
            <w:tcW w:w="6237" w:type="dxa"/>
            <w:gridSpan w:val="3"/>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主要包括项目基本情况、主要内容、项目进度、项目成员以及新增效益分析等。</w:t>
            </w:r>
          </w:p>
          <w:p>
            <w:pPr>
              <w:spacing w:line="360" w:lineRule="exact"/>
              <w:rPr>
                <w:rFonts w:ascii="仿宋_GB2312" w:hAnsi="仿宋" w:eastAsia="仿宋_GB2312"/>
                <w:kern w:val="0"/>
                <w:sz w:val="24"/>
              </w:rPr>
            </w:pPr>
            <w:r>
              <w:rPr>
                <w:rFonts w:hint="eastAsia" w:ascii="仿宋_GB2312" w:hAnsi="仿宋" w:eastAsia="仿宋_GB2312"/>
                <w:kern w:val="0"/>
                <w:sz w:val="24"/>
              </w:rPr>
              <w:t>说明：项目建设需体现资源共享、开放，对中小企业创新创业发展具有促进、带动、辐射作用。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2376"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建设目标</w:t>
            </w:r>
          </w:p>
        </w:tc>
        <w:tc>
          <w:tcPr>
            <w:tcW w:w="6237" w:type="dxa"/>
            <w:gridSpan w:val="3"/>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完成形式、完成后取得的效果和达到的绩效等，如载体区域服务能力的改善、推动中小企业双创升级的作用和对服务环境改善的贡献，将作为项目验收的重要依据。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376"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相关保障措施</w:t>
            </w:r>
          </w:p>
        </w:tc>
        <w:tc>
          <w:tcPr>
            <w:tcW w:w="6237" w:type="dxa"/>
            <w:gridSpan w:val="3"/>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主要包括项目的组织管理、监管措施、资金保障以及其他需要说明的情况等。</w:t>
            </w:r>
          </w:p>
        </w:tc>
      </w:tr>
    </w:tbl>
    <w:p>
      <w:pPr>
        <w:jc w:val="left"/>
        <w:rPr>
          <w:rFonts w:ascii="仿宋_GB2312" w:hAnsi="仿宋" w:eastAsia="仿宋_GB2312"/>
          <w:szCs w:val="32"/>
        </w:rPr>
      </w:pPr>
      <w:r>
        <w:rPr>
          <w:rFonts w:hint="eastAsia" w:ascii="仿宋_GB2312" w:hAnsi="仿宋" w:eastAsia="仿宋_GB2312"/>
          <w:szCs w:val="32"/>
        </w:rPr>
        <w:br w:type="page"/>
      </w:r>
    </w:p>
    <w:p>
      <w:pPr>
        <w:jc w:val="left"/>
        <w:rPr>
          <w:rFonts w:ascii="黑体" w:hAnsi="黑体" w:eastAsia="黑体"/>
          <w:sz w:val="32"/>
          <w:szCs w:val="32"/>
        </w:rPr>
      </w:pPr>
      <w:r>
        <w:rPr>
          <w:rFonts w:hint="eastAsia" w:ascii="黑体" w:hAnsi="黑体" w:eastAsia="黑体"/>
          <w:sz w:val="32"/>
          <w:szCs w:val="32"/>
        </w:rPr>
        <w:t>附件3-3项目资金预算表</w:t>
      </w:r>
    </w:p>
    <w:p>
      <w:pPr>
        <w:ind w:right="315"/>
        <w:jc w:val="right"/>
        <w:rPr>
          <w:rFonts w:ascii="仿宋" w:hAnsi="仿宋"/>
          <w:sz w:val="24"/>
        </w:rPr>
      </w:pPr>
      <w:r>
        <w:rPr>
          <w:rFonts w:hint="eastAsia" w:ascii="仿宋" w:hAnsi="仿宋"/>
          <w:sz w:val="24"/>
        </w:rPr>
        <w:t>单位：万元</w:t>
      </w:r>
    </w:p>
    <w:tbl>
      <w:tblPr>
        <w:tblStyle w:val="5"/>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664"/>
        <w:gridCol w:w="916"/>
        <w:gridCol w:w="1529"/>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3208" w:type="dxa"/>
            <w:gridSpan w:val="2"/>
            <w:noWrap w:val="0"/>
            <w:vAlign w:val="center"/>
          </w:tcPr>
          <w:p>
            <w:pPr>
              <w:adjustRightInd w:val="0"/>
              <w:snapToGrid w:val="0"/>
              <w:spacing w:line="300" w:lineRule="auto"/>
              <w:jc w:val="center"/>
              <w:rPr>
                <w:rFonts w:ascii="仿宋_GB2312" w:hAnsi="仿宋" w:eastAsia="仿宋_GB2312"/>
                <w:b/>
                <w:sz w:val="24"/>
                <w:szCs w:val="22"/>
              </w:rPr>
            </w:pPr>
            <w:r>
              <w:rPr>
                <w:rFonts w:hint="eastAsia" w:ascii="仿宋_GB2312" w:hAnsi="仿宋" w:eastAsia="仿宋_GB2312"/>
                <w:b/>
                <w:sz w:val="24"/>
                <w:szCs w:val="22"/>
              </w:rPr>
              <w:t>项目预算总额</w:t>
            </w:r>
          </w:p>
        </w:tc>
        <w:tc>
          <w:tcPr>
            <w:tcW w:w="5322" w:type="dxa"/>
            <w:gridSpan w:val="3"/>
            <w:noWrap w:val="0"/>
            <w:vAlign w:val="center"/>
          </w:tcPr>
          <w:p>
            <w:pPr>
              <w:adjustRightInd w:val="0"/>
              <w:snapToGrid w:val="0"/>
              <w:spacing w:line="300" w:lineRule="auto"/>
              <w:jc w:val="center"/>
              <w:rPr>
                <w:rFonts w:ascii="仿宋_GB2312" w:hAnsi="仿宋" w:eastAsia="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208" w:type="dxa"/>
            <w:gridSpan w:val="2"/>
            <w:tcBorders>
              <w:top w:val="single" w:color="auto" w:sz="4" w:space="0"/>
              <w:bottom w:val="single" w:color="auto" w:sz="4" w:space="0"/>
            </w:tcBorders>
            <w:noWrap w:val="0"/>
            <w:vAlign w:val="center"/>
          </w:tcPr>
          <w:p>
            <w:pPr>
              <w:adjustRightInd w:val="0"/>
              <w:snapToGrid w:val="0"/>
              <w:spacing w:line="300" w:lineRule="auto"/>
              <w:jc w:val="center"/>
              <w:rPr>
                <w:rFonts w:ascii="仿宋_GB2312" w:hAnsi="仿宋" w:eastAsia="仿宋_GB2312"/>
                <w:bCs/>
                <w:sz w:val="24"/>
                <w:szCs w:val="22"/>
              </w:rPr>
            </w:pPr>
            <w:r>
              <w:rPr>
                <w:rFonts w:hint="eastAsia" w:ascii="仿宋_GB2312" w:hAnsi="仿宋" w:eastAsia="仿宋_GB2312"/>
                <w:bCs/>
                <w:sz w:val="24"/>
                <w:szCs w:val="22"/>
              </w:rPr>
              <w:t>项目支出</w:t>
            </w:r>
          </w:p>
        </w:tc>
        <w:tc>
          <w:tcPr>
            <w:tcW w:w="916"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仿宋" w:eastAsia="仿宋_GB2312"/>
                <w:b/>
                <w:sz w:val="24"/>
                <w:szCs w:val="22"/>
              </w:rPr>
            </w:pPr>
            <w:r>
              <w:rPr>
                <w:rFonts w:hint="eastAsia" w:ascii="仿宋_GB2312" w:hAnsi="仿宋" w:eastAsia="仿宋_GB2312"/>
                <w:sz w:val="24"/>
                <w:szCs w:val="22"/>
              </w:rPr>
              <w:t>支出总额</w:t>
            </w:r>
          </w:p>
        </w:tc>
        <w:tc>
          <w:tcPr>
            <w:tcW w:w="1529" w:type="dxa"/>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300" w:lineRule="exact"/>
              <w:jc w:val="center"/>
              <w:rPr>
                <w:rFonts w:ascii="仿宋_GB2312" w:hAnsi="仿宋" w:eastAsia="仿宋_GB2312"/>
                <w:sz w:val="24"/>
                <w:szCs w:val="22"/>
              </w:rPr>
            </w:pPr>
            <w:r>
              <w:rPr>
                <w:rFonts w:hint="eastAsia" w:ascii="仿宋_GB2312" w:hAnsi="仿宋" w:eastAsia="仿宋_GB2312"/>
                <w:sz w:val="24"/>
                <w:szCs w:val="22"/>
              </w:rPr>
              <w:t>其中：申请专项资金</w:t>
            </w:r>
          </w:p>
        </w:tc>
        <w:tc>
          <w:tcPr>
            <w:tcW w:w="2877" w:type="dxa"/>
            <w:tcBorders>
              <w:top w:val="single" w:color="auto" w:sz="4" w:space="0"/>
              <w:left w:val="single" w:color="auto" w:sz="4" w:space="0"/>
              <w:bottom w:val="single" w:color="auto" w:sz="4" w:space="0"/>
            </w:tcBorders>
            <w:noWrap w:val="0"/>
            <w:vAlign w:val="center"/>
          </w:tcPr>
          <w:p>
            <w:pPr>
              <w:adjustRightInd w:val="0"/>
              <w:snapToGrid w:val="0"/>
              <w:spacing w:line="300" w:lineRule="auto"/>
              <w:jc w:val="center"/>
              <w:rPr>
                <w:rFonts w:ascii="仿宋_GB2312" w:hAnsi="仿宋" w:eastAsia="仿宋_GB2312"/>
                <w:sz w:val="24"/>
                <w:szCs w:val="22"/>
              </w:rPr>
            </w:pPr>
            <w:r>
              <w:rPr>
                <w:rFonts w:hint="eastAsia" w:ascii="仿宋_GB2312" w:hAnsi="仿宋" w:eastAsia="仿宋_GB2312"/>
                <w:sz w:val="24"/>
                <w:szCs w:val="22"/>
              </w:rPr>
              <w:t>具体内容（要求列出具体内容及计算依据）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3208" w:type="dxa"/>
            <w:gridSpan w:val="2"/>
            <w:tcBorders>
              <w:top w:val="single" w:color="auto" w:sz="4" w:space="0"/>
              <w:bottom w:val="single" w:color="auto" w:sz="4" w:space="0"/>
            </w:tcBorders>
            <w:noWrap w:val="0"/>
            <w:vAlign w:val="center"/>
          </w:tcPr>
          <w:p>
            <w:pPr>
              <w:adjustRightInd w:val="0"/>
              <w:snapToGrid w:val="0"/>
              <w:spacing w:line="300" w:lineRule="auto"/>
              <w:jc w:val="center"/>
              <w:rPr>
                <w:rFonts w:ascii="仿宋_GB2312" w:hAnsi="仿宋" w:eastAsia="仿宋_GB2312"/>
                <w:bCs/>
                <w:sz w:val="24"/>
                <w:szCs w:val="22"/>
              </w:rPr>
            </w:pPr>
            <w:r>
              <w:rPr>
                <w:rFonts w:hint="eastAsia" w:ascii="仿宋_GB2312" w:hAnsi="仿宋" w:eastAsia="仿宋_GB2312"/>
                <w:bCs/>
                <w:sz w:val="24"/>
                <w:szCs w:val="22"/>
              </w:rPr>
              <w:t>合 计</w:t>
            </w:r>
          </w:p>
        </w:tc>
        <w:tc>
          <w:tcPr>
            <w:tcW w:w="916"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仿宋" w:eastAsia="仿宋_GB2312"/>
                <w:sz w:val="24"/>
                <w:szCs w:val="22"/>
              </w:rPr>
            </w:pPr>
          </w:p>
        </w:tc>
        <w:tc>
          <w:tcPr>
            <w:tcW w:w="1529"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00" w:lineRule="auto"/>
              <w:jc w:val="center"/>
              <w:rPr>
                <w:rFonts w:ascii="仿宋_GB2312" w:hAnsi="仿宋" w:eastAsia="仿宋_GB2312"/>
                <w:sz w:val="24"/>
                <w:szCs w:val="22"/>
              </w:rPr>
            </w:pPr>
          </w:p>
        </w:tc>
        <w:tc>
          <w:tcPr>
            <w:tcW w:w="2877" w:type="dxa"/>
            <w:tcBorders>
              <w:top w:val="single" w:color="auto" w:sz="4" w:space="0"/>
              <w:left w:val="single" w:color="auto" w:sz="4" w:space="0"/>
              <w:bottom w:val="single" w:color="auto" w:sz="4" w:space="0"/>
            </w:tcBorders>
            <w:noWrap w:val="0"/>
            <w:vAlign w:val="center"/>
          </w:tcPr>
          <w:p>
            <w:pPr>
              <w:adjustRightInd w:val="0"/>
              <w:snapToGrid w:val="0"/>
              <w:spacing w:line="300" w:lineRule="auto"/>
              <w:jc w:val="center"/>
              <w:rPr>
                <w:rFonts w:ascii="仿宋_GB2312" w:hAnsi="仿宋" w:eastAsia="仿宋_GB2312"/>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544" w:type="dxa"/>
            <w:vMerge w:val="restart"/>
            <w:noWrap w:val="0"/>
            <w:vAlign w:val="center"/>
          </w:tcPr>
          <w:p>
            <w:pPr>
              <w:adjustRightInd w:val="0"/>
              <w:snapToGrid w:val="0"/>
              <w:spacing w:afterLines="30" w:line="340" w:lineRule="exact"/>
              <w:rPr>
                <w:rFonts w:ascii="仿宋_GB2312" w:hAnsi="仿宋" w:eastAsia="仿宋_GB2312"/>
                <w:sz w:val="24"/>
                <w:szCs w:val="22"/>
              </w:rPr>
            </w:pPr>
            <w:r>
              <w:rPr>
                <w:rFonts w:hint="eastAsia" w:ascii="仿宋_GB2312" w:hAnsi="仿宋" w:eastAsia="仿宋_GB2312"/>
                <w:sz w:val="24"/>
                <w:szCs w:val="22"/>
              </w:rPr>
              <w:t>支出项目明细</w:t>
            </w:r>
          </w:p>
        </w:tc>
        <w:tc>
          <w:tcPr>
            <w:tcW w:w="2664" w:type="dxa"/>
            <w:noWrap w:val="0"/>
            <w:vAlign w:val="center"/>
          </w:tcPr>
          <w:p>
            <w:pPr>
              <w:adjustRightInd w:val="0"/>
              <w:snapToGrid w:val="0"/>
              <w:spacing w:afterLines="30" w:line="340" w:lineRule="exact"/>
              <w:jc w:val="center"/>
              <w:rPr>
                <w:rFonts w:ascii="仿宋_GB2312" w:hAnsi="仿宋" w:eastAsia="仿宋_GB2312"/>
                <w:b/>
                <w:bCs/>
                <w:sz w:val="24"/>
                <w:szCs w:val="22"/>
              </w:rPr>
            </w:pPr>
          </w:p>
        </w:tc>
        <w:tc>
          <w:tcPr>
            <w:tcW w:w="916" w:type="dxa"/>
            <w:tcBorders>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1529"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2877" w:type="dxa"/>
            <w:tcBorders>
              <w:left w:val="single" w:color="auto" w:sz="4" w:space="0"/>
            </w:tcBorders>
            <w:noWrap w:val="0"/>
            <w:vAlign w:val="center"/>
          </w:tcPr>
          <w:p>
            <w:pPr>
              <w:adjustRightInd w:val="0"/>
              <w:snapToGrid w:val="0"/>
              <w:spacing w:afterLines="30" w:line="340" w:lineRule="exact"/>
              <w:rPr>
                <w:rFonts w:ascii="仿宋_GB2312" w:hAnsi="仿宋" w:eastAsia="仿宋_GB2312"/>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544" w:type="dxa"/>
            <w:vMerge w:val="continue"/>
            <w:noWrap w:val="0"/>
            <w:vAlign w:val="center"/>
          </w:tcPr>
          <w:p>
            <w:pPr>
              <w:adjustRightInd w:val="0"/>
              <w:snapToGrid w:val="0"/>
              <w:spacing w:afterLines="30" w:line="340" w:lineRule="exact"/>
              <w:rPr>
                <w:rFonts w:ascii="仿宋_GB2312" w:hAnsi="仿宋" w:eastAsia="仿宋_GB2312"/>
                <w:b/>
                <w:bCs/>
                <w:sz w:val="24"/>
                <w:szCs w:val="22"/>
              </w:rPr>
            </w:pPr>
          </w:p>
        </w:tc>
        <w:tc>
          <w:tcPr>
            <w:tcW w:w="2664" w:type="dxa"/>
            <w:noWrap w:val="0"/>
            <w:vAlign w:val="center"/>
          </w:tcPr>
          <w:p>
            <w:pPr>
              <w:adjustRightInd w:val="0"/>
              <w:snapToGrid w:val="0"/>
              <w:spacing w:afterLines="30" w:line="340" w:lineRule="exact"/>
              <w:jc w:val="center"/>
              <w:rPr>
                <w:rFonts w:ascii="仿宋_GB2312" w:hAnsi="仿宋" w:eastAsia="仿宋_GB2312"/>
                <w:b/>
                <w:bCs/>
                <w:sz w:val="24"/>
                <w:szCs w:val="22"/>
              </w:rPr>
            </w:pPr>
          </w:p>
        </w:tc>
        <w:tc>
          <w:tcPr>
            <w:tcW w:w="916" w:type="dxa"/>
            <w:tcBorders>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1529"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2877" w:type="dxa"/>
            <w:tcBorders>
              <w:left w:val="single" w:color="auto" w:sz="4" w:space="0"/>
            </w:tcBorders>
            <w:noWrap w:val="0"/>
            <w:vAlign w:val="center"/>
          </w:tcPr>
          <w:p>
            <w:pPr>
              <w:adjustRightInd w:val="0"/>
              <w:snapToGrid w:val="0"/>
              <w:spacing w:afterLines="30" w:line="340" w:lineRule="exact"/>
              <w:rPr>
                <w:rFonts w:ascii="仿宋_GB2312" w:hAnsi="仿宋" w:eastAsia="仿宋_GB2312"/>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44" w:type="dxa"/>
            <w:vMerge w:val="continue"/>
            <w:noWrap w:val="0"/>
            <w:vAlign w:val="center"/>
          </w:tcPr>
          <w:p>
            <w:pPr>
              <w:adjustRightInd w:val="0"/>
              <w:snapToGrid w:val="0"/>
              <w:spacing w:afterLines="30" w:line="340" w:lineRule="exact"/>
              <w:rPr>
                <w:rFonts w:ascii="仿宋_GB2312" w:hAnsi="仿宋" w:eastAsia="仿宋_GB2312"/>
                <w:b/>
                <w:bCs/>
                <w:sz w:val="24"/>
                <w:szCs w:val="22"/>
              </w:rPr>
            </w:pPr>
          </w:p>
        </w:tc>
        <w:tc>
          <w:tcPr>
            <w:tcW w:w="2664" w:type="dxa"/>
            <w:noWrap w:val="0"/>
            <w:vAlign w:val="center"/>
          </w:tcPr>
          <w:p>
            <w:pPr>
              <w:adjustRightInd w:val="0"/>
              <w:snapToGrid w:val="0"/>
              <w:spacing w:afterLines="30" w:line="340" w:lineRule="exact"/>
              <w:jc w:val="center"/>
              <w:rPr>
                <w:rFonts w:ascii="仿宋_GB2312" w:hAnsi="仿宋" w:eastAsia="仿宋_GB2312"/>
                <w:b/>
                <w:bCs/>
                <w:sz w:val="24"/>
                <w:szCs w:val="22"/>
              </w:rPr>
            </w:pPr>
          </w:p>
        </w:tc>
        <w:tc>
          <w:tcPr>
            <w:tcW w:w="916" w:type="dxa"/>
            <w:tcBorders>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1529"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2877" w:type="dxa"/>
            <w:tcBorders>
              <w:left w:val="single" w:color="auto" w:sz="4" w:space="0"/>
            </w:tcBorders>
            <w:noWrap w:val="0"/>
            <w:vAlign w:val="center"/>
          </w:tcPr>
          <w:p>
            <w:pPr>
              <w:adjustRightInd w:val="0"/>
              <w:snapToGrid w:val="0"/>
              <w:spacing w:afterLines="30" w:line="340" w:lineRule="exact"/>
              <w:rPr>
                <w:rFonts w:ascii="仿宋_GB2312" w:hAnsi="仿宋" w:eastAsia="仿宋_GB2312"/>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544" w:type="dxa"/>
            <w:vMerge w:val="continue"/>
            <w:noWrap w:val="0"/>
            <w:vAlign w:val="center"/>
          </w:tcPr>
          <w:p>
            <w:pPr>
              <w:adjustRightInd w:val="0"/>
              <w:snapToGrid w:val="0"/>
              <w:spacing w:afterLines="30" w:line="340" w:lineRule="exact"/>
              <w:rPr>
                <w:rFonts w:ascii="仿宋_GB2312" w:hAnsi="仿宋" w:eastAsia="仿宋_GB2312"/>
                <w:b/>
                <w:bCs/>
                <w:w w:val="90"/>
                <w:sz w:val="24"/>
                <w:szCs w:val="22"/>
              </w:rPr>
            </w:pPr>
          </w:p>
        </w:tc>
        <w:tc>
          <w:tcPr>
            <w:tcW w:w="2664" w:type="dxa"/>
            <w:noWrap w:val="0"/>
            <w:vAlign w:val="center"/>
          </w:tcPr>
          <w:p>
            <w:pPr>
              <w:adjustRightInd w:val="0"/>
              <w:snapToGrid w:val="0"/>
              <w:spacing w:afterLines="30" w:line="340" w:lineRule="exact"/>
              <w:jc w:val="center"/>
              <w:rPr>
                <w:rFonts w:ascii="仿宋_GB2312" w:hAnsi="仿宋" w:eastAsia="仿宋_GB2312"/>
                <w:b/>
                <w:bCs/>
                <w:sz w:val="24"/>
                <w:szCs w:val="22"/>
              </w:rPr>
            </w:pPr>
          </w:p>
        </w:tc>
        <w:tc>
          <w:tcPr>
            <w:tcW w:w="916" w:type="dxa"/>
            <w:tcBorders>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1529"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2877" w:type="dxa"/>
            <w:tcBorders>
              <w:left w:val="single" w:color="auto" w:sz="4" w:space="0"/>
            </w:tcBorders>
            <w:noWrap w:val="0"/>
            <w:vAlign w:val="center"/>
          </w:tcPr>
          <w:p>
            <w:pPr>
              <w:adjustRightInd w:val="0"/>
              <w:snapToGrid w:val="0"/>
              <w:spacing w:afterLines="30" w:line="340" w:lineRule="exact"/>
              <w:rPr>
                <w:rFonts w:ascii="仿宋_GB2312" w:hAnsi="仿宋" w:eastAsia="仿宋_GB2312"/>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544" w:type="dxa"/>
            <w:vMerge w:val="continue"/>
            <w:noWrap w:val="0"/>
            <w:vAlign w:val="center"/>
          </w:tcPr>
          <w:p>
            <w:pPr>
              <w:adjustRightInd w:val="0"/>
              <w:snapToGrid w:val="0"/>
              <w:spacing w:afterLines="30" w:line="340" w:lineRule="exact"/>
              <w:rPr>
                <w:rFonts w:ascii="仿宋_GB2312" w:hAnsi="仿宋" w:eastAsia="仿宋_GB2312"/>
                <w:b/>
                <w:bCs/>
                <w:sz w:val="24"/>
                <w:szCs w:val="22"/>
              </w:rPr>
            </w:pPr>
          </w:p>
        </w:tc>
        <w:tc>
          <w:tcPr>
            <w:tcW w:w="2664" w:type="dxa"/>
            <w:noWrap w:val="0"/>
            <w:vAlign w:val="center"/>
          </w:tcPr>
          <w:p>
            <w:pPr>
              <w:adjustRightInd w:val="0"/>
              <w:snapToGrid w:val="0"/>
              <w:spacing w:afterLines="30" w:line="340" w:lineRule="exact"/>
              <w:jc w:val="center"/>
              <w:rPr>
                <w:rFonts w:ascii="仿宋_GB2312" w:hAnsi="仿宋" w:eastAsia="仿宋_GB2312"/>
                <w:b/>
                <w:bCs/>
                <w:sz w:val="24"/>
                <w:szCs w:val="22"/>
              </w:rPr>
            </w:pPr>
          </w:p>
        </w:tc>
        <w:tc>
          <w:tcPr>
            <w:tcW w:w="916" w:type="dxa"/>
            <w:tcBorders>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1529"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2877" w:type="dxa"/>
            <w:tcBorders>
              <w:left w:val="single" w:color="auto" w:sz="4" w:space="0"/>
            </w:tcBorders>
            <w:noWrap w:val="0"/>
            <w:vAlign w:val="center"/>
          </w:tcPr>
          <w:p>
            <w:pPr>
              <w:adjustRightInd w:val="0"/>
              <w:snapToGrid w:val="0"/>
              <w:spacing w:afterLines="30" w:line="340" w:lineRule="exact"/>
              <w:rPr>
                <w:rFonts w:ascii="仿宋_GB2312" w:hAnsi="仿宋" w:eastAsia="仿宋_GB2312"/>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544" w:type="dxa"/>
            <w:vMerge w:val="continue"/>
            <w:noWrap w:val="0"/>
            <w:vAlign w:val="center"/>
          </w:tcPr>
          <w:p>
            <w:pPr>
              <w:adjustRightInd w:val="0"/>
              <w:snapToGrid w:val="0"/>
              <w:spacing w:afterLines="30" w:line="340" w:lineRule="exact"/>
              <w:rPr>
                <w:rFonts w:ascii="仿宋_GB2312" w:hAnsi="仿宋" w:eastAsia="仿宋_GB2312"/>
                <w:b/>
                <w:bCs/>
                <w:sz w:val="24"/>
                <w:szCs w:val="22"/>
              </w:rPr>
            </w:pPr>
          </w:p>
        </w:tc>
        <w:tc>
          <w:tcPr>
            <w:tcW w:w="2664" w:type="dxa"/>
            <w:noWrap w:val="0"/>
            <w:vAlign w:val="center"/>
          </w:tcPr>
          <w:p>
            <w:pPr>
              <w:adjustRightInd w:val="0"/>
              <w:snapToGrid w:val="0"/>
              <w:spacing w:afterLines="30" w:line="340" w:lineRule="exact"/>
              <w:jc w:val="center"/>
              <w:rPr>
                <w:rFonts w:ascii="仿宋_GB2312" w:hAnsi="仿宋" w:eastAsia="仿宋_GB2312"/>
                <w:b/>
                <w:bCs/>
                <w:sz w:val="24"/>
                <w:szCs w:val="22"/>
              </w:rPr>
            </w:pPr>
          </w:p>
        </w:tc>
        <w:tc>
          <w:tcPr>
            <w:tcW w:w="916" w:type="dxa"/>
            <w:tcBorders>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1529"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2877" w:type="dxa"/>
            <w:tcBorders>
              <w:left w:val="single" w:color="auto" w:sz="4" w:space="0"/>
            </w:tcBorders>
            <w:noWrap w:val="0"/>
            <w:vAlign w:val="center"/>
          </w:tcPr>
          <w:p>
            <w:pPr>
              <w:adjustRightInd w:val="0"/>
              <w:snapToGrid w:val="0"/>
              <w:spacing w:afterLines="30" w:line="340" w:lineRule="exact"/>
              <w:rPr>
                <w:rFonts w:ascii="仿宋_GB2312" w:hAnsi="仿宋" w:eastAsia="仿宋_GB2312"/>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544" w:type="dxa"/>
            <w:vMerge w:val="continue"/>
            <w:noWrap w:val="0"/>
            <w:vAlign w:val="center"/>
          </w:tcPr>
          <w:p>
            <w:pPr>
              <w:adjustRightInd w:val="0"/>
              <w:snapToGrid w:val="0"/>
              <w:spacing w:afterLines="30" w:line="340" w:lineRule="exact"/>
              <w:rPr>
                <w:rFonts w:ascii="仿宋_GB2312" w:hAnsi="仿宋" w:eastAsia="仿宋_GB2312"/>
                <w:b/>
                <w:bCs/>
                <w:sz w:val="24"/>
                <w:szCs w:val="22"/>
              </w:rPr>
            </w:pPr>
          </w:p>
        </w:tc>
        <w:tc>
          <w:tcPr>
            <w:tcW w:w="2664" w:type="dxa"/>
            <w:noWrap w:val="0"/>
            <w:vAlign w:val="center"/>
          </w:tcPr>
          <w:p>
            <w:pPr>
              <w:adjustRightInd w:val="0"/>
              <w:snapToGrid w:val="0"/>
              <w:spacing w:afterLines="30" w:line="340" w:lineRule="exact"/>
              <w:jc w:val="center"/>
              <w:rPr>
                <w:rFonts w:ascii="仿宋_GB2312" w:hAnsi="仿宋" w:eastAsia="仿宋_GB2312"/>
                <w:b/>
                <w:bCs/>
                <w:sz w:val="24"/>
                <w:szCs w:val="22"/>
              </w:rPr>
            </w:pPr>
          </w:p>
        </w:tc>
        <w:tc>
          <w:tcPr>
            <w:tcW w:w="916" w:type="dxa"/>
            <w:tcBorders>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1529"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afterLines="30" w:line="340" w:lineRule="exact"/>
              <w:jc w:val="right"/>
              <w:rPr>
                <w:rFonts w:ascii="仿宋_GB2312" w:hAnsi="仿宋" w:eastAsia="仿宋_GB2312"/>
                <w:b/>
                <w:bCs/>
                <w:sz w:val="24"/>
                <w:szCs w:val="22"/>
              </w:rPr>
            </w:pPr>
          </w:p>
        </w:tc>
        <w:tc>
          <w:tcPr>
            <w:tcW w:w="2877" w:type="dxa"/>
            <w:tcBorders>
              <w:left w:val="single" w:color="auto" w:sz="4" w:space="0"/>
            </w:tcBorders>
            <w:noWrap w:val="0"/>
            <w:vAlign w:val="center"/>
          </w:tcPr>
          <w:p>
            <w:pPr>
              <w:adjustRightInd w:val="0"/>
              <w:snapToGrid w:val="0"/>
              <w:spacing w:afterLines="30" w:line="340" w:lineRule="exact"/>
              <w:rPr>
                <w:rFonts w:ascii="仿宋_GB2312" w:hAnsi="仿宋" w:eastAsia="仿宋_GB2312"/>
                <w:b/>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544" w:type="dxa"/>
            <w:vMerge w:val="continue"/>
            <w:noWrap w:val="0"/>
            <w:vAlign w:val="center"/>
          </w:tcPr>
          <w:p>
            <w:pPr>
              <w:adjustRightInd w:val="0"/>
              <w:snapToGrid w:val="0"/>
              <w:spacing w:afterLines="30" w:line="340" w:lineRule="exact"/>
              <w:rPr>
                <w:rFonts w:ascii="仿宋_GB2312" w:hAnsi="仿宋" w:eastAsia="仿宋_GB2312"/>
                <w:b/>
                <w:bCs/>
                <w:sz w:val="24"/>
                <w:szCs w:val="22"/>
              </w:rPr>
            </w:pPr>
          </w:p>
        </w:tc>
        <w:tc>
          <w:tcPr>
            <w:tcW w:w="2664" w:type="dxa"/>
            <w:noWrap w:val="0"/>
            <w:vAlign w:val="center"/>
          </w:tcPr>
          <w:p>
            <w:pPr>
              <w:adjustRightInd w:val="0"/>
              <w:snapToGrid w:val="0"/>
              <w:spacing w:afterLines="30" w:line="340" w:lineRule="exact"/>
              <w:jc w:val="center"/>
              <w:rPr>
                <w:rFonts w:ascii="仿宋_GB2312" w:hAnsi="仿宋" w:eastAsia="仿宋_GB2312"/>
                <w:sz w:val="24"/>
                <w:szCs w:val="22"/>
              </w:rPr>
            </w:pPr>
            <w:r>
              <w:rPr>
                <w:rFonts w:hint="eastAsia" w:ascii="仿宋_GB2312" w:hAnsi="仿宋" w:eastAsia="仿宋_GB2312"/>
                <w:sz w:val="24"/>
                <w:szCs w:val="22"/>
              </w:rPr>
              <w:t>……</w:t>
            </w:r>
          </w:p>
        </w:tc>
        <w:tc>
          <w:tcPr>
            <w:tcW w:w="916" w:type="dxa"/>
            <w:tcBorders>
              <w:right w:val="single" w:color="auto" w:sz="4" w:space="0"/>
            </w:tcBorders>
            <w:noWrap w:val="0"/>
            <w:vAlign w:val="center"/>
          </w:tcPr>
          <w:p>
            <w:pPr>
              <w:adjustRightInd w:val="0"/>
              <w:snapToGrid w:val="0"/>
              <w:spacing w:afterLines="30" w:line="340" w:lineRule="exact"/>
              <w:jc w:val="right"/>
              <w:rPr>
                <w:rFonts w:ascii="仿宋_GB2312" w:hAnsi="仿宋" w:eastAsia="仿宋_GB2312"/>
                <w:b/>
                <w:sz w:val="24"/>
                <w:szCs w:val="22"/>
              </w:rPr>
            </w:pPr>
          </w:p>
        </w:tc>
        <w:tc>
          <w:tcPr>
            <w:tcW w:w="1529" w:type="dxa"/>
            <w:tcBorders>
              <w:top w:val="single" w:color="auto" w:sz="6" w:space="0"/>
              <w:left w:val="single" w:color="auto" w:sz="4" w:space="0"/>
              <w:right w:val="single" w:color="auto" w:sz="4" w:space="0"/>
            </w:tcBorders>
            <w:noWrap w:val="0"/>
            <w:vAlign w:val="center"/>
          </w:tcPr>
          <w:p>
            <w:pPr>
              <w:adjustRightInd w:val="0"/>
              <w:snapToGrid w:val="0"/>
              <w:spacing w:afterLines="30" w:line="340" w:lineRule="exact"/>
              <w:jc w:val="right"/>
              <w:rPr>
                <w:rFonts w:ascii="仿宋_GB2312" w:hAnsi="仿宋" w:eastAsia="仿宋_GB2312"/>
                <w:b/>
                <w:sz w:val="24"/>
                <w:szCs w:val="22"/>
              </w:rPr>
            </w:pPr>
          </w:p>
        </w:tc>
        <w:tc>
          <w:tcPr>
            <w:tcW w:w="2877" w:type="dxa"/>
            <w:tcBorders>
              <w:left w:val="single" w:color="auto" w:sz="4" w:space="0"/>
            </w:tcBorders>
            <w:noWrap w:val="0"/>
            <w:vAlign w:val="center"/>
          </w:tcPr>
          <w:p>
            <w:pPr>
              <w:adjustRightInd w:val="0"/>
              <w:snapToGrid w:val="0"/>
              <w:spacing w:afterLines="30" w:line="340" w:lineRule="exact"/>
              <w:rPr>
                <w:rFonts w:ascii="仿宋_GB2312" w:hAnsi="仿宋" w:eastAsia="仿宋_GB2312"/>
                <w:b/>
                <w:sz w:val="24"/>
                <w:szCs w:val="22"/>
              </w:rPr>
            </w:pPr>
          </w:p>
        </w:tc>
      </w:tr>
    </w:tbl>
    <w:p>
      <w:pPr>
        <w:jc w:val="left"/>
        <w:rPr>
          <w:rFonts w:ascii="仿宋" w:hAnsi="仿宋"/>
          <w:szCs w:val="32"/>
        </w:rPr>
      </w:pPr>
      <w:r>
        <w:rPr>
          <w:rFonts w:hint="eastAsia" w:ascii="仿宋" w:hAnsi="仿宋"/>
          <w:szCs w:val="32"/>
        </w:rPr>
        <w:br w:type="page"/>
      </w:r>
    </w:p>
    <w:p>
      <w:pPr>
        <w:jc w:val="left"/>
        <w:rPr>
          <w:rFonts w:ascii="黑体" w:hAnsi="黑体" w:eastAsia="黑体"/>
          <w:sz w:val="32"/>
          <w:szCs w:val="32"/>
        </w:rPr>
      </w:pPr>
      <w:r>
        <w:rPr>
          <w:rFonts w:hint="eastAsia" w:ascii="黑体" w:hAnsi="黑体" w:eastAsia="黑体"/>
          <w:sz w:val="32"/>
          <w:szCs w:val="32"/>
        </w:rPr>
        <w:t>附件4 载体季度报送材料</w:t>
      </w:r>
    </w:p>
    <w:p>
      <w:pPr>
        <w:rPr>
          <w:rFonts w:ascii="黑体" w:hAnsi="黑体" w:eastAsia="黑体"/>
          <w:sz w:val="32"/>
          <w:szCs w:val="32"/>
        </w:rPr>
      </w:pPr>
      <w:r>
        <w:rPr>
          <w:rFonts w:hint="eastAsia" w:ascii="黑体" w:hAnsi="黑体" w:eastAsia="黑体"/>
          <w:sz w:val="32"/>
          <w:szCs w:val="32"/>
        </w:rPr>
        <w:t>附件4-1 绩效数据指标报送表（季报）</w:t>
      </w:r>
    </w:p>
    <w:p>
      <w:pPr>
        <w:rPr>
          <w:rFonts w:ascii="黑体" w:hAnsi="黑体" w:eastAsia="黑体"/>
          <w:sz w:val="32"/>
          <w:szCs w:val="32"/>
        </w:rPr>
      </w:pPr>
    </w:p>
    <w:p>
      <w:pPr>
        <w:jc w:val="center"/>
        <w:rPr>
          <w:rFonts w:ascii="方正小标宋简体" w:hAnsi="黑体" w:eastAsia="方正小标宋简体"/>
          <w:sz w:val="32"/>
          <w:szCs w:val="32"/>
        </w:rPr>
      </w:pPr>
      <w:r>
        <w:rPr>
          <w:rFonts w:hint="eastAsia" w:ascii="方正小标宋简体" w:hAnsi="黑体" w:eastAsia="方正小标宋简体"/>
          <w:sz w:val="32"/>
          <w:szCs w:val="32"/>
        </w:rPr>
        <w:t>大中小企业融通型载体绩效数据指标报送表</w:t>
      </w:r>
    </w:p>
    <w:p>
      <w:pPr>
        <w:jc w:val="left"/>
        <w:rPr>
          <w:rFonts w:ascii="仿宋_GB2312" w:hAnsi="仿宋" w:eastAsia="仿宋_GB2312"/>
          <w:sz w:val="24"/>
        </w:rPr>
      </w:pPr>
      <w:r>
        <w:rPr>
          <w:rFonts w:hint="eastAsia" w:ascii="仿宋_GB2312" w:hAnsi="仿宋" w:eastAsia="仿宋_GB2312"/>
          <w:sz w:val="24"/>
        </w:rPr>
        <w:t xml:space="preserve">                                      报送时间： 年  月 （统一标注时间）</w:t>
      </w:r>
    </w:p>
    <w:tbl>
      <w:tblPr>
        <w:tblStyle w:val="9"/>
        <w:tblW w:w="99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5"/>
        <w:gridCol w:w="4856"/>
        <w:gridCol w:w="1711"/>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1675" w:type="dxa"/>
            <w:noWrap w:val="0"/>
            <w:vAlign w:val="center"/>
          </w:tcPr>
          <w:p>
            <w:pPr>
              <w:autoSpaceDE w:val="0"/>
              <w:autoSpaceDN w:val="0"/>
              <w:spacing w:line="400" w:lineRule="exact"/>
              <w:ind w:left="352" w:right="346"/>
              <w:jc w:val="center"/>
              <w:rPr>
                <w:rFonts w:ascii="仿宋_GB2312" w:hAnsi="仿宋" w:eastAsia="仿宋_GB2312" w:cs="Arial Unicode MS"/>
                <w:b/>
                <w:kern w:val="0"/>
                <w:sz w:val="24"/>
                <w:lang w:eastAsia="en-US"/>
              </w:rPr>
            </w:pPr>
            <w:r>
              <w:rPr>
                <w:rFonts w:hint="eastAsia" w:ascii="仿宋_GB2312" w:hAnsi="仿宋" w:eastAsia="仿宋_GB2312" w:cs="Arial Unicode MS"/>
                <w:b/>
                <w:kern w:val="0"/>
                <w:sz w:val="24"/>
                <w:lang w:eastAsia="en-US"/>
              </w:rPr>
              <w:t>一级指标</w:t>
            </w:r>
          </w:p>
        </w:tc>
        <w:tc>
          <w:tcPr>
            <w:tcW w:w="4856" w:type="dxa"/>
            <w:noWrap w:val="0"/>
            <w:vAlign w:val="center"/>
          </w:tcPr>
          <w:p>
            <w:pPr>
              <w:autoSpaceDE w:val="0"/>
              <w:autoSpaceDN w:val="0"/>
              <w:spacing w:line="400" w:lineRule="exact"/>
              <w:ind w:left="352" w:right="346"/>
              <w:jc w:val="center"/>
              <w:rPr>
                <w:rFonts w:ascii="仿宋_GB2312" w:hAnsi="仿宋" w:eastAsia="仿宋_GB2312" w:cs="Arial Unicode MS"/>
                <w:b/>
                <w:kern w:val="0"/>
                <w:sz w:val="24"/>
                <w:lang w:eastAsia="en-US"/>
              </w:rPr>
            </w:pPr>
            <w:r>
              <w:rPr>
                <w:rFonts w:hint="eastAsia" w:ascii="仿宋_GB2312" w:hAnsi="仿宋" w:eastAsia="仿宋_GB2312" w:cs="Arial Unicode MS"/>
                <w:b/>
                <w:kern w:val="0"/>
                <w:sz w:val="24"/>
                <w:lang w:eastAsia="en-US"/>
              </w:rPr>
              <w:t>二级指标</w:t>
            </w:r>
          </w:p>
        </w:tc>
        <w:tc>
          <w:tcPr>
            <w:tcW w:w="1711" w:type="dxa"/>
            <w:noWrap w:val="0"/>
            <w:vAlign w:val="center"/>
          </w:tcPr>
          <w:p>
            <w:pPr>
              <w:autoSpaceDE w:val="0"/>
              <w:autoSpaceDN w:val="0"/>
              <w:spacing w:line="400" w:lineRule="exact"/>
              <w:jc w:val="center"/>
              <w:rPr>
                <w:rFonts w:ascii="仿宋_GB2312" w:hAnsi="仿宋" w:eastAsia="仿宋_GB2312" w:cs="Arial Unicode MS"/>
                <w:b/>
                <w:kern w:val="0"/>
                <w:sz w:val="24"/>
                <w:lang w:eastAsia="en-US"/>
              </w:rPr>
            </w:pPr>
            <w:r>
              <w:rPr>
                <w:rFonts w:hint="eastAsia" w:ascii="仿宋_GB2312" w:hAnsi="仿宋" w:eastAsia="仿宋_GB2312" w:cs="Arial Unicode MS"/>
                <w:b/>
                <w:kern w:val="0"/>
                <w:sz w:val="24"/>
                <w:lang w:eastAsia="en-US"/>
              </w:rPr>
              <w:t>报送期末值</w:t>
            </w:r>
          </w:p>
        </w:tc>
        <w:tc>
          <w:tcPr>
            <w:tcW w:w="1711" w:type="dxa"/>
            <w:noWrap w:val="0"/>
            <w:vAlign w:val="center"/>
          </w:tcPr>
          <w:p>
            <w:pPr>
              <w:autoSpaceDE w:val="0"/>
              <w:autoSpaceDN w:val="0"/>
              <w:spacing w:line="400" w:lineRule="exact"/>
              <w:ind w:left="352" w:right="346"/>
              <w:jc w:val="center"/>
              <w:rPr>
                <w:rFonts w:ascii="仿宋_GB2312" w:hAnsi="仿宋" w:eastAsia="仿宋_GB2312" w:cs="Arial Unicode MS"/>
                <w:b/>
                <w:kern w:val="0"/>
                <w:sz w:val="24"/>
                <w:lang w:eastAsia="en-US"/>
              </w:rPr>
            </w:pPr>
            <w:r>
              <w:rPr>
                <w:rFonts w:hint="eastAsia" w:ascii="仿宋_GB2312" w:hAnsi="仿宋" w:eastAsia="仿宋_GB2312" w:cs="Arial Unicode MS"/>
                <w:b/>
                <w:kern w:val="0"/>
                <w:sz w:val="24"/>
                <w:lang w:eastAsia="en-US"/>
              </w:rPr>
              <w:t>支持文件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jc w:val="center"/>
        </w:trPr>
        <w:tc>
          <w:tcPr>
            <w:tcW w:w="1675" w:type="dxa"/>
            <w:vMerge w:val="restart"/>
            <w:noWrap w:val="0"/>
            <w:vAlign w:val="center"/>
          </w:tcPr>
          <w:p>
            <w:pPr>
              <w:autoSpaceDE w:val="0"/>
              <w:autoSpaceDN w:val="0"/>
              <w:spacing w:line="400" w:lineRule="exact"/>
              <w:jc w:val="center"/>
              <w:rPr>
                <w:rFonts w:ascii="仿宋_GB2312" w:hAnsi="仿宋" w:eastAsia="仿宋_GB2312" w:cs="Arial Unicode MS"/>
                <w:kern w:val="0"/>
                <w:sz w:val="24"/>
                <w:lang w:eastAsia="en-US"/>
              </w:rPr>
            </w:pPr>
            <w:r>
              <w:rPr>
                <w:rFonts w:hint="eastAsia" w:ascii="仿宋_GB2312" w:hAnsi="仿宋" w:eastAsia="仿宋_GB2312" w:cs="Arial Unicode MS"/>
                <w:kern w:val="0"/>
                <w:sz w:val="24"/>
                <w:lang w:eastAsia="en-US"/>
              </w:rPr>
              <w:t>产业集聚度</w:t>
            </w:r>
          </w:p>
        </w:tc>
        <w:tc>
          <w:tcPr>
            <w:tcW w:w="4856" w:type="dxa"/>
            <w:noWrap w:val="0"/>
            <w:vAlign w:val="bottom"/>
          </w:tcPr>
          <w:p>
            <w:pPr>
              <w:autoSpaceDE w:val="0"/>
              <w:autoSpaceDN w:val="0"/>
              <w:spacing w:line="400" w:lineRule="exact"/>
              <w:ind w:left="107" w:right="96"/>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载体吸引入驻的企业总数（个）</w:t>
            </w:r>
          </w:p>
          <w:p>
            <w:pPr>
              <w:autoSpaceDE w:val="0"/>
              <w:autoSpaceDN w:val="0"/>
              <w:spacing w:line="400" w:lineRule="exact"/>
              <w:ind w:left="107" w:right="96"/>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jc w:val="lef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jc w:val="lef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jc w:val="center"/>
        </w:trPr>
        <w:tc>
          <w:tcPr>
            <w:tcW w:w="1675" w:type="dxa"/>
            <w:vMerge w:val="continue"/>
            <w:noWrap w:val="0"/>
            <w:vAlign w:val="center"/>
          </w:tcPr>
          <w:p>
            <w:pPr>
              <w:autoSpaceDE w:val="0"/>
              <w:autoSpaceDN w:val="0"/>
              <w:spacing w:line="400" w:lineRule="exact"/>
              <w:ind w:right="345"/>
              <w:jc w:val="center"/>
              <w:rPr>
                <w:rFonts w:ascii="仿宋_GB2312" w:hAnsi="仿宋" w:eastAsia="仿宋_GB2312" w:cs="Arial Unicode MS"/>
                <w:kern w:val="0"/>
                <w:sz w:val="24"/>
                <w:lang w:eastAsia="zh-CN"/>
              </w:rPr>
            </w:pPr>
          </w:p>
        </w:tc>
        <w:tc>
          <w:tcPr>
            <w:tcW w:w="4856" w:type="dxa"/>
            <w:noWrap w:val="0"/>
            <w:vAlign w:val="center"/>
          </w:tcPr>
          <w:p>
            <w:pPr>
              <w:autoSpaceDE w:val="0"/>
              <w:autoSpaceDN w:val="0"/>
              <w:spacing w:line="400" w:lineRule="exact"/>
              <w:ind w:left="107" w:right="96"/>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载体在主要服务的行业领域吸引入驻的企业数（个）</w:t>
            </w:r>
          </w:p>
        </w:tc>
        <w:tc>
          <w:tcPr>
            <w:tcW w:w="1711" w:type="dxa"/>
            <w:noWrap w:val="0"/>
            <w:vAlign w:val="top"/>
          </w:tcPr>
          <w:p>
            <w:pPr>
              <w:autoSpaceDE w:val="0"/>
              <w:autoSpaceDN w:val="0"/>
              <w:spacing w:line="400" w:lineRule="exact"/>
              <w:jc w:val="lef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jc w:val="lef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675" w:type="dxa"/>
            <w:vMerge w:val="continue"/>
            <w:noWrap w:val="0"/>
            <w:vAlign w:val="center"/>
          </w:tcPr>
          <w:p>
            <w:pPr>
              <w:autoSpaceDE w:val="0"/>
              <w:autoSpaceDN w:val="0"/>
              <w:spacing w:line="400" w:lineRule="exact"/>
              <w:ind w:right="345"/>
              <w:jc w:val="center"/>
              <w:rPr>
                <w:rFonts w:ascii="仿宋_GB2312" w:hAnsi="仿宋" w:eastAsia="仿宋_GB2312" w:cs="Arial Unicode MS"/>
                <w:kern w:val="0"/>
                <w:sz w:val="24"/>
                <w:lang w:eastAsia="zh-CN"/>
              </w:rPr>
            </w:pPr>
          </w:p>
        </w:tc>
        <w:tc>
          <w:tcPr>
            <w:tcW w:w="4856" w:type="dxa"/>
            <w:noWrap w:val="0"/>
            <w:vAlign w:val="center"/>
          </w:tcPr>
          <w:p>
            <w:pPr>
              <w:autoSpaceDE w:val="0"/>
              <w:autoSpaceDN w:val="0"/>
              <w:spacing w:line="400" w:lineRule="exact"/>
              <w:ind w:left="107" w:right="96"/>
              <w:rPr>
                <w:rFonts w:ascii="仿宋_GB2312" w:hAnsi="仿宋" w:eastAsia="仿宋_GB2312" w:cs="Arial Unicode MS"/>
                <w:kern w:val="0"/>
                <w:sz w:val="24"/>
                <w:lang w:eastAsia="zh-CN"/>
              </w:rPr>
            </w:pPr>
            <w:r>
              <w:rPr>
                <w:rFonts w:hint="eastAsia" w:ascii="仿宋_GB2312" w:hAnsi="仿宋" w:eastAsia="仿宋_GB2312" w:cs="Times New Roman"/>
                <w:sz w:val="24"/>
                <w:lang w:eastAsia="zh-CN"/>
              </w:rPr>
              <w:t>载体在主要服务的行业领域吸引入驻的企业数占比（%）</w:t>
            </w:r>
          </w:p>
        </w:tc>
        <w:tc>
          <w:tcPr>
            <w:tcW w:w="1711" w:type="dxa"/>
            <w:noWrap w:val="0"/>
            <w:vAlign w:val="top"/>
          </w:tcPr>
          <w:p>
            <w:pPr>
              <w:autoSpaceDE w:val="0"/>
              <w:autoSpaceDN w:val="0"/>
              <w:spacing w:line="400" w:lineRule="exact"/>
              <w:jc w:val="lef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jc w:val="lef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675" w:type="dxa"/>
            <w:vMerge w:val="restart"/>
            <w:noWrap w:val="0"/>
            <w:vAlign w:val="center"/>
          </w:tcPr>
          <w:p>
            <w:pPr>
              <w:autoSpaceDE w:val="0"/>
              <w:autoSpaceDN w:val="0"/>
              <w:spacing w:line="400" w:lineRule="exact"/>
              <w:jc w:val="center"/>
              <w:rPr>
                <w:rFonts w:ascii="仿宋_GB2312" w:hAnsi="仿宋" w:eastAsia="仿宋_GB2312" w:cs="Arial Unicode MS"/>
                <w:kern w:val="0"/>
                <w:sz w:val="24"/>
                <w:lang w:eastAsia="en-US"/>
              </w:rPr>
            </w:pPr>
            <w:r>
              <w:rPr>
                <w:rFonts w:hint="eastAsia" w:ascii="仿宋_GB2312" w:hAnsi="仿宋" w:eastAsia="仿宋_GB2312" w:cs="Arial Unicode MS"/>
                <w:kern w:val="0"/>
                <w:sz w:val="24"/>
                <w:lang w:eastAsia="en-US"/>
              </w:rPr>
              <w:t>资源聚集力</w:t>
            </w:r>
          </w:p>
        </w:tc>
        <w:tc>
          <w:tcPr>
            <w:tcW w:w="4856" w:type="dxa"/>
            <w:noWrap w:val="0"/>
            <w:vAlign w:val="top"/>
          </w:tcPr>
          <w:p>
            <w:pPr>
              <w:autoSpaceDE w:val="0"/>
              <w:autoSpaceDN w:val="0"/>
              <w:spacing w:before="228" w:line="400" w:lineRule="exact"/>
              <w:ind w:left="107"/>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载体从业人员数（人）</w:t>
            </w:r>
          </w:p>
        </w:tc>
        <w:tc>
          <w:tcPr>
            <w:tcW w:w="1711" w:type="dxa"/>
            <w:noWrap w:val="0"/>
            <w:vAlign w:val="center"/>
          </w:tcPr>
          <w:p>
            <w:pPr>
              <w:autoSpaceDE w:val="0"/>
              <w:autoSpaceDN w:val="0"/>
              <w:spacing w:line="400" w:lineRule="exac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75" w:type="dxa"/>
            <w:vMerge w:val="continue"/>
            <w:tcBorders>
              <w:top w:val="nil"/>
            </w:tcBorders>
            <w:noWrap w:val="0"/>
            <w:vAlign w:val="center"/>
          </w:tcPr>
          <w:p>
            <w:pPr>
              <w:autoSpaceDE w:val="0"/>
              <w:autoSpaceDN w:val="0"/>
              <w:spacing w:line="400" w:lineRule="exact"/>
              <w:jc w:val="center"/>
              <w:rPr>
                <w:rFonts w:ascii="仿宋_GB2312" w:hAnsi="仿宋" w:eastAsia="仿宋_GB2312" w:cs="Arial Unicode MS"/>
                <w:kern w:val="0"/>
                <w:sz w:val="24"/>
                <w:lang w:eastAsia="zh-CN"/>
              </w:rPr>
            </w:pPr>
          </w:p>
        </w:tc>
        <w:tc>
          <w:tcPr>
            <w:tcW w:w="4856" w:type="dxa"/>
            <w:noWrap w:val="0"/>
            <w:vAlign w:val="center"/>
          </w:tcPr>
          <w:p>
            <w:pPr>
              <w:autoSpaceDE w:val="0"/>
              <w:autoSpaceDN w:val="0"/>
              <w:spacing w:line="400" w:lineRule="exact"/>
              <w:ind w:left="107"/>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合作的资本服务机构数（个）</w:t>
            </w:r>
          </w:p>
        </w:tc>
        <w:tc>
          <w:tcPr>
            <w:tcW w:w="1711" w:type="dxa"/>
            <w:noWrap w:val="0"/>
            <w:vAlign w:val="center"/>
          </w:tcPr>
          <w:p>
            <w:pPr>
              <w:autoSpaceDE w:val="0"/>
              <w:autoSpaceDN w:val="0"/>
              <w:spacing w:line="400" w:lineRule="exac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75" w:type="dxa"/>
            <w:vMerge w:val="continue"/>
            <w:tcBorders>
              <w:top w:val="nil"/>
            </w:tcBorders>
            <w:noWrap w:val="0"/>
            <w:vAlign w:val="center"/>
          </w:tcPr>
          <w:p>
            <w:pPr>
              <w:autoSpaceDE w:val="0"/>
              <w:autoSpaceDN w:val="0"/>
              <w:spacing w:line="400" w:lineRule="exact"/>
              <w:jc w:val="center"/>
              <w:rPr>
                <w:rFonts w:ascii="仿宋_GB2312" w:hAnsi="仿宋" w:eastAsia="仿宋_GB2312" w:cs="Arial Unicode MS"/>
                <w:kern w:val="0"/>
                <w:sz w:val="24"/>
                <w:lang w:eastAsia="zh-CN"/>
              </w:rPr>
            </w:pPr>
          </w:p>
        </w:tc>
        <w:tc>
          <w:tcPr>
            <w:tcW w:w="4856" w:type="dxa"/>
            <w:noWrap w:val="0"/>
            <w:vAlign w:val="center"/>
          </w:tcPr>
          <w:p>
            <w:pPr>
              <w:autoSpaceDE w:val="0"/>
              <w:autoSpaceDN w:val="0"/>
              <w:spacing w:before="200" w:line="400" w:lineRule="exact"/>
              <w:ind w:left="107" w:right="96"/>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载体拥有或合作的各类专业公共技术服务平台数（个）</w:t>
            </w:r>
          </w:p>
        </w:tc>
        <w:tc>
          <w:tcPr>
            <w:tcW w:w="1711" w:type="dxa"/>
            <w:noWrap w:val="0"/>
            <w:vAlign w:val="center"/>
          </w:tcPr>
          <w:p>
            <w:pPr>
              <w:autoSpaceDE w:val="0"/>
              <w:autoSpaceDN w:val="0"/>
              <w:spacing w:line="400" w:lineRule="exac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75" w:type="dxa"/>
            <w:vMerge w:val="continue"/>
            <w:tcBorders>
              <w:top w:val="nil"/>
            </w:tcBorders>
            <w:noWrap w:val="0"/>
            <w:vAlign w:val="center"/>
          </w:tcPr>
          <w:p>
            <w:pPr>
              <w:autoSpaceDE w:val="0"/>
              <w:autoSpaceDN w:val="0"/>
              <w:spacing w:line="400" w:lineRule="exact"/>
              <w:jc w:val="center"/>
              <w:rPr>
                <w:rFonts w:ascii="仿宋_GB2312" w:hAnsi="仿宋" w:eastAsia="仿宋_GB2312" w:cs="Arial Unicode MS"/>
                <w:kern w:val="0"/>
                <w:sz w:val="24"/>
                <w:lang w:eastAsia="zh-CN"/>
              </w:rPr>
            </w:pPr>
          </w:p>
        </w:tc>
        <w:tc>
          <w:tcPr>
            <w:tcW w:w="4856" w:type="dxa"/>
            <w:noWrap w:val="0"/>
            <w:vAlign w:val="center"/>
          </w:tcPr>
          <w:p>
            <w:pPr>
              <w:autoSpaceDE w:val="0"/>
              <w:autoSpaceDN w:val="0"/>
              <w:spacing w:before="219" w:line="400" w:lineRule="exact"/>
              <w:jc w:val="left"/>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载体创业导师数（人）</w:t>
            </w:r>
          </w:p>
        </w:tc>
        <w:tc>
          <w:tcPr>
            <w:tcW w:w="1711" w:type="dxa"/>
            <w:noWrap w:val="0"/>
            <w:vAlign w:val="center"/>
          </w:tcPr>
          <w:p>
            <w:pPr>
              <w:autoSpaceDE w:val="0"/>
              <w:autoSpaceDN w:val="0"/>
              <w:spacing w:line="400" w:lineRule="exac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75" w:type="dxa"/>
            <w:vMerge w:val="continue"/>
            <w:tcBorders>
              <w:top w:val="nil"/>
            </w:tcBorders>
            <w:noWrap w:val="0"/>
            <w:vAlign w:val="center"/>
          </w:tcPr>
          <w:p>
            <w:pPr>
              <w:autoSpaceDE w:val="0"/>
              <w:autoSpaceDN w:val="0"/>
              <w:spacing w:line="400" w:lineRule="exact"/>
              <w:jc w:val="center"/>
              <w:rPr>
                <w:rFonts w:ascii="仿宋_GB2312" w:hAnsi="仿宋" w:eastAsia="仿宋_GB2312" w:cs="Arial Unicode MS"/>
                <w:kern w:val="0"/>
                <w:sz w:val="24"/>
                <w:lang w:eastAsia="zh-CN"/>
              </w:rPr>
            </w:pPr>
          </w:p>
        </w:tc>
        <w:tc>
          <w:tcPr>
            <w:tcW w:w="4856" w:type="dxa"/>
            <w:noWrap w:val="0"/>
            <w:vAlign w:val="center"/>
          </w:tcPr>
          <w:p>
            <w:pPr>
              <w:autoSpaceDE w:val="0"/>
              <w:autoSpaceDN w:val="0"/>
              <w:spacing w:before="162" w:line="400" w:lineRule="exact"/>
              <w:ind w:right="96"/>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载体组织创新创业大赛和项目路演总次数（次）</w:t>
            </w:r>
          </w:p>
        </w:tc>
        <w:tc>
          <w:tcPr>
            <w:tcW w:w="1711" w:type="dxa"/>
            <w:noWrap w:val="0"/>
            <w:vAlign w:val="center"/>
          </w:tcPr>
          <w:p>
            <w:pPr>
              <w:autoSpaceDE w:val="0"/>
              <w:autoSpaceDN w:val="0"/>
              <w:spacing w:line="400" w:lineRule="exac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75" w:type="dxa"/>
            <w:vMerge w:val="continue"/>
            <w:tcBorders>
              <w:top w:val="nil"/>
            </w:tcBorders>
            <w:noWrap w:val="0"/>
            <w:vAlign w:val="center"/>
          </w:tcPr>
          <w:p>
            <w:pPr>
              <w:autoSpaceDE w:val="0"/>
              <w:autoSpaceDN w:val="0"/>
              <w:spacing w:line="400" w:lineRule="exact"/>
              <w:jc w:val="center"/>
              <w:rPr>
                <w:rFonts w:ascii="仿宋_GB2312" w:hAnsi="仿宋" w:eastAsia="仿宋_GB2312" w:cs="Arial Unicode MS"/>
                <w:kern w:val="0"/>
                <w:sz w:val="24"/>
                <w:lang w:eastAsia="zh-CN"/>
              </w:rPr>
            </w:pPr>
          </w:p>
        </w:tc>
        <w:tc>
          <w:tcPr>
            <w:tcW w:w="4856" w:type="dxa"/>
            <w:noWrap w:val="0"/>
            <w:vAlign w:val="center"/>
          </w:tcPr>
          <w:p>
            <w:pPr>
              <w:autoSpaceDE w:val="0"/>
              <w:autoSpaceDN w:val="0"/>
              <w:spacing w:before="38" w:line="400" w:lineRule="exact"/>
              <w:ind w:left="107"/>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载体已达成合作的行业龙头企业数（家）</w:t>
            </w:r>
          </w:p>
        </w:tc>
        <w:tc>
          <w:tcPr>
            <w:tcW w:w="1711" w:type="dxa"/>
            <w:noWrap w:val="0"/>
            <w:vAlign w:val="center"/>
          </w:tcPr>
          <w:p>
            <w:pPr>
              <w:autoSpaceDE w:val="0"/>
              <w:autoSpaceDN w:val="0"/>
              <w:spacing w:line="400" w:lineRule="exac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675" w:type="dxa"/>
            <w:vMerge w:val="restart"/>
            <w:noWrap w:val="0"/>
            <w:vAlign w:val="center"/>
          </w:tcPr>
          <w:p>
            <w:pPr>
              <w:autoSpaceDE w:val="0"/>
              <w:autoSpaceDN w:val="0"/>
              <w:spacing w:line="400" w:lineRule="exact"/>
              <w:jc w:val="center"/>
              <w:rPr>
                <w:rFonts w:ascii="仿宋_GB2312" w:hAnsi="仿宋" w:eastAsia="仿宋_GB2312" w:cs="Arial Unicode MS"/>
                <w:kern w:val="0"/>
                <w:sz w:val="24"/>
                <w:lang w:eastAsia="en-US"/>
              </w:rPr>
            </w:pPr>
            <w:r>
              <w:rPr>
                <w:rFonts w:hint="eastAsia" w:ascii="仿宋_GB2312" w:hAnsi="仿宋" w:eastAsia="仿宋_GB2312" w:cs="Arial Unicode MS"/>
                <w:kern w:val="0"/>
                <w:sz w:val="24"/>
                <w:lang w:eastAsia="en-US"/>
              </w:rPr>
              <w:t>持续发展力</w:t>
            </w:r>
          </w:p>
        </w:tc>
        <w:tc>
          <w:tcPr>
            <w:tcW w:w="4856" w:type="dxa"/>
            <w:noWrap w:val="0"/>
            <w:vAlign w:val="center"/>
          </w:tcPr>
          <w:p>
            <w:pPr>
              <w:autoSpaceDE w:val="0"/>
              <w:autoSpaceDN w:val="0"/>
              <w:spacing w:line="400" w:lineRule="exact"/>
              <w:ind w:left="107" w:right="97"/>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载体上一年度营业收入（万元）</w:t>
            </w:r>
          </w:p>
        </w:tc>
        <w:tc>
          <w:tcPr>
            <w:tcW w:w="1711" w:type="dxa"/>
            <w:noWrap w:val="0"/>
            <w:vAlign w:val="center"/>
          </w:tcPr>
          <w:p>
            <w:pPr>
              <w:autoSpaceDE w:val="0"/>
              <w:autoSpaceDN w:val="0"/>
              <w:spacing w:line="400" w:lineRule="exac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675" w:type="dxa"/>
            <w:vMerge w:val="continue"/>
            <w:noWrap w:val="0"/>
            <w:vAlign w:val="center"/>
          </w:tcPr>
          <w:p>
            <w:pPr>
              <w:autoSpaceDE w:val="0"/>
              <w:autoSpaceDN w:val="0"/>
              <w:spacing w:line="400" w:lineRule="exact"/>
              <w:jc w:val="center"/>
              <w:rPr>
                <w:rFonts w:ascii="仿宋_GB2312" w:hAnsi="仿宋" w:eastAsia="仿宋_GB2312" w:cs="Arial Unicode MS"/>
                <w:kern w:val="0"/>
                <w:sz w:val="24"/>
                <w:lang w:eastAsia="zh-CN"/>
              </w:rPr>
            </w:pPr>
          </w:p>
        </w:tc>
        <w:tc>
          <w:tcPr>
            <w:tcW w:w="4856" w:type="dxa"/>
            <w:noWrap w:val="0"/>
            <w:vAlign w:val="center"/>
          </w:tcPr>
          <w:p>
            <w:pPr>
              <w:autoSpaceDE w:val="0"/>
              <w:autoSpaceDN w:val="0"/>
              <w:spacing w:line="400" w:lineRule="exact"/>
              <w:ind w:left="107" w:right="97"/>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载体实际建成面积（平方米）</w:t>
            </w:r>
          </w:p>
        </w:tc>
        <w:tc>
          <w:tcPr>
            <w:tcW w:w="1711" w:type="dxa"/>
            <w:noWrap w:val="0"/>
            <w:vAlign w:val="center"/>
          </w:tcPr>
          <w:p>
            <w:pPr>
              <w:autoSpaceDE w:val="0"/>
              <w:autoSpaceDN w:val="0"/>
              <w:spacing w:line="400" w:lineRule="exac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675" w:type="dxa"/>
            <w:vMerge w:val="continue"/>
            <w:tcBorders>
              <w:top w:val="nil"/>
            </w:tcBorders>
            <w:noWrap w:val="0"/>
            <w:vAlign w:val="center"/>
          </w:tcPr>
          <w:p>
            <w:pPr>
              <w:autoSpaceDE w:val="0"/>
              <w:autoSpaceDN w:val="0"/>
              <w:spacing w:line="400" w:lineRule="exact"/>
              <w:jc w:val="center"/>
              <w:rPr>
                <w:rFonts w:ascii="仿宋_GB2312" w:hAnsi="仿宋" w:eastAsia="仿宋_GB2312" w:cs="Arial Unicode MS"/>
                <w:kern w:val="0"/>
                <w:sz w:val="24"/>
                <w:lang w:eastAsia="zh-CN"/>
              </w:rPr>
            </w:pPr>
          </w:p>
        </w:tc>
        <w:tc>
          <w:tcPr>
            <w:tcW w:w="4856" w:type="dxa"/>
            <w:noWrap w:val="0"/>
            <w:vAlign w:val="center"/>
          </w:tcPr>
          <w:p>
            <w:pPr>
              <w:autoSpaceDE w:val="0"/>
              <w:autoSpaceDN w:val="0"/>
              <w:spacing w:before="83" w:line="400" w:lineRule="exact"/>
              <w:ind w:left="107" w:right="96"/>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载体从业人员中大学及以上学历人员占比（%）</w:t>
            </w:r>
          </w:p>
        </w:tc>
        <w:tc>
          <w:tcPr>
            <w:tcW w:w="1711" w:type="dxa"/>
            <w:noWrap w:val="0"/>
            <w:vAlign w:val="center"/>
          </w:tcPr>
          <w:p>
            <w:pPr>
              <w:autoSpaceDE w:val="0"/>
              <w:autoSpaceDN w:val="0"/>
              <w:spacing w:line="400" w:lineRule="exact"/>
              <w:rPr>
                <w:rFonts w:ascii="仿宋_GB2312" w:hAnsi="仿宋" w:eastAsia="仿宋_GB2312" w:cs="Arial Unicode MS"/>
                <w:kern w:val="0"/>
                <w:sz w:val="24"/>
                <w:lang w:eastAsia="zh-CN"/>
              </w:rPr>
            </w:pPr>
          </w:p>
        </w:tc>
        <w:tc>
          <w:tcPr>
            <w:tcW w:w="1711" w:type="dxa"/>
            <w:noWrap w:val="0"/>
            <w:vAlign w:val="top"/>
          </w:tcPr>
          <w:p>
            <w:pPr>
              <w:autoSpaceDE w:val="0"/>
              <w:autoSpaceDN w:val="0"/>
              <w:spacing w:line="400" w:lineRule="exact"/>
              <w:rPr>
                <w:rFonts w:ascii="仿宋_GB2312" w:hAnsi="仿宋" w:eastAsia="仿宋_GB2312" w:cs="Arial Unicode MS"/>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675" w:type="dxa"/>
            <w:vMerge w:val="continue"/>
            <w:tcBorders>
              <w:top w:val="nil"/>
              <w:bottom w:val="single" w:color="auto" w:sz="4" w:space="0"/>
            </w:tcBorders>
            <w:noWrap w:val="0"/>
            <w:vAlign w:val="center"/>
          </w:tcPr>
          <w:p>
            <w:pPr>
              <w:autoSpaceDE w:val="0"/>
              <w:autoSpaceDN w:val="0"/>
              <w:spacing w:line="400" w:lineRule="exact"/>
              <w:jc w:val="center"/>
              <w:rPr>
                <w:rFonts w:ascii="仿宋_GB2312" w:hAnsi="仿宋" w:eastAsia="仿宋_GB2312" w:cs="Arial Unicode MS"/>
                <w:kern w:val="0"/>
                <w:sz w:val="24"/>
                <w:lang w:eastAsia="zh-CN"/>
              </w:rPr>
            </w:pPr>
          </w:p>
        </w:tc>
        <w:tc>
          <w:tcPr>
            <w:tcW w:w="4856" w:type="dxa"/>
            <w:tcBorders>
              <w:bottom w:val="single" w:color="auto" w:sz="4" w:space="0"/>
            </w:tcBorders>
            <w:noWrap w:val="0"/>
            <w:vAlign w:val="center"/>
          </w:tcPr>
          <w:p>
            <w:pPr>
              <w:autoSpaceDE w:val="0"/>
              <w:autoSpaceDN w:val="0"/>
              <w:spacing w:before="44" w:line="400" w:lineRule="exact"/>
              <w:ind w:left="107" w:right="96"/>
              <w:rPr>
                <w:rFonts w:ascii="仿宋_GB2312" w:hAnsi="仿宋" w:eastAsia="仿宋_GB2312" w:cs="Arial Unicode MS"/>
                <w:kern w:val="0"/>
                <w:sz w:val="24"/>
                <w:lang w:eastAsia="zh-CN"/>
              </w:rPr>
            </w:pPr>
            <w:r>
              <w:rPr>
                <w:rFonts w:hint="eastAsia" w:ascii="仿宋_GB2312" w:hAnsi="仿宋" w:eastAsia="仿宋_GB2312" w:cs="Arial Unicode MS"/>
                <w:kern w:val="0"/>
                <w:sz w:val="24"/>
                <w:lang w:eastAsia="zh-CN"/>
              </w:rPr>
              <w:t>载体中的行业龙头企业催生中小企业数（家）</w:t>
            </w:r>
          </w:p>
        </w:tc>
        <w:tc>
          <w:tcPr>
            <w:tcW w:w="1711" w:type="dxa"/>
            <w:tcBorders>
              <w:bottom w:val="single" w:color="auto" w:sz="4" w:space="0"/>
            </w:tcBorders>
            <w:noWrap w:val="0"/>
            <w:vAlign w:val="center"/>
          </w:tcPr>
          <w:p>
            <w:pPr>
              <w:autoSpaceDE w:val="0"/>
              <w:autoSpaceDN w:val="0"/>
              <w:spacing w:line="400" w:lineRule="exact"/>
              <w:rPr>
                <w:rFonts w:ascii="仿宋_GB2312" w:hAnsi="仿宋" w:eastAsia="仿宋_GB2312" w:cs="Arial Unicode MS"/>
                <w:kern w:val="0"/>
                <w:sz w:val="24"/>
                <w:lang w:eastAsia="zh-CN"/>
              </w:rPr>
            </w:pPr>
          </w:p>
        </w:tc>
        <w:tc>
          <w:tcPr>
            <w:tcW w:w="1711" w:type="dxa"/>
            <w:tcBorders>
              <w:bottom w:val="single" w:color="auto" w:sz="4" w:space="0"/>
            </w:tcBorders>
            <w:noWrap w:val="0"/>
            <w:vAlign w:val="top"/>
          </w:tcPr>
          <w:p>
            <w:pPr>
              <w:autoSpaceDE w:val="0"/>
              <w:autoSpaceDN w:val="0"/>
              <w:spacing w:line="400" w:lineRule="exact"/>
              <w:rPr>
                <w:rFonts w:ascii="仿宋_GB2312" w:hAnsi="仿宋" w:eastAsia="仿宋_GB2312" w:cs="Arial Unicode MS"/>
                <w:kern w:val="0"/>
                <w:sz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75"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center"/>
              <w:rPr>
                <w:rFonts w:ascii="仿宋_GB2312" w:hAnsi="仿宋" w:eastAsia="仿宋_GB2312"/>
                <w:sz w:val="24"/>
                <w:szCs w:val="24"/>
                <w:lang w:eastAsia="zh-CN"/>
              </w:rPr>
            </w:pPr>
          </w:p>
          <w:p>
            <w:pPr>
              <w:pStyle w:val="10"/>
              <w:spacing w:line="560" w:lineRule="exact"/>
              <w:ind w:firstLine="0" w:firstLineChars="0"/>
              <w:jc w:val="center"/>
              <w:rPr>
                <w:rFonts w:ascii="仿宋_GB2312" w:hAnsi="仿宋" w:eastAsia="仿宋_GB2312"/>
                <w:sz w:val="24"/>
                <w:szCs w:val="24"/>
              </w:rPr>
            </w:pPr>
            <w:r>
              <w:rPr>
                <w:rFonts w:hint="eastAsia" w:ascii="仿宋_GB2312" w:hAnsi="仿宋" w:eastAsia="仿宋_GB2312"/>
                <w:sz w:val="24"/>
                <w:szCs w:val="24"/>
              </w:rPr>
              <w:t>产出与效益</w:t>
            </w: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before="75" w:line="560" w:lineRule="exact"/>
              <w:ind w:left="107" w:firstLine="0" w:firstLineChars="0"/>
              <w:jc w:val="both"/>
              <w:rPr>
                <w:rFonts w:ascii="仿宋_GB2312" w:hAnsi="仿宋" w:eastAsia="仿宋_GB2312"/>
                <w:sz w:val="24"/>
                <w:szCs w:val="24"/>
                <w:lang w:eastAsia="zh-CN"/>
              </w:rPr>
            </w:pPr>
            <w:r>
              <w:rPr>
                <w:rFonts w:hint="eastAsia" w:ascii="仿宋_GB2312" w:hAnsi="仿宋" w:eastAsia="仿宋_GB2312"/>
                <w:sz w:val="24"/>
                <w:szCs w:val="24"/>
                <w:lang w:eastAsia="zh-CN"/>
              </w:rPr>
              <w:t>入驻载体的企业毕业数（家）</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both"/>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jc w:val="both"/>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before="44" w:line="560" w:lineRule="exact"/>
              <w:ind w:left="107" w:firstLine="0" w:firstLineChars="0"/>
              <w:jc w:val="both"/>
              <w:rPr>
                <w:rFonts w:ascii="仿宋_GB2312" w:hAnsi="仿宋" w:eastAsia="仿宋_GB2312"/>
                <w:sz w:val="24"/>
                <w:szCs w:val="24"/>
                <w:lang w:eastAsia="zh-CN"/>
              </w:rPr>
            </w:pPr>
            <w:r>
              <w:rPr>
                <w:rFonts w:hint="eastAsia" w:ascii="仿宋_GB2312" w:hAnsi="仿宋" w:eastAsia="仿宋_GB2312"/>
                <w:sz w:val="24"/>
                <w:szCs w:val="24"/>
                <w:lang w:eastAsia="zh-CN"/>
              </w:rPr>
              <w:t>入驻载体的企业挂牌或上市数（个）</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both"/>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jc w:val="both"/>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before="100" w:line="560" w:lineRule="exact"/>
              <w:ind w:left="107" w:firstLine="0" w:firstLineChars="0"/>
              <w:jc w:val="both"/>
              <w:rPr>
                <w:rFonts w:ascii="仿宋_GB2312" w:hAnsi="仿宋" w:eastAsia="仿宋_GB2312"/>
                <w:sz w:val="24"/>
                <w:szCs w:val="24"/>
                <w:lang w:eastAsia="zh-CN"/>
              </w:rPr>
            </w:pPr>
            <w:r>
              <w:rPr>
                <w:rFonts w:hint="eastAsia" w:ascii="仿宋_GB2312" w:hAnsi="仿宋" w:eastAsia="仿宋_GB2312"/>
                <w:sz w:val="24"/>
                <w:szCs w:val="24"/>
                <w:lang w:eastAsia="zh-CN"/>
              </w:rPr>
              <w:t>入驻载体的企业规模升级数（家）</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both"/>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jc w:val="both"/>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before="81" w:line="560" w:lineRule="exact"/>
              <w:ind w:left="107" w:right="96" w:firstLine="0" w:firstLineChars="0"/>
              <w:jc w:val="both"/>
              <w:rPr>
                <w:rFonts w:ascii="仿宋_GB2312" w:hAnsi="仿宋" w:eastAsia="仿宋_GB2312"/>
                <w:sz w:val="24"/>
                <w:szCs w:val="24"/>
                <w:lang w:eastAsia="zh-CN"/>
              </w:rPr>
            </w:pPr>
            <w:r>
              <w:rPr>
                <w:rFonts w:hint="eastAsia" w:ascii="仿宋_GB2312" w:hAnsi="仿宋" w:eastAsia="仿宋_GB2312"/>
                <w:spacing w:val="-6"/>
                <w:sz w:val="24"/>
                <w:szCs w:val="24"/>
                <w:lang w:eastAsia="zh-CN"/>
              </w:rPr>
              <w:t>载体培育的经国家、省级认定的专精特新中小企业</w:t>
            </w:r>
            <w:r>
              <w:rPr>
                <w:rFonts w:hint="eastAsia" w:ascii="仿宋_GB2312" w:hAnsi="仿宋" w:eastAsia="仿宋_GB2312"/>
                <w:sz w:val="24"/>
                <w:szCs w:val="24"/>
                <w:lang w:eastAsia="zh-CN"/>
              </w:rPr>
              <w:t>数（家）</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both"/>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jc w:val="both"/>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left="108" w:right="96" w:firstLine="0" w:firstLineChars="0"/>
              <w:jc w:val="both"/>
              <w:rPr>
                <w:rFonts w:ascii="仿宋_GB2312" w:hAnsi="仿宋" w:eastAsia="仿宋_GB2312"/>
                <w:sz w:val="24"/>
                <w:szCs w:val="24"/>
                <w:lang w:eastAsia="zh-CN"/>
              </w:rPr>
            </w:pPr>
            <w:r>
              <w:rPr>
                <w:rFonts w:hint="eastAsia" w:ascii="仿宋_GB2312" w:hAnsi="仿宋" w:eastAsia="仿宋_GB2312"/>
                <w:sz w:val="24"/>
                <w:szCs w:val="24"/>
                <w:lang w:eastAsia="zh-CN"/>
              </w:rPr>
              <w:t>入驻载体的企业被认定为科技型中小企业和高新技术企业的合计数（家）</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both"/>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jc w:val="both"/>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left="108" w:right="96" w:firstLine="0" w:firstLineChars="0"/>
              <w:jc w:val="both"/>
              <w:rPr>
                <w:rFonts w:ascii="仿宋_GB2312" w:hAnsi="仿宋" w:eastAsia="仿宋_GB2312"/>
                <w:sz w:val="24"/>
                <w:szCs w:val="24"/>
                <w:lang w:eastAsia="zh-CN"/>
              </w:rPr>
            </w:pPr>
            <w:r>
              <w:rPr>
                <w:rFonts w:hint="eastAsia" w:ascii="仿宋_GB2312" w:hAnsi="仿宋" w:eastAsia="仿宋_GB2312"/>
                <w:sz w:val="24"/>
                <w:szCs w:val="24"/>
                <w:lang w:eastAsia="zh-CN"/>
              </w:rPr>
              <w:t>入驻载体的企业在国内外创新创业大赛中获奖数（项）</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both"/>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jc w:val="both"/>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left="108" w:firstLine="0" w:firstLineChars="0"/>
              <w:jc w:val="both"/>
              <w:rPr>
                <w:rFonts w:ascii="仿宋_GB2312" w:hAnsi="仿宋" w:eastAsia="仿宋_GB2312"/>
                <w:sz w:val="24"/>
                <w:szCs w:val="24"/>
                <w:lang w:eastAsia="zh-CN"/>
              </w:rPr>
            </w:pPr>
            <w:r>
              <w:rPr>
                <w:rFonts w:hint="eastAsia" w:ascii="仿宋_GB2312" w:hAnsi="仿宋" w:eastAsia="仿宋_GB2312"/>
                <w:sz w:val="24"/>
                <w:szCs w:val="24"/>
                <w:lang w:eastAsia="zh-CN"/>
              </w:rPr>
              <w:t>入驻载体的企业产值（万元）</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both"/>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jc w:val="both"/>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left="108" w:firstLine="0" w:firstLineChars="0"/>
              <w:jc w:val="both"/>
              <w:rPr>
                <w:rFonts w:ascii="仿宋_GB2312" w:hAnsi="仿宋" w:eastAsia="仿宋_GB2312"/>
                <w:sz w:val="24"/>
                <w:szCs w:val="24"/>
                <w:lang w:eastAsia="zh-CN"/>
              </w:rPr>
            </w:pPr>
            <w:r>
              <w:rPr>
                <w:rFonts w:hint="eastAsia" w:ascii="仿宋_GB2312" w:hAnsi="仿宋" w:eastAsia="仿宋_GB2312"/>
                <w:sz w:val="24"/>
                <w:szCs w:val="24"/>
                <w:lang w:eastAsia="zh-CN"/>
              </w:rPr>
              <w:t>入驻载体的企业利税额（万元）</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both"/>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jc w:val="both"/>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left="108" w:right="-44" w:firstLine="0" w:firstLineChars="0"/>
              <w:jc w:val="both"/>
              <w:rPr>
                <w:rFonts w:ascii="仿宋_GB2312" w:hAnsi="仿宋" w:eastAsia="仿宋_GB2312"/>
                <w:sz w:val="24"/>
                <w:szCs w:val="24"/>
                <w:lang w:eastAsia="zh-CN"/>
              </w:rPr>
            </w:pPr>
            <w:r>
              <w:rPr>
                <w:rFonts w:hint="eastAsia" w:ascii="仿宋_GB2312" w:hAnsi="仿宋" w:eastAsia="仿宋_GB2312"/>
                <w:spacing w:val="-3"/>
                <w:sz w:val="24"/>
                <w:szCs w:val="24"/>
                <w:lang w:eastAsia="zh-CN"/>
              </w:rPr>
              <w:t>入驻载体的企业新增就业人数</w:t>
            </w:r>
            <w:r>
              <w:rPr>
                <w:rFonts w:hint="eastAsia" w:ascii="仿宋_GB2312" w:hAnsi="仿宋" w:eastAsia="仿宋_GB2312"/>
                <w:sz w:val="24"/>
                <w:szCs w:val="24"/>
                <w:lang w:eastAsia="zh-CN"/>
              </w:rPr>
              <w:t>（万人）</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both"/>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jc w:val="both"/>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left="108" w:firstLine="0" w:firstLineChars="0"/>
              <w:jc w:val="both"/>
              <w:rPr>
                <w:rFonts w:ascii="仿宋_GB2312" w:hAnsi="仿宋" w:eastAsia="仿宋_GB2312"/>
                <w:sz w:val="24"/>
                <w:szCs w:val="24"/>
                <w:lang w:eastAsia="zh-CN"/>
              </w:rPr>
            </w:pPr>
            <w:r>
              <w:rPr>
                <w:rFonts w:hint="eastAsia" w:ascii="仿宋_GB2312" w:hAnsi="仿宋" w:eastAsia="仿宋_GB2312"/>
                <w:sz w:val="24"/>
                <w:szCs w:val="24"/>
                <w:lang w:eastAsia="zh-CN"/>
              </w:rPr>
              <w:t>入驻载体的企业研发投入（万元）</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jc w:val="both"/>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jc w:val="both"/>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5"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left="107" w:firstLine="0" w:firstLineChars="0"/>
              <w:jc w:val="both"/>
              <w:rPr>
                <w:rFonts w:ascii="仿宋_GB2312" w:hAnsi="仿宋" w:eastAsia="仿宋_GB2312"/>
                <w:sz w:val="24"/>
                <w:szCs w:val="24"/>
                <w:lang w:eastAsia="zh-CN"/>
              </w:rPr>
            </w:pPr>
            <w:r>
              <w:rPr>
                <w:rFonts w:hint="eastAsia" w:ascii="仿宋_GB2312" w:hAnsi="仿宋" w:eastAsia="仿宋_GB2312"/>
                <w:sz w:val="24"/>
                <w:szCs w:val="24"/>
                <w:lang w:eastAsia="zh-CN"/>
              </w:rPr>
              <w:t>载体在设计研发、生产制造、物资采购、市场营销、品牌嫁接等某个或多个方面促成行业龙头企业与中小企业达成的交易额或服务额、投资额（万元）</w:t>
            </w: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jc w:val="center"/>
        </w:trPr>
        <w:tc>
          <w:tcPr>
            <w:tcW w:w="1675"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zh-CN"/>
              </w:rPr>
            </w:pPr>
          </w:p>
        </w:tc>
        <w:tc>
          <w:tcPr>
            <w:tcW w:w="4856" w:type="dxa"/>
            <w:tcBorders>
              <w:top w:val="single" w:color="auto" w:sz="4" w:space="0"/>
              <w:left w:val="single" w:color="auto" w:sz="4" w:space="0"/>
              <w:bottom w:val="single" w:color="auto" w:sz="4" w:space="0"/>
              <w:right w:val="single" w:color="auto" w:sz="4" w:space="0"/>
            </w:tcBorders>
            <w:noWrap w:val="0"/>
            <w:vAlign w:val="top"/>
          </w:tcPr>
          <w:p>
            <w:pPr>
              <w:pStyle w:val="10"/>
              <w:spacing w:before="6" w:line="560" w:lineRule="exact"/>
              <w:ind w:left="107" w:right="96" w:firstLine="0" w:firstLineChars="0"/>
              <w:jc w:val="both"/>
              <w:rPr>
                <w:rFonts w:ascii="仿宋_GB2312" w:hAnsi="仿宋" w:eastAsia="仿宋_GB2312"/>
                <w:sz w:val="24"/>
                <w:szCs w:val="24"/>
                <w:lang w:eastAsia="zh-CN"/>
              </w:rPr>
            </w:pPr>
            <w:r>
              <w:rPr>
                <w:rFonts w:hint="eastAsia" w:ascii="仿宋_GB2312" w:hAnsi="仿宋" w:eastAsia="仿宋_GB2312"/>
                <w:spacing w:val="-7"/>
                <w:sz w:val="24"/>
                <w:szCs w:val="24"/>
                <w:lang w:eastAsia="zh-CN"/>
              </w:rPr>
              <w:t>载体中的大企业通过增信、担保、订</w:t>
            </w:r>
            <w:r>
              <w:rPr>
                <w:rFonts w:hint="eastAsia" w:ascii="仿宋_GB2312" w:hAnsi="仿宋" w:eastAsia="仿宋_GB2312"/>
                <w:spacing w:val="-13"/>
                <w:sz w:val="24"/>
                <w:szCs w:val="24"/>
                <w:lang w:eastAsia="zh-CN"/>
              </w:rPr>
              <w:t>单质押、应收账款确权等方式帮助获得银行等金融机构贷款的中小企业数（家）</w:t>
            </w: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仿宋_GB2312" w:hAnsi="仿宋" w:eastAsia="仿宋_GB2312"/>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5" w:hRule="atLeast"/>
          <w:jc w:val="center"/>
        </w:trPr>
        <w:tc>
          <w:tcPr>
            <w:tcW w:w="16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60" w:lineRule="exact"/>
              <w:jc w:val="center"/>
              <w:rPr>
                <w:rFonts w:ascii="仿宋_GB2312" w:hAnsi="仿宋" w:eastAsia="仿宋_GB2312" w:cs="Times New Roman"/>
                <w:sz w:val="24"/>
                <w:lang w:eastAsia="en-US"/>
              </w:rPr>
            </w:pPr>
            <w:r>
              <w:rPr>
                <w:rFonts w:hint="eastAsia" w:ascii="仿宋_GB2312" w:hAnsi="仿宋" w:eastAsia="仿宋_GB2312" w:cs="Arial Unicode MS"/>
                <w:kern w:val="0"/>
                <w:sz w:val="24"/>
                <w:lang w:eastAsia="en-US"/>
              </w:rPr>
              <w:t>辐射带动力</w:t>
            </w:r>
          </w:p>
        </w:tc>
        <w:tc>
          <w:tcPr>
            <w:tcW w:w="4856" w:type="dxa"/>
            <w:tcBorders>
              <w:top w:val="single" w:color="auto" w:sz="4" w:space="0"/>
              <w:left w:val="single" w:color="auto" w:sz="4" w:space="0"/>
              <w:bottom w:val="single" w:color="auto" w:sz="4" w:space="0"/>
              <w:right w:val="single" w:color="auto" w:sz="4" w:space="0"/>
            </w:tcBorders>
            <w:noWrap w:val="0"/>
            <w:vAlign w:val="top"/>
          </w:tcPr>
          <w:p>
            <w:pPr>
              <w:pStyle w:val="10"/>
              <w:spacing w:before="155" w:line="560" w:lineRule="exact"/>
              <w:ind w:left="107" w:right="96" w:firstLine="0" w:firstLineChars="0"/>
              <w:rPr>
                <w:rFonts w:ascii="仿宋_GB2312" w:hAnsi="仿宋" w:eastAsia="仿宋_GB2312"/>
                <w:sz w:val="24"/>
                <w:szCs w:val="24"/>
                <w:lang w:eastAsia="zh-CN"/>
              </w:rPr>
            </w:pPr>
            <w:r>
              <w:rPr>
                <w:rFonts w:hint="eastAsia" w:ascii="仿宋_GB2312" w:hAnsi="仿宋" w:eastAsia="仿宋_GB2312"/>
                <w:b/>
                <w:spacing w:val="-11"/>
                <w:sz w:val="24"/>
                <w:szCs w:val="24"/>
                <w:lang w:eastAsia="zh-CN"/>
              </w:rPr>
              <w:t>半年报指标：</w:t>
            </w:r>
            <w:r>
              <w:rPr>
                <w:rFonts w:hint="eastAsia" w:ascii="仿宋_GB2312" w:hAnsi="仿宋" w:eastAsia="仿宋_GB2312"/>
                <w:spacing w:val="-6"/>
                <w:sz w:val="24"/>
                <w:szCs w:val="24"/>
                <w:lang w:eastAsia="zh-CN"/>
              </w:rPr>
              <w:t>载体通过资源共享、服务合作等方式支持开发区以外的中小企业数</w:t>
            </w:r>
            <w:r>
              <w:rPr>
                <w:rFonts w:hint="eastAsia" w:ascii="仿宋_GB2312" w:hAnsi="仿宋" w:eastAsia="仿宋_GB2312"/>
                <w:spacing w:val="-53"/>
                <w:sz w:val="24"/>
                <w:szCs w:val="24"/>
                <w:lang w:eastAsia="zh-CN"/>
              </w:rPr>
              <w:t>（</w:t>
            </w:r>
            <w:r>
              <w:rPr>
                <w:rFonts w:hint="eastAsia" w:ascii="仿宋_GB2312" w:hAnsi="仿宋" w:eastAsia="仿宋_GB2312"/>
                <w:sz w:val="24"/>
                <w:szCs w:val="24"/>
                <w:lang w:eastAsia="zh-CN"/>
              </w:rPr>
              <w:t>家）</w:t>
            </w: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仿宋_GB2312" w:hAnsi="仿宋" w:eastAsia="仿宋_GB2312"/>
                <w:sz w:val="24"/>
                <w:szCs w:val="24"/>
                <w:lang w:eastAsia="zh-CN"/>
              </w:rPr>
            </w:pPr>
          </w:p>
        </w:tc>
        <w:tc>
          <w:tcPr>
            <w:tcW w:w="1711"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仿宋_GB2312" w:hAnsi="仿宋" w:eastAsia="仿宋_GB2312"/>
                <w:sz w:val="24"/>
                <w:szCs w:val="24"/>
                <w:lang w:eastAsia="zh-CN"/>
              </w:rPr>
            </w:pPr>
          </w:p>
        </w:tc>
      </w:tr>
    </w:tbl>
    <w:p>
      <w:pPr>
        <w:spacing w:line="560" w:lineRule="exact"/>
        <w:jc w:val="left"/>
        <w:rPr>
          <w:rFonts w:ascii="仿宋_GB2312" w:hAnsi="仿宋" w:eastAsia="仿宋_GB2312"/>
          <w:sz w:val="24"/>
        </w:rPr>
      </w:pPr>
      <w:r>
        <w:rPr>
          <w:rFonts w:hint="eastAsia" w:ascii="仿宋_GB2312" w:hAnsi="仿宋" w:eastAsia="仿宋_GB2312"/>
          <w:sz w:val="24"/>
        </w:rPr>
        <w:t>填表说明：</w:t>
      </w:r>
    </w:p>
    <w:p>
      <w:pPr>
        <w:spacing w:line="560" w:lineRule="exact"/>
        <w:ind w:firstLine="480" w:firstLineChars="200"/>
        <w:jc w:val="left"/>
        <w:rPr>
          <w:rFonts w:ascii="仿宋_GB2312" w:hAnsi="仿宋" w:eastAsia="仿宋_GB2312"/>
          <w:sz w:val="24"/>
        </w:rPr>
      </w:pPr>
      <w:r>
        <w:rPr>
          <w:rFonts w:hint="eastAsia" w:ascii="仿宋_GB2312" w:hAnsi="仿宋" w:eastAsia="仿宋_GB2312"/>
          <w:sz w:val="24"/>
        </w:rPr>
        <w:t>1.产业集聚度：如果该类型载体数量大于 1 个，且主要服务的行业领域存在差异， 则按表格内公式加权平均计算，各载体指标数据权重按载体数量算数平均计算。</w:t>
      </w:r>
    </w:p>
    <w:p>
      <w:pPr>
        <w:spacing w:line="560" w:lineRule="exact"/>
        <w:ind w:firstLine="480" w:firstLineChars="200"/>
        <w:jc w:val="left"/>
        <w:rPr>
          <w:rFonts w:ascii="仿宋_GB2312" w:hAnsi="仿宋" w:eastAsia="仿宋_GB2312"/>
          <w:sz w:val="24"/>
        </w:rPr>
      </w:pPr>
      <w:r>
        <w:rPr>
          <w:rFonts w:hint="eastAsia" w:ascii="仿宋_GB2312" w:hAnsi="仿宋" w:eastAsia="仿宋_GB2312"/>
          <w:sz w:val="24"/>
        </w:rPr>
        <w:t>2.资源集聚力：从业人员指专职管理、运营、服务人员等。资本服务机构包括天使投资、创业投资、产业投资、银行、担保、保险、小额贷款公司、融资租赁公司等各类金融服务机构。公共技术服务平台包括检验检测平台、共性技术研发平台、中试基地、科技条件设备共享平台等。</w:t>
      </w:r>
    </w:p>
    <w:p>
      <w:pPr>
        <w:spacing w:line="560" w:lineRule="exact"/>
        <w:ind w:firstLine="480" w:firstLineChars="200"/>
        <w:jc w:val="left"/>
        <w:rPr>
          <w:rFonts w:ascii="仿宋_GB2312" w:hAnsi="仿宋" w:eastAsia="仿宋_GB2312"/>
          <w:sz w:val="24"/>
        </w:rPr>
      </w:pPr>
      <w:r>
        <w:rPr>
          <w:rFonts w:hint="eastAsia" w:ascii="仿宋_GB2312" w:hAnsi="仿宋" w:eastAsia="仿宋_GB2312"/>
          <w:sz w:val="24"/>
        </w:rPr>
        <w:t>3.持续发展力：从业人员指专职管理人员。</w:t>
      </w:r>
    </w:p>
    <w:p>
      <w:pPr>
        <w:spacing w:line="560" w:lineRule="exact"/>
        <w:ind w:firstLine="480" w:firstLineChars="200"/>
        <w:jc w:val="left"/>
        <w:rPr>
          <w:rFonts w:ascii="仿宋_GB2312" w:hAnsi="仿宋" w:eastAsia="仿宋_GB2312"/>
          <w:sz w:val="24"/>
        </w:rPr>
      </w:pPr>
      <w:r>
        <w:rPr>
          <w:rFonts w:hint="eastAsia" w:ascii="仿宋_GB2312" w:hAnsi="仿宋" w:eastAsia="仿宋_GB2312"/>
          <w:sz w:val="24"/>
        </w:rPr>
        <w:t>4.产出与效益：规模升级是指微型企业成长为小型及小型以上企业；小型企业成长为中型及中型以上企业；中型企业成长为大型企业。企业划型标准按工业和信息化部、国家统计局等部门联合制定的《中小企业划型标准规定》执行。</w:t>
      </w:r>
    </w:p>
    <w:p>
      <w:pPr>
        <w:spacing w:line="560" w:lineRule="exact"/>
        <w:ind w:firstLine="480" w:firstLineChars="200"/>
        <w:jc w:val="left"/>
        <w:rPr>
          <w:rFonts w:ascii="仿宋_GB2312" w:hAnsi="仿宋" w:eastAsia="仿宋_GB2312"/>
          <w:sz w:val="24"/>
        </w:rPr>
      </w:pPr>
      <w:r>
        <w:rPr>
          <w:rFonts w:hint="eastAsia" w:ascii="仿宋_GB2312" w:hAnsi="仿宋" w:eastAsia="仿宋_GB2312"/>
          <w:sz w:val="24"/>
        </w:rPr>
        <w:t>5.详细指标解读见附表。</w:t>
      </w:r>
    </w:p>
    <w:p>
      <w:pPr>
        <w:spacing w:line="560" w:lineRule="exact"/>
        <w:ind w:firstLine="480" w:firstLineChars="200"/>
        <w:jc w:val="left"/>
        <w:rPr>
          <w:rFonts w:ascii="仿宋_GB2312" w:hAnsi="仿宋" w:eastAsia="仿宋_GB2312"/>
          <w:sz w:val="24"/>
        </w:rPr>
      </w:pPr>
    </w:p>
    <w:p>
      <w:pPr>
        <w:spacing w:line="560" w:lineRule="exact"/>
        <w:ind w:firstLine="480" w:firstLineChars="200"/>
        <w:rPr>
          <w:rFonts w:ascii="仿宋_GB2312" w:hAnsi="仿宋" w:eastAsia="仿宋_GB2312"/>
          <w:sz w:val="24"/>
        </w:rPr>
      </w:pPr>
    </w:p>
    <w:p>
      <w:pPr>
        <w:spacing w:line="560" w:lineRule="exact"/>
        <w:ind w:firstLine="420" w:firstLineChars="200"/>
        <w:rPr>
          <w:rFonts w:ascii="仿宋_GB2312" w:hAnsi="等线" w:eastAsia="仿宋_GB2312"/>
          <w:szCs w:val="22"/>
        </w:rPr>
      </w:pPr>
    </w:p>
    <w:p>
      <w:pPr>
        <w:ind w:firstLine="420" w:firstLineChars="200"/>
        <w:rPr>
          <w:rFonts w:ascii="仿宋_GB2312" w:hAnsi="等线" w:eastAsia="仿宋_GB2312"/>
          <w:szCs w:val="22"/>
        </w:rPr>
        <w:sectPr>
          <w:pgSz w:w="11906" w:h="16838"/>
          <w:pgMar w:top="1440" w:right="1800" w:bottom="1440" w:left="1800" w:header="851" w:footer="992" w:gutter="0"/>
          <w:cols w:space="720"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附件4-2  项目工作总结（季报）</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522" w:type="dxa"/>
            <w:noWrap w:val="0"/>
            <w:vAlign w:val="top"/>
          </w:tcPr>
          <w:p>
            <w:pPr>
              <w:spacing w:before="287" w:after="287"/>
              <w:rPr>
                <w:rFonts w:ascii="仿宋_GB2312" w:hAnsi="仿宋" w:eastAsia="仿宋_GB2312" w:cs="Times New Roman"/>
                <w:b/>
                <w:szCs w:val="32"/>
              </w:rPr>
            </w:pPr>
            <w:r>
              <w:rPr>
                <w:rFonts w:hint="eastAsia" w:ascii="仿宋_GB2312" w:hAnsi="仿宋" w:eastAsia="仿宋_GB2312" w:cs="Times New Roman"/>
                <w:b/>
                <w:szCs w:val="32"/>
              </w:rPr>
              <w:t>一、</w:t>
            </w:r>
            <w:r>
              <w:rPr>
                <w:rFonts w:hint="eastAsia" w:ascii="仿宋_GB2312" w:hAnsi="仿宋" w:eastAsia="仿宋_GB2312" w:cs="Times New Roman"/>
                <w:szCs w:val="32"/>
              </w:rPr>
              <w:t>项目建设进展情况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8522" w:type="dxa"/>
            <w:noWrap w:val="0"/>
            <w:vAlign w:val="top"/>
          </w:tcPr>
          <w:p>
            <w:pPr>
              <w:spacing w:before="287" w:after="287"/>
              <w:rPr>
                <w:rFonts w:ascii="仿宋_GB2312" w:hAnsi="仿宋" w:eastAsia="仿宋_GB2312" w:cs="Times New Roman"/>
                <w:b/>
                <w:szCs w:val="32"/>
              </w:rPr>
            </w:pPr>
            <w:r>
              <w:rPr>
                <w:rFonts w:hint="eastAsia" w:ascii="仿宋_GB2312" w:hAnsi="仿宋" w:eastAsia="仿宋_GB2312" w:cs="Times New Roman"/>
                <w:szCs w:val="32"/>
              </w:rPr>
              <w:t>二、经费支出情况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8522" w:type="dxa"/>
            <w:noWrap w:val="0"/>
            <w:vAlign w:val="top"/>
          </w:tcPr>
          <w:p>
            <w:pPr>
              <w:spacing w:before="287" w:after="287"/>
              <w:rPr>
                <w:rFonts w:ascii="仿宋_GB2312" w:hAnsi="仿宋" w:eastAsia="仿宋_GB2312" w:cs="Times New Roman"/>
                <w:b/>
                <w:szCs w:val="32"/>
              </w:rPr>
            </w:pPr>
            <w:r>
              <w:rPr>
                <w:rFonts w:hint="eastAsia" w:ascii="仿宋_GB2312" w:hAnsi="仿宋" w:eastAsia="仿宋_GB2312" w:cs="Times New Roman"/>
                <w:szCs w:val="32"/>
              </w:rPr>
              <w:t>三、取得的成效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8522" w:type="dxa"/>
            <w:noWrap w:val="0"/>
            <w:vAlign w:val="top"/>
          </w:tcPr>
          <w:p>
            <w:pPr>
              <w:spacing w:before="287" w:after="287"/>
              <w:rPr>
                <w:rFonts w:ascii="仿宋_GB2312" w:hAnsi="仿宋" w:eastAsia="仿宋_GB2312" w:cs="Times New Roman"/>
                <w:b/>
                <w:szCs w:val="32"/>
              </w:rPr>
            </w:pPr>
            <w:r>
              <w:rPr>
                <w:rFonts w:hint="eastAsia" w:ascii="仿宋_GB2312" w:hAnsi="仿宋" w:eastAsia="仿宋_GB2312" w:cs="Times New Roman"/>
                <w:szCs w:val="32"/>
              </w:rPr>
              <w:t>四、下一步工作计划</w:t>
            </w:r>
          </w:p>
        </w:tc>
      </w:tr>
    </w:tbl>
    <w:p>
      <w:pPr>
        <w:jc w:val="left"/>
        <w:rPr>
          <w:rFonts w:ascii="仿宋" w:hAnsi="仿宋"/>
          <w:szCs w:val="32"/>
        </w:rPr>
      </w:pPr>
      <w:r>
        <w:rPr>
          <w:rFonts w:hint="eastAsia" w:ascii="仿宋" w:hAnsi="仿宋"/>
          <w:szCs w:val="32"/>
        </w:rPr>
        <w:br w:type="page"/>
      </w:r>
    </w:p>
    <w:p>
      <w:pPr>
        <w:jc w:val="left"/>
        <w:rPr>
          <w:rFonts w:ascii="黑体" w:hAnsi="黑体" w:eastAsia="黑体"/>
          <w:sz w:val="32"/>
          <w:szCs w:val="32"/>
        </w:rPr>
      </w:pPr>
      <w:r>
        <w:rPr>
          <w:rFonts w:hint="eastAsia" w:ascii="黑体" w:hAnsi="黑体" w:eastAsia="黑体"/>
          <w:sz w:val="32"/>
          <w:szCs w:val="32"/>
        </w:rPr>
        <w:t>附件5  特色载体双创升级资金申请表（直接补助）</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613" w:type="dxa"/>
            <w:gridSpan w:val="2"/>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sz w:val="24"/>
              </w:rPr>
              <w:t>特色载体双创升级资金申请表（直接补助）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76" w:type="dxa"/>
            <w:noWrap w:val="0"/>
            <w:vAlign w:val="center"/>
          </w:tcPr>
          <w:p>
            <w:pPr>
              <w:jc w:val="center"/>
              <w:rPr>
                <w:rFonts w:ascii="仿宋_GB2312" w:hAnsi="仿宋" w:eastAsia="仿宋_GB2312"/>
                <w:kern w:val="0"/>
                <w:sz w:val="24"/>
              </w:rPr>
            </w:pPr>
            <w:r>
              <w:rPr>
                <w:rFonts w:hint="eastAsia" w:ascii="仿宋_GB2312" w:hAnsi="仿宋" w:eastAsia="仿宋_GB2312"/>
                <w:kern w:val="0"/>
                <w:sz w:val="24"/>
              </w:rPr>
              <w:t>支持方向</w:t>
            </w:r>
          </w:p>
        </w:tc>
        <w:tc>
          <w:tcPr>
            <w:tcW w:w="623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完善服务机构配套/补助优质项目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2376" w:type="dxa"/>
            <w:noWrap w:val="0"/>
            <w:vAlign w:val="center"/>
          </w:tcPr>
          <w:p>
            <w:pPr>
              <w:jc w:val="center"/>
              <w:rPr>
                <w:rFonts w:ascii="仿宋_GB2312" w:hAnsi="仿宋" w:eastAsia="仿宋_GB2312"/>
                <w:kern w:val="0"/>
                <w:sz w:val="24"/>
              </w:rPr>
            </w:pPr>
            <w:r>
              <w:rPr>
                <w:rFonts w:hint="eastAsia" w:ascii="仿宋_GB2312" w:hAnsi="仿宋" w:eastAsia="仿宋_GB2312"/>
                <w:kern w:val="0"/>
                <w:sz w:val="24"/>
              </w:rPr>
              <w:t>项目介绍</w:t>
            </w:r>
          </w:p>
        </w:tc>
        <w:tc>
          <w:tcPr>
            <w:tcW w:w="6237" w:type="dxa"/>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2376" w:type="dxa"/>
            <w:noWrap w:val="0"/>
            <w:vAlign w:val="center"/>
          </w:tcPr>
          <w:p>
            <w:pPr>
              <w:jc w:val="center"/>
              <w:rPr>
                <w:rFonts w:ascii="仿宋_GB2312" w:hAnsi="仿宋" w:eastAsia="仿宋_GB2312"/>
                <w:kern w:val="0"/>
                <w:sz w:val="24"/>
              </w:rPr>
            </w:pPr>
            <w:r>
              <w:rPr>
                <w:rFonts w:hint="eastAsia" w:ascii="仿宋_GB2312" w:hAnsi="仿宋" w:eastAsia="仿宋_GB2312"/>
                <w:kern w:val="0"/>
                <w:sz w:val="24"/>
              </w:rPr>
              <w:t>申请说明</w:t>
            </w:r>
          </w:p>
        </w:tc>
        <w:tc>
          <w:tcPr>
            <w:tcW w:w="623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能够在凝聚创新能力、集中创新资源、活跃创新氛围、带动大中小企业协同创新、促进中小企业发展方面体现作用价值。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2376" w:type="dxa"/>
            <w:noWrap w:val="0"/>
            <w:vAlign w:val="center"/>
          </w:tcPr>
          <w:p>
            <w:pPr>
              <w:jc w:val="center"/>
              <w:rPr>
                <w:rFonts w:ascii="仿宋_GB2312" w:hAnsi="仿宋" w:eastAsia="仿宋_GB2312"/>
                <w:sz w:val="24"/>
              </w:rPr>
            </w:pPr>
            <w:r>
              <w:rPr>
                <w:rFonts w:hint="eastAsia" w:ascii="仿宋_GB2312" w:hAnsi="仿宋" w:eastAsia="仿宋_GB2312"/>
                <w:kern w:val="0"/>
                <w:sz w:val="24"/>
              </w:rPr>
              <w:t>证明材料</w:t>
            </w:r>
          </w:p>
        </w:tc>
        <w:tc>
          <w:tcPr>
            <w:tcW w:w="623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提供载体资质、证书、合同、财务、成效等必要性的证明材料。</w:t>
            </w:r>
          </w:p>
        </w:tc>
      </w:tr>
    </w:tbl>
    <w:p>
      <w:pPr>
        <w:jc w:val="right"/>
        <w:rPr>
          <w:rFonts w:ascii="仿宋" w:hAnsi="仿宋"/>
          <w:b/>
          <w:szCs w:val="32"/>
        </w:rPr>
      </w:pPr>
      <w:r>
        <w:rPr>
          <w:rFonts w:hint="eastAsia" w:ascii="仿宋" w:hAnsi="仿宋"/>
          <w:b/>
          <w:szCs w:val="32"/>
        </w:rPr>
        <w:t>可另附页</w:t>
      </w:r>
    </w:p>
    <w:p>
      <w:pPr>
        <w:jc w:val="left"/>
        <w:rPr>
          <w:rFonts w:ascii="黑体" w:hAnsi="黑体" w:eastAsia="黑体"/>
          <w:sz w:val="32"/>
          <w:szCs w:val="32"/>
        </w:rPr>
      </w:pPr>
      <w:r>
        <w:rPr>
          <w:rFonts w:hint="eastAsia" w:ascii="黑体" w:hAnsi="黑体" w:eastAsia="黑体"/>
          <w:sz w:val="32"/>
          <w:szCs w:val="32"/>
        </w:rPr>
        <w:t>附件6  特色载体双创升级资金申请表（绩效奖励）</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613" w:type="dxa"/>
            <w:gridSpan w:val="2"/>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sz w:val="24"/>
              </w:rPr>
              <w:t>特色载体双创升级资金申请表（绩效奖励）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76"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支持方向</w:t>
            </w:r>
          </w:p>
        </w:tc>
        <w:tc>
          <w:tcPr>
            <w:tcW w:w="623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支持载体运营建设/开展创新创业活动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2376" w:type="dxa"/>
            <w:noWrap w:val="0"/>
            <w:vAlign w:val="center"/>
          </w:tcPr>
          <w:p>
            <w:pPr>
              <w:jc w:val="center"/>
              <w:rPr>
                <w:rFonts w:ascii="仿宋_GB2312" w:hAnsi="仿宋" w:eastAsia="仿宋_GB2312"/>
                <w:kern w:val="0"/>
                <w:sz w:val="24"/>
              </w:rPr>
            </w:pPr>
            <w:r>
              <w:rPr>
                <w:rFonts w:hint="eastAsia" w:ascii="仿宋_GB2312" w:hAnsi="仿宋" w:eastAsia="仿宋_GB2312"/>
                <w:kern w:val="0"/>
                <w:sz w:val="24"/>
              </w:rPr>
              <w:t>项目介绍</w:t>
            </w:r>
          </w:p>
        </w:tc>
        <w:tc>
          <w:tcPr>
            <w:tcW w:w="6237" w:type="dxa"/>
            <w:noWrap w:val="0"/>
            <w:vAlign w:val="center"/>
          </w:tcPr>
          <w:p>
            <w:pPr>
              <w:spacing w:line="360" w:lineRule="exact"/>
              <w:rPr>
                <w:rFonts w:ascii="仿宋_GB2312" w:hAnsi="仿宋"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2376" w:type="dxa"/>
            <w:noWrap w:val="0"/>
            <w:vAlign w:val="center"/>
          </w:tcPr>
          <w:p>
            <w:pPr>
              <w:jc w:val="center"/>
              <w:rPr>
                <w:rFonts w:ascii="仿宋_GB2312" w:hAnsi="仿宋" w:eastAsia="仿宋_GB2312"/>
                <w:kern w:val="0"/>
                <w:sz w:val="24"/>
              </w:rPr>
            </w:pPr>
            <w:r>
              <w:rPr>
                <w:rFonts w:hint="eastAsia" w:ascii="仿宋_GB2312" w:hAnsi="仿宋" w:eastAsia="仿宋_GB2312"/>
                <w:kern w:val="0"/>
                <w:sz w:val="24"/>
              </w:rPr>
              <w:t>申请说明</w:t>
            </w:r>
          </w:p>
        </w:tc>
        <w:tc>
          <w:tcPr>
            <w:tcW w:w="623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能够在凝聚创新能力、集中创新资源、活跃创新氛围、带动大中小企业协同创新、促进中小企业发展方面体现作用价值。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2376" w:type="dxa"/>
            <w:noWrap w:val="0"/>
            <w:vAlign w:val="center"/>
          </w:tcPr>
          <w:p>
            <w:pPr>
              <w:jc w:val="center"/>
              <w:rPr>
                <w:rFonts w:ascii="仿宋_GB2312" w:hAnsi="仿宋" w:eastAsia="仿宋_GB2312"/>
                <w:sz w:val="24"/>
              </w:rPr>
            </w:pPr>
            <w:r>
              <w:rPr>
                <w:rFonts w:hint="eastAsia" w:ascii="仿宋_GB2312" w:hAnsi="仿宋" w:eastAsia="仿宋_GB2312"/>
                <w:kern w:val="0"/>
                <w:sz w:val="24"/>
              </w:rPr>
              <w:t>证明材料</w:t>
            </w:r>
          </w:p>
        </w:tc>
        <w:tc>
          <w:tcPr>
            <w:tcW w:w="6237" w:type="dxa"/>
            <w:noWrap w:val="0"/>
            <w:vAlign w:val="center"/>
          </w:tcPr>
          <w:p>
            <w:pPr>
              <w:spacing w:line="360" w:lineRule="exact"/>
              <w:rPr>
                <w:rFonts w:ascii="仿宋_GB2312" w:hAnsi="仿宋" w:eastAsia="仿宋_GB2312"/>
                <w:kern w:val="0"/>
                <w:sz w:val="24"/>
              </w:rPr>
            </w:pPr>
            <w:r>
              <w:rPr>
                <w:rFonts w:hint="eastAsia" w:ascii="仿宋_GB2312" w:hAnsi="仿宋" w:eastAsia="仿宋_GB2312"/>
                <w:kern w:val="0"/>
                <w:sz w:val="24"/>
              </w:rPr>
              <w:t>提供载体资质、证书、合同、财务、成效等必要性的证明材料。</w:t>
            </w:r>
          </w:p>
        </w:tc>
      </w:tr>
    </w:tbl>
    <w:p>
      <w:pPr>
        <w:jc w:val="left"/>
        <w:rPr>
          <w:rFonts w:ascii="仿宋" w:hAnsi="仿宋"/>
          <w:szCs w:val="32"/>
        </w:rPr>
      </w:pPr>
    </w:p>
    <w:p>
      <w:pPr>
        <w:jc w:val="left"/>
        <w:rPr>
          <w:rFonts w:ascii="黑体" w:hAnsi="黑体" w:eastAsia="黑体"/>
          <w:sz w:val="32"/>
          <w:szCs w:val="32"/>
        </w:rPr>
      </w:pPr>
      <w:r>
        <w:rPr>
          <w:rFonts w:hint="eastAsia" w:ascii="黑体" w:hAnsi="黑体" w:eastAsia="黑体"/>
          <w:sz w:val="32"/>
          <w:szCs w:val="32"/>
        </w:rPr>
        <w:t>附件7  项目任务书（政府购买服务）</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center"/>
          </w:tcPr>
          <w:p>
            <w:pPr>
              <w:spacing w:before="287" w:after="287" w:line="500" w:lineRule="exact"/>
              <w:jc w:val="center"/>
              <w:rPr>
                <w:rFonts w:ascii="仿宋_GB2312" w:hAnsi="仿宋" w:eastAsia="仿宋_GB2312" w:cs="Times New Roman"/>
                <w:sz w:val="24"/>
              </w:rPr>
            </w:pPr>
            <w:r>
              <w:rPr>
                <w:rFonts w:hint="eastAsia" w:ascii="仿宋_GB2312" w:hAnsi="仿宋" w:eastAsia="仿宋_GB2312" w:cs="Times New Roman"/>
                <w:sz w:val="24"/>
              </w:rPr>
              <w:t>项目名称</w:t>
            </w:r>
          </w:p>
        </w:tc>
        <w:tc>
          <w:tcPr>
            <w:tcW w:w="6429" w:type="dxa"/>
            <w:noWrap w:val="0"/>
            <w:vAlign w:val="center"/>
          </w:tcPr>
          <w:p>
            <w:pPr>
              <w:spacing w:before="287" w:after="287" w:line="500" w:lineRule="exact"/>
              <w:jc w:val="center"/>
              <w:rPr>
                <w:rFonts w:ascii="仿宋_GB2312" w:hAnsi="仿宋"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2093" w:type="dxa"/>
            <w:noWrap w:val="0"/>
            <w:vAlign w:val="center"/>
          </w:tcPr>
          <w:p>
            <w:pPr>
              <w:spacing w:before="287" w:after="287" w:line="500" w:lineRule="exact"/>
              <w:jc w:val="center"/>
              <w:rPr>
                <w:rFonts w:ascii="仿宋_GB2312" w:hAnsi="仿宋" w:eastAsia="仿宋_GB2312" w:cs="Times New Roman"/>
                <w:sz w:val="24"/>
              </w:rPr>
            </w:pPr>
            <w:r>
              <w:rPr>
                <w:rFonts w:hint="eastAsia" w:ascii="仿宋_GB2312" w:hAnsi="仿宋" w:eastAsia="仿宋_GB2312" w:cs="Times New Roman"/>
                <w:sz w:val="24"/>
              </w:rPr>
              <w:t>项目介绍</w:t>
            </w:r>
          </w:p>
        </w:tc>
        <w:tc>
          <w:tcPr>
            <w:tcW w:w="6429" w:type="dxa"/>
            <w:noWrap w:val="0"/>
            <w:vAlign w:val="center"/>
          </w:tcPr>
          <w:p>
            <w:pPr>
              <w:spacing w:before="287" w:after="287" w:line="500" w:lineRule="exact"/>
              <w:jc w:val="center"/>
              <w:rPr>
                <w:rFonts w:ascii="仿宋_GB2312" w:hAnsi="仿宋"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2093" w:type="dxa"/>
            <w:noWrap w:val="0"/>
            <w:vAlign w:val="center"/>
          </w:tcPr>
          <w:p>
            <w:pPr>
              <w:spacing w:before="287" w:after="287" w:line="500" w:lineRule="exact"/>
              <w:jc w:val="center"/>
              <w:rPr>
                <w:rFonts w:ascii="仿宋_GB2312" w:hAnsi="仿宋" w:eastAsia="仿宋_GB2312" w:cs="Times New Roman"/>
                <w:b/>
                <w:sz w:val="24"/>
              </w:rPr>
            </w:pPr>
            <w:r>
              <w:rPr>
                <w:rFonts w:hint="eastAsia" w:ascii="仿宋_GB2312" w:hAnsi="仿宋" w:eastAsia="仿宋_GB2312" w:cs="Times New Roman"/>
                <w:sz w:val="24"/>
              </w:rPr>
              <w:t>项目内容</w:t>
            </w:r>
          </w:p>
        </w:tc>
        <w:tc>
          <w:tcPr>
            <w:tcW w:w="6429" w:type="dxa"/>
            <w:noWrap w:val="0"/>
            <w:vAlign w:val="center"/>
          </w:tcPr>
          <w:p>
            <w:pPr>
              <w:spacing w:before="287" w:after="287" w:line="500" w:lineRule="exact"/>
              <w:jc w:val="center"/>
              <w:rPr>
                <w:rFonts w:ascii="仿宋_GB2312" w:hAnsi="仿宋"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2093" w:type="dxa"/>
            <w:noWrap w:val="0"/>
            <w:vAlign w:val="center"/>
          </w:tcPr>
          <w:p>
            <w:pPr>
              <w:spacing w:before="287" w:after="287" w:line="500" w:lineRule="exact"/>
              <w:jc w:val="center"/>
              <w:rPr>
                <w:rFonts w:ascii="仿宋_GB2312" w:hAnsi="仿宋" w:eastAsia="仿宋_GB2312" w:cs="Times New Roman"/>
                <w:b/>
                <w:sz w:val="24"/>
              </w:rPr>
            </w:pPr>
            <w:r>
              <w:rPr>
                <w:rFonts w:hint="eastAsia" w:ascii="仿宋_GB2312" w:hAnsi="仿宋" w:eastAsia="仿宋_GB2312" w:cs="Times New Roman"/>
                <w:sz w:val="24"/>
              </w:rPr>
              <w:t>发展目标</w:t>
            </w:r>
          </w:p>
        </w:tc>
        <w:tc>
          <w:tcPr>
            <w:tcW w:w="6429" w:type="dxa"/>
            <w:noWrap w:val="0"/>
            <w:vAlign w:val="center"/>
          </w:tcPr>
          <w:p>
            <w:pPr>
              <w:spacing w:before="287" w:after="287" w:line="500" w:lineRule="exact"/>
              <w:jc w:val="center"/>
              <w:rPr>
                <w:rFonts w:ascii="仿宋_GB2312" w:hAnsi="仿宋"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2093" w:type="dxa"/>
            <w:noWrap w:val="0"/>
            <w:vAlign w:val="center"/>
          </w:tcPr>
          <w:p>
            <w:pPr>
              <w:spacing w:before="287" w:after="287" w:line="500" w:lineRule="exact"/>
              <w:jc w:val="center"/>
              <w:rPr>
                <w:rFonts w:ascii="仿宋_GB2312" w:hAnsi="仿宋" w:eastAsia="仿宋_GB2312" w:cs="Times New Roman"/>
                <w:b/>
                <w:sz w:val="24"/>
              </w:rPr>
            </w:pPr>
            <w:r>
              <w:rPr>
                <w:rFonts w:hint="eastAsia" w:ascii="仿宋_GB2312" w:hAnsi="仿宋" w:eastAsia="仿宋_GB2312" w:cs="Times New Roman"/>
                <w:sz w:val="24"/>
              </w:rPr>
              <w:t>进度安排</w:t>
            </w:r>
          </w:p>
        </w:tc>
        <w:tc>
          <w:tcPr>
            <w:tcW w:w="6429" w:type="dxa"/>
            <w:noWrap w:val="0"/>
            <w:vAlign w:val="center"/>
          </w:tcPr>
          <w:p>
            <w:pPr>
              <w:spacing w:before="287" w:after="287" w:line="500" w:lineRule="exact"/>
              <w:jc w:val="center"/>
              <w:rPr>
                <w:rFonts w:ascii="仿宋_GB2312" w:hAnsi="仿宋"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2093" w:type="dxa"/>
            <w:noWrap w:val="0"/>
            <w:vAlign w:val="center"/>
          </w:tcPr>
          <w:p>
            <w:pPr>
              <w:spacing w:before="287" w:after="287" w:line="500" w:lineRule="exact"/>
              <w:jc w:val="center"/>
              <w:rPr>
                <w:rFonts w:ascii="仿宋_GB2312" w:hAnsi="仿宋" w:eastAsia="仿宋_GB2312" w:cs="Times New Roman"/>
                <w:b/>
                <w:sz w:val="24"/>
              </w:rPr>
            </w:pPr>
            <w:r>
              <w:rPr>
                <w:rFonts w:hint="eastAsia" w:ascii="仿宋_GB2312" w:hAnsi="仿宋" w:eastAsia="仿宋_GB2312" w:cs="Times New Roman"/>
                <w:sz w:val="24"/>
              </w:rPr>
              <w:t>经费预算</w:t>
            </w:r>
          </w:p>
        </w:tc>
        <w:tc>
          <w:tcPr>
            <w:tcW w:w="6429" w:type="dxa"/>
            <w:noWrap w:val="0"/>
            <w:vAlign w:val="center"/>
          </w:tcPr>
          <w:p>
            <w:pPr>
              <w:spacing w:before="287" w:after="287" w:line="500" w:lineRule="exact"/>
              <w:jc w:val="center"/>
              <w:rPr>
                <w:rFonts w:ascii="仿宋_GB2312" w:hAnsi="仿宋" w:eastAsia="仿宋_GB2312" w:cs="Times New Roman"/>
                <w:b/>
                <w:sz w:val="24"/>
              </w:rPr>
            </w:pPr>
          </w:p>
        </w:tc>
      </w:tr>
    </w:tbl>
    <w:p>
      <w:pPr>
        <w:rPr>
          <w:rFonts w:ascii="仿宋" w:hAnsi="仿宋"/>
          <w:szCs w:val="32"/>
        </w:rPr>
      </w:pPr>
    </w:p>
    <w:p>
      <w:pPr>
        <w:spacing w:line="640" w:lineRule="exact"/>
        <w:jc w:val="center"/>
        <w:rPr>
          <w:rFonts w:ascii="方正小标宋简体" w:hAnsi="Calibri" w:eastAsia="方正小标宋简体"/>
          <w:sz w:val="44"/>
          <w:szCs w:val="44"/>
        </w:rPr>
      </w:pPr>
      <w:bookmarkStart w:id="7" w:name="_Toc5868199"/>
      <w:r>
        <w:rPr>
          <w:rFonts w:hint="eastAsia" w:ascii="方正小标宋简体" w:hAnsi="Calibri" w:eastAsia="方正小标宋简体"/>
          <w:sz w:val="44"/>
          <w:szCs w:val="44"/>
        </w:rPr>
        <w:t>天津港保税区支持打造特色载体推动中小企业创新创业升级专项资金使用管理办法</w:t>
      </w:r>
    </w:p>
    <w:p>
      <w:pPr>
        <w:spacing w:line="6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（试行）</w:t>
      </w:r>
    </w:p>
    <w:p>
      <w:pPr>
        <w:spacing w:line="540" w:lineRule="exact"/>
        <w:jc w:val="center"/>
      </w:pPr>
    </w:p>
    <w:p>
      <w:pPr>
        <w:pStyle w:val="4"/>
        <w:spacing w:beforeLines="0" w:afterLines="0" w:line="540" w:lineRule="exact"/>
        <w:rPr>
          <w:rFonts w:ascii="黑体" w:hAnsi="黑体" w:eastAsia="黑体"/>
          <w:b/>
          <w:sz w:val="32"/>
        </w:rPr>
      </w:pPr>
      <w:r>
        <w:rPr>
          <w:rFonts w:hint="eastAsia" w:ascii="黑体" w:hAnsi="黑体" w:eastAsia="黑体"/>
          <w:b/>
          <w:sz w:val="32"/>
        </w:rPr>
        <w:t>第一章 总则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第一条 为加强天津港保税区双创升级专项资金使用管理，保障资金使用安全，依据国家财政部《中小企业发展专项资金管理办法》（财建〔2016〕841号），结合天津港保税区财政资金使用有关规定，制定本办法。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第二条 本办法所称天津港保税区双创升级专项资金（以下简称“专项资金”），是指中央财政预算安排用于优化中小企业发展环境、引导地方扶持中小企业发展的资金，主要用于支持天津港保税区特色载体提升市场化专业化服务水平，提高创新创业资源融通效率，促进中小企业专业化高质量发展，推动区域构建特色创新创业生态环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第三条 专项资金旨在支持天津港保税区引领带动积极探索扶持中小企业的有效途径，支持改善中小企业发展环境，加大对薄弱环节的投入，促进提升为中小企业提供公共服务的能力，突破制约中小企业特别是小微企业发展的短板与瓶颈，建立扶持中小企业发展的长效机制，有效促进形成“大众创业、万众创新”的良好局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第四条 专项资金的管理和使用，应遵守国家和我市的有关法律法规规定，坚持公开、公平、公正的原则，确保专项资金规范、安全和高效使用，由天津港保税区管委会科技和工业创新局（以下简称“科工局”）、财政局等部门按照职责分工实施管理和监督。</w:t>
      </w:r>
    </w:p>
    <w:p>
      <w:pPr>
        <w:pStyle w:val="4"/>
        <w:spacing w:beforeLines="0" w:afterLines="0" w:line="540" w:lineRule="exact"/>
        <w:rPr>
          <w:rFonts w:ascii="黑体" w:hAnsi="黑体" w:eastAsia="黑体"/>
          <w:b/>
          <w:sz w:val="32"/>
        </w:rPr>
      </w:pPr>
      <w:r>
        <w:rPr>
          <w:rFonts w:hint="eastAsia" w:ascii="黑体" w:hAnsi="黑体" w:eastAsia="黑体"/>
          <w:b/>
          <w:sz w:val="32"/>
        </w:rPr>
        <w:t>第二章 支持方式和范围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第五条 专项资金用于支持天津港保税区大中小企业融通型特色载体发展，采取直接补助、绩效奖励、政府购买服务等方式对项目予以支持，采取直接补助、绩效奖励方式进行专项资金支持的金额一般不超过项目预算的50%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第六条 专项资金支持范围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建设融通发展特色平台。支持引导大企业围绕产业发展建设体现资源开放、共享、为中小企业服务理念的专业平台，专业平台应经区级以上（含区级）相关部门认定或备案，支持对服务平台实施场地改造（不含土地费用以及办公场所租用、建设费用）、鼓励购置硬件设备及服务设施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完善服务机构配套。支持保税区科技企业孵化器、高新技术产业培育基地以及企业投资建设的专业孵化器完善服务体系，建设双创广场，引进法律咨询、项目策划、财务服务、行政审批代理、专利代理等服务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补助优质项目。在各类平台集聚的双创项目，根据双创服务开展情况、获奖情况给予补助。带动中小企业在技术、产品、业态、模式等方面的创新，从而推动中小企业加快转型升级，增强企业竞争实力，为实体经济发展质量的整体提升提供有力支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支持载体运营建设。支持对经认定（备案）的科技企业孵化器、众创空间和公共技术服务平台，引入智能化、专业化服务设备，提升服务设施与服务能力，促进区内企业的大中小企业融通和快速发展，改善创新创业环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奖励优质创新创业活动。支持载体举办创业沙龙、大学生创业论坛、创新创业大赛等双创活动，优选项目入驻各类载体。鼓励载体进高校宣讲双创政策，鼓励大学生和在职教授专家带项目、技术、团队来保税区开展创新创业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（六）建立综合科技服务中心。根据企业实际需求情况，提供知识产权代理、运营、高新技术、科技中小企业认定等咨询服务。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（七）搭建公共服务平台。支持载体利用云计算和大数据手段，线上与线下相结合，以数据共享和整合服务为重点，实现资源能力开放共享，通过信息化技术手段提升载体管理与服务等级。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第七条 中央财政专项资金不得用于下列各项支出：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（一）不得用于设立专项基金。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（二）不得用于对企业的股权投资。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（三）不得用于楼堂馆所等基建工程支出。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（四）不得用于行政运行经费、工作经费等一般性开支。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（五）不得用于弥补载体亏损和偿还债务。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（六）其他与打造特色载体推动中小企业创新创业升级无关的支出。</w:t>
      </w:r>
    </w:p>
    <w:p>
      <w:pPr>
        <w:pStyle w:val="4"/>
        <w:spacing w:beforeLines="0" w:afterLines="0"/>
        <w:rPr>
          <w:rFonts w:ascii="黑体" w:hAnsi="黑体" w:eastAsia="黑体"/>
          <w:b/>
          <w:sz w:val="32"/>
        </w:rPr>
      </w:pPr>
      <w:r>
        <w:rPr>
          <w:rFonts w:hint="eastAsia" w:ascii="黑体" w:hAnsi="黑体" w:eastAsia="黑体"/>
          <w:b/>
          <w:sz w:val="32"/>
        </w:rPr>
        <w:t>第三章 资金申报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第八条 项目资助申报流程：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对建设融通发展特色平台、完善服务机构配套、补助优质项目、支持载体运营建设、奖励优质创新创业活动、建立综合科技服务中心、搭建公共服务平台的载体，根据《天津港保税区支持打造特色载体推动中小企业创新创业升级项目申报指南》的要求报送相关申请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（二）领导小组对载体申报材料以专家评审的方式进行审核后，确定专项资金支持的项目及金额。评审结果报天津港保税区管委会审核，报滨海新区财政局、天津市财政局、财政部驻天津市财政监察专员办事处。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（三）项目评审结果在天津港保税区管理委员会和科工局门户网站向社会公示专项资金支持方案，公示期不少于5个工作日。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第九条 载体应按以上流程申报专项资金。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（一）申报项目必须符合专项资金使用范围；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（二）同一项目不得重复申报中央财政专项资金；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（三）载体应确保项目预算真实可靠，预算执行及时、合理、有序，充分发挥专项资金使用效益，避免专项资金沉淀；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（四）载体应严格按照项目合同书内容实施，未经天津港保税区管委会批准，不得随意调整项目申请书明确的内容。</w:t>
      </w:r>
    </w:p>
    <w:p>
      <w:pPr>
        <w:pStyle w:val="4"/>
        <w:spacing w:beforeLines="0" w:afterLines="0" w:line="520" w:lineRule="exact"/>
        <w:rPr>
          <w:rFonts w:ascii="黑体" w:hAnsi="黑体" w:eastAsia="黑体"/>
          <w:b/>
          <w:sz w:val="32"/>
        </w:rPr>
      </w:pPr>
      <w:r>
        <w:rPr>
          <w:rFonts w:hint="eastAsia" w:ascii="黑体" w:hAnsi="黑体" w:eastAsia="黑体"/>
          <w:b/>
          <w:sz w:val="32"/>
        </w:rPr>
        <w:t>第四章 资金拨付、监督管理和绩效评价</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第十条 天津港保税区管理委员会根据实际工作进展情况，组织开展项目申报、评审工作，并按照工作进度，按规定程序会同财政局下拨专项资金。</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第十一条 根据项目实施进度，对载体阶段性进行资金支持，资金拨付比例如下：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（一）对建设融通发展特色平台的载体，首年完成立项后拨付支持金额的50%；中期考核合格后拨付支持金额的30%，项目验收合格后，拨付剩余20%。</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（二）对支持载体运营建设的载体，首年绩效考核后拨付支持金额的50%；次年绩效考核后，拨付剩余50%。</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（三）对完善服务机构配套、补助优质项目和奖励优质创新创业活动的载体，依据评价结果，分两年按年进行拨付。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（四）对实施方案中明确提出的政府购买服务的载体，依据项目实际情况进行拨付。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第十二条 科工局会同有关部门对资金使用情况和实施情况及时进行监督检查，相关载体应定期将相关情况向上级主管报送。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第十三条 专项资金实施全过程绩效管理，科工局按照相关规定，组织对专项资金使用情况实行绩效评价。</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第十四条 项目完成后，相关载体应向领导小组提出验收申请。领导小组及时组织验收，对不能按期完成项目要求的项目，提出明确处理意见。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第十五条 专项资金应当用于规定的支持方向和重点，设立专户，专款专用，任何单位和个人不得以任何理由、任何形式截留、挪用。相关载体在专项资金申请、管理、使用过程中存在违法违纪行为的，依照相应法律法规处理，追回财政专项资金，两年内停止其财政资金申报资格，并向社会公开其不良信用信息。</w:t>
      </w:r>
    </w:p>
    <w:p>
      <w:pPr>
        <w:pStyle w:val="4"/>
        <w:spacing w:beforeLines="0" w:afterLines="0" w:line="520" w:lineRule="exact"/>
        <w:rPr>
          <w:rFonts w:ascii="黑体" w:hAnsi="黑体" w:eastAsia="黑体"/>
          <w:b/>
          <w:sz w:val="32"/>
        </w:rPr>
      </w:pPr>
      <w:r>
        <w:rPr>
          <w:rFonts w:hint="eastAsia" w:ascii="黑体" w:hAnsi="黑体" w:eastAsia="黑体"/>
          <w:b/>
          <w:sz w:val="32"/>
        </w:rPr>
        <w:t>第五章 信息公开</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第十六条 在天津港保税区管委会和科技和工业创新局门户网站公开以下信息：</w:t>
      </w:r>
    </w:p>
    <w:p>
      <w:pPr>
        <w:spacing w:line="520" w:lineRule="exact"/>
        <w:ind w:firstLine="640" w:firstLineChars="200"/>
        <w:rPr>
          <w:rFonts w:ascii="仿宋_GB2312" w:eastAsia="仿宋_GB2312"/>
          <w:bCs/>
          <w:sz w:val="32"/>
          <w:szCs w:val="32"/>
        </w:rPr>
      </w:pPr>
      <w:r>
        <w:rPr>
          <w:rFonts w:hint="eastAsia" w:ascii="仿宋_GB2312" w:eastAsia="仿宋_GB2312"/>
          <w:sz w:val="32"/>
          <w:szCs w:val="32"/>
        </w:rPr>
        <w:t>（一）公开《</w:t>
      </w:r>
      <w:r>
        <w:rPr>
          <w:rFonts w:hint="eastAsia" w:ascii="仿宋_GB2312" w:eastAsia="仿宋_GB2312"/>
          <w:bCs/>
          <w:sz w:val="32"/>
          <w:szCs w:val="32"/>
        </w:rPr>
        <w:t>关于天津港保税区支持打造特色载体推动中小企业创新创业升级专项工作的实施意见</w:t>
      </w:r>
      <w:r>
        <w:rPr>
          <w:rFonts w:hint="eastAsia" w:ascii="仿宋_GB2312" w:eastAsia="仿宋_GB2312"/>
          <w:sz w:val="32"/>
          <w:szCs w:val="32"/>
        </w:rPr>
        <w:t>》、《天津港保税区打造特色载体推动中小企业创新创业升级项目申报指南》、《天津港保税区创新创业升级专项资金使用管理办法（试行）》等相关政策文件；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（二）专项资金按规定程序审核确定后10个工作日内，公开资金分配结果。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（三）专项资金绩效评价和监督检查后10个工作日内，公开评价、检查结果。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（四）专项资金有关投诉事项处理后10个工作日内，向投诉单位公开处理投诉情况。</w:t>
      </w:r>
    </w:p>
    <w:p>
      <w:pPr>
        <w:pStyle w:val="4"/>
        <w:spacing w:beforeLines="0" w:afterLines="0" w:line="520" w:lineRule="exact"/>
        <w:rPr>
          <w:rFonts w:ascii="黑体" w:hAnsi="黑体" w:eastAsia="黑体"/>
          <w:b/>
          <w:sz w:val="32"/>
        </w:rPr>
      </w:pPr>
      <w:r>
        <w:rPr>
          <w:rFonts w:hint="eastAsia" w:ascii="黑体" w:hAnsi="黑体" w:eastAsia="黑体"/>
          <w:b/>
          <w:sz w:val="32"/>
        </w:rPr>
        <w:t>第六章 附则</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第十七条 本办法由天津港保税区管委会负责解释。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第十八条 本办法报财政部驻天津市财政监察专员办事处、天津市财政局备案。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第十九条 本办法自发布之日起施行，实施年限为项目实施期。</w:t>
      </w:r>
      <w:bookmarkEnd w:id="7"/>
    </w:p>
    <w:p>
      <w:pPr>
        <w:spacing w:line="520" w:lineRule="exact"/>
        <w:rPr>
          <w:rFonts w:ascii="仿宋" w:hAnsi="仿宋"/>
          <w:szCs w:val="32"/>
        </w:rPr>
      </w:pPr>
    </w:p>
    <w:p>
      <w:pPr>
        <w:spacing w:line="160" w:lineRule="exact"/>
        <w:ind w:firstLine="640" w:firstLineChars="200"/>
        <w:rPr>
          <w:rFonts w:ascii="仿宋_GB2312" w:eastAsia="仿宋_GB2312"/>
          <w:color w:val="000000"/>
          <w:sz w:val="32"/>
          <w:szCs w:val="32"/>
        </w:rPr>
      </w:pPr>
    </w:p>
    <w:p>
      <w:pPr>
        <w:spacing w:line="160" w:lineRule="exact"/>
        <w:ind w:firstLine="640" w:firstLineChars="200"/>
        <w:rPr>
          <w:rFonts w:ascii="仿宋_GB2312" w:eastAsia="仿宋_GB2312"/>
          <w:color w:val="000000"/>
          <w:sz w:val="32"/>
          <w:szCs w:val="32"/>
        </w:rPr>
      </w:pPr>
    </w:p>
    <w:p>
      <w:pPr>
        <w:spacing w:line="160" w:lineRule="exact"/>
        <w:ind w:firstLine="640" w:firstLineChars="200"/>
        <w:rPr>
          <w:rFonts w:ascii="仿宋_GB2312" w:eastAsia="仿宋_GB2312"/>
          <w:color w:val="000000"/>
          <w:sz w:val="32"/>
          <w:szCs w:val="32"/>
        </w:rPr>
      </w:pPr>
    </w:p>
    <w:p>
      <w:pPr>
        <w:spacing w:line="160" w:lineRule="exact"/>
        <w:ind w:firstLine="640" w:firstLineChars="200"/>
        <w:rPr>
          <w:rFonts w:ascii="仿宋_GB2312" w:eastAsia="仿宋_GB2312"/>
          <w:color w:val="000000"/>
          <w:sz w:val="32"/>
          <w:szCs w:val="32"/>
        </w:rPr>
      </w:pPr>
    </w:p>
    <w:p>
      <w:bookmarkStart w:id="8" w:name="_GoBack"/>
      <w:bookmarkEnd w:id="8"/>
    </w:p>
    <w:sectPr>
      <w:headerReference r:id="rId10" w:type="first"/>
      <w:footerReference r:id="rId13" w:type="first"/>
      <w:headerReference r:id="rId9" w:type="default"/>
      <w:footerReference r:id="rId11" w:type="default"/>
      <w:footerReference r:id="rId12" w:type="even"/>
      <w:pgSz w:w="11906" w:h="16838"/>
      <w:pgMar w:top="2098" w:right="1474" w:bottom="1928" w:left="1588" w:header="851" w:footer="992" w:gutter="0"/>
      <w:cols w:space="720" w:num="1"/>
      <w:titlePg/>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23</w:t>
    </w:r>
    <w:r>
      <w:rPr>
        <w:rFonts w:ascii="宋体" w:hAnsi="宋体" w:eastAsia="宋体"/>
        <w:sz w:val="28"/>
        <w:szCs w:val="28"/>
      </w:rPr>
      <w:fldChar w:fldCharType="end"/>
    </w:r>
    <w:r>
      <w:rPr>
        <w:rFonts w:hint="eastAsia" w:ascii="宋体" w:hAnsi="宋体" w:eastAsia="宋体"/>
        <w:sz w:val="28"/>
        <w:szCs w:val="28"/>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24</w:t>
    </w:r>
    <w:r>
      <w:rPr>
        <w:rFonts w:ascii="宋体" w:hAnsi="宋体" w:eastAsia="宋体"/>
        <w:sz w:val="28"/>
        <w:szCs w:val="28"/>
      </w:rPr>
      <w:fldChar w:fldCharType="end"/>
    </w:r>
    <w:r>
      <w:rPr>
        <w:rFonts w:hint="eastAsia" w:ascii="宋体" w:hAnsi="宋体" w:eastAsia="宋体"/>
        <w:sz w:val="28"/>
        <w:szCs w:val="28"/>
      </w:rPr>
      <w:t xml:space="preserve"> —</w:t>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fldChar w:fldCharType="end"/>
    </w:r>
  </w:p>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33</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34</w:t>
    </w:r>
    <w:r>
      <w:rPr>
        <w:rFonts w:ascii="宋体" w:hAnsi="宋体" w:eastAsia="宋体"/>
        <w:sz w:val="28"/>
        <w:szCs w:val="28"/>
      </w:rPr>
      <w:fldChar w:fldCharType="end"/>
    </w:r>
    <w:r>
      <w:rPr>
        <w:rFonts w:hint="eastAsia" w:ascii="宋体" w:hAnsi="宋体" w:eastAsia="宋体"/>
        <w:sz w:val="28"/>
        <w:szCs w:val="28"/>
      </w:rPr>
      <w:t xml:space="preserve"> —</w:t>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25</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000000"/>
    <w:rsid w:val="3EAB0813"/>
    <w:rsid w:val="48B34832"/>
    <w:rsid w:val="AFDABF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qFormat/>
    <w:uiPriority w:val="11"/>
    <w:pPr>
      <w:spacing w:beforeLines="50" w:afterLines="50" w:line="560" w:lineRule="exact"/>
      <w:jc w:val="center"/>
      <w:outlineLvl w:val="1"/>
    </w:pPr>
    <w:rPr>
      <w:rFonts w:eastAsia="华文中宋" w:cs="Times New Roman"/>
      <w:bCs/>
      <w:kern w:val="28"/>
      <w:sz w:val="36"/>
      <w:szCs w:val="32"/>
    </w:rPr>
  </w:style>
  <w:style w:type="table" w:styleId="6">
    <w:name w:val="Table Grid"/>
    <w:basedOn w:val="5"/>
    <w:qFormat/>
    <w:uiPriority w:val="59"/>
    <w:rPr>
      <w:rFonts w:ascii="Calibri" w:hAnsi="Calibri" w:eastAsia="宋体" w:cs="Times New Roman"/>
      <w:kern w:val="2"/>
      <w:sz w:val="21"/>
      <w:szCs w:val="22"/>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spacing w:line="560" w:lineRule="atLeast"/>
      <w:ind w:firstLine="420" w:firstLineChars="200"/>
    </w:pPr>
    <w:rPr>
      <w:rFonts w:eastAsia="仿宋" w:cs="Times New Roman"/>
      <w:sz w:val="32"/>
    </w:rPr>
  </w:style>
  <w:style w:type="table" w:customStyle="1" w:styleId="9">
    <w:name w:val="Table Normal"/>
    <w:unhideWhenUsed/>
    <w:qFormat/>
    <w:uiPriority w:val="2"/>
    <w:pPr>
      <w:widowControl w:val="0"/>
      <w:autoSpaceDE w:val="0"/>
      <w:autoSpaceDN w:val="0"/>
    </w:pPr>
    <w:rPr>
      <w:rFonts w:ascii="Calibri" w:hAnsi="Calibri" w:eastAsia="宋体" w:cs="Times New Roman"/>
      <w:sz w:val="22"/>
      <w:szCs w:val="22"/>
      <w:lang w:eastAsia="en-US"/>
    </w:rPr>
    <w:tblPr>
      <w:tblStyle w:val="5"/>
      <w:tblCellMar>
        <w:top w:w="0" w:type="dxa"/>
        <w:left w:w="0" w:type="dxa"/>
        <w:bottom w:w="0" w:type="dxa"/>
        <w:right w:w="0" w:type="dxa"/>
      </w:tblCellMar>
    </w:tblPr>
  </w:style>
  <w:style w:type="paragraph" w:customStyle="1" w:styleId="10">
    <w:name w:val="Table Paragraph"/>
    <w:basedOn w:val="1"/>
    <w:qFormat/>
    <w:uiPriority w:val="1"/>
    <w:pPr>
      <w:autoSpaceDE w:val="0"/>
      <w:autoSpaceDN w:val="0"/>
      <w:spacing w:line="560" w:lineRule="atLeast"/>
      <w:ind w:firstLine="200" w:firstLineChars="200"/>
      <w:jc w:val="left"/>
    </w:pPr>
    <w:rPr>
      <w:rFonts w:ascii="Arial Unicode MS" w:hAnsi="Arial Unicode MS" w:eastAsia="Arial Unicode MS" w:cs="Arial Unicode MS"/>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11355</Words>
  <Characters>11463</Characters>
  <Lines>0</Lines>
  <Paragraphs>0</Paragraphs>
  <TotalTime>7</TotalTime>
  <ScaleCrop>false</ScaleCrop>
  <LinksUpToDate>false</LinksUpToDate>
  <CharactersWithSpaces>11577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拾雲</cp:lastModifiedBy>
  <dcterms:modified xsi:type="dcterms:W3CDTF">2023-06-16T00:44:10Z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FDB3F797341D4D2CB1FC2464DD9CC20A_13</vt:lpwstr>
  </property>
</Properties>
</file>