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sz w:val="44"/>
          <w:szCs w:val="44"/>
        </w:rPr>
      </w:pPr>
    </w:p>
    <w:p>
      <w:pPr>
        <w:spacing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天津港保税区管委会关于印发《天津港保税区职工公寓考评办法》的通知</w:t>
      </w:r>
    </w:p>
    <w:p>
      <w:pPr>
        <w:spacing w:line="500" w:lineRule="exact"/>
        <w:jc w:val="center"/>
        <w:rPr>
          <w:rFonts w:ascii="仿宋_GB2312" w:eastAsia="仿宋_GB2312"/>
          <w:color w:val="000000"/>
          <w:sz w:val="32"/>
          <w:szCs w:val="32"/>
        </w:rPr>
      </w:pPr>
    </w:p>
    <w:p>
      <w:pPr>
        <w:spacing w:line="500" w:lineRule="exact"/>
        <w:rPr>
          <w:rFonts w:ascii="仿宋_GB2312" w:eastAsia="仿宋_GB2312"/>
          <w:color w:val="000000"/>
          <w:sz w:val="32"/>
          <w:szCs w:val="32"/>
        </w:rPr>
      </w:pPr>
      <w:r>
        <w:rPr>
          <w:rFonts w:hint="eastAsia" w:ascii="仿宋_GB2312" w:eastAsia="仿宋_GB2312"/>
          <w:color w:val="000000"/>
          <w:sz w:val="32"/>
          <w:szCs w:val="32"/>
        </w:rPr>
        <w:t>各有关部门：</w:t>
      </w:r>
    </w:p>
    <w:p>
      <w:pPr>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因法定机构改革，部门职能职责变化，现结合工作实际，对原《天津港保税区职工公寓考评办法》文件予以修订印发，请遵照执行。</w:t>
      </w:r>
    </w:p>
    <w:p>
      <w:pPr>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特此通知。</w:t>
      </w:r>
    </w:p>
    <w:p>
      <w:pPr>
        <w:spacing w:line="460" w:lineRule="exact"/>
        <w:ind w:firstLine="640" w:firstLineChars="200"/>
        <w:rPr>
          <w:rFonts w:ascii="仿宋_GB2312" w:eastAsia="仿宋_GB2312"/>
          <w:color w:val="000000"/>
          <w:sz w:val="32"/>
          <w:szCs w:val="32"/>
        </w:rPr>
      </w:pPr>
    </w:p>
    <w:p>
      <w:pPr>
        <w:spacing w:line="460" w:lineRule="exact"/>
        <w:ind w:left="1985" w:leftChars="808" w:right="1046" w:rightChars="498" w:hanging="288" w:hangingChars="90"/>
        <w:rPr>
          <w:rFonts w:ascii="仿宋_GB2312" w:eastAsia="仿宋_GB2312"/>
          <w:color w:val="000000"/>
          <w:sz w:val="32"/>
          <w:szCs w:val="32"/>
        </w:rPr>
      </w:pPr>
    </w:p>
    <w:p>
      <w:pPr>
        <w:spacing w:line="460" w:lineRule="exact"/>
        <w:ind w:left="1985" w:leftChars="808" w:right="1046" w:rightChars="498" w:hanging="288" w:hangingChars="90"/>
        <w:rPr>
          <w:rFonts w:ascii="仿宋_GB2312" w:eastAsia="仿宋_GB2312"/>
          <w:color w:val="000000"/>
          <w:sz w:val="32"/>
          <w:szCs w:val="32"/>
        </w:rPr>
      </w:pPr>
    </w:p>
    <w:p>
      <w:pPr>
        <w:spacing w:line="460" w:lineRule="exact"/>
        <w:ind w:left="1985" w:leftChars="808" w:right="1046" w:rightChars="498" w:hanging="288" w:hangingChars="90"/>
        <w:rPr>
          <w:rFonts w:ascii="仿宋_GB2312" w:eastAsia="仿宋_GB2312"/>
          <w:color w:val="000000"/>
          <w:sz w:val="32"/>
          <w:szCs w:val="32"/>
        </w:rPr>
      </w:pPr>
    </w:p>
    <w:p>
      <w:pPr>
        <w:tabs>
          <w:tab w:val="left" w:pos="7513"/>
          <w:tab w:val="left" w:pos="7655"/>
        </w:tabs>
        <w:spacing w:line="460" w:lineRule="exact"/>
        <w:ind w:firstLine="4675" w:firstLineChars="1461"/>
        <w:jc w:val="left"/>
        <w:rPr>
          <w:rFonts w:ascii="仿宋_GB2312" w:eastAsia="仿宋_GB2312"/>
          <w:color w:val="000000"/>
          <w:sz w:val="32"/>
          <w:szCs w:val="32"/>
        </w:rPr>
      </w:pPr>
      <w:r>
        <w:rPr>
          <w:rFonts w:hint="eastAsia" w:ascii="仿宋_GB2312" w:eastAsia="仿宋_GB2312"/>
          <w:color w:val="000000"/>
          <w:sz w:val="32"/>
          <w:szCs w:val="32"/>
        </w:rPr>
        <w:t xml:space="preserve">    2020年7月1日</w:t>
      </w:r>
    </w:p>
    <w:p>
      <w:pPr>
        <w:spacing w:line="4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（此件主动公开）</w:t>
      </w:r>
      <w:r>
        <w:rPr>
          <w:rFonts w:ascii="仿宋_GB2312" w:eastAsia="仿宋_GB2312"/>
          <w:color w:val="000000"/>
          <w:sz w:val="32"/>
          <w:szCs w:val="32"/>
        </w:rPr>
        <w:br w:type="page"/>
      </w:r>
    </w:p>
    <w:p>
      <w:pPr>
        <w:spacing w:line="640" w:lineRule="exact"/>
        <w:jc w:val="center"/>
        <w:rPr>
          <w:rFonts w:ascii="方正小标宋简体" w:hAnsi="华文中宋" w:eastAsia="方正小标宋简体" w:cs="宋体"/>
          <w:spacing w:val="-2"/>
          <w:kern w:val="0"/>
          <w:position w:val="-2"/>
          <w:sz w:val="44"/>
          <w:szCs w:val="44"/>
        </w:rPr>
      </w:pPr>
      <w:r>
        <w:rPr>
          <w:rFonts w:hint="eastAsia" w:ascii="方正小标宋简体" w:hAnsi="华文中宋" w:eastAsia="方正小标宋简体" w:cs="宋体"/>
          <w:spacing w:val="-2"/>
          <w:kern w:val="0"/>
          <w:position w:val="-2"/>
          <w:sz w:val="44"/>
          <w:szCs w:val="44"/>
        </w:rPr>
        <w:t>天津港保税区职工公寓考评办法</w:t>
      </w:r>
    </w:p>
    <w:p>
      <w:pPr>
        <w:spacing w:line="560" w:lineRule="exact"/>
        <w:rPr>
          <w:rFonts w:ascii="华文仿宋" w:hAnsi="华文仿宋" w:eastAsia="华文仿宋" w:cs="华文仿宋"/>
          <w:b/>
          <w:bCs/>
          <w:szCs w:val="32"/>
        </w:rPr>
      </w:pPr>
    </w:p>
    <w:p>
      <w:pPr>
        <w:pStyle w:val="6"/>
        <w:spacing w:line="560" w:lineRule="exact"/>
        <w:ind w:firstLine="0" w:firstLineChars="0"/>
        <w:jc w:val="center"/>
        <w:rPr>
          <w:rFonts w:ascii="黑体" w:hAnsi="黑体" w:eastAsia="黑体"/>
          <w:b/>
          <w:sz w:val="32"/>
          <w:szCs w:val="32"/>
        </w:rPr>
      </w:pPr>
      <w:r>
        <w:rPr>
          <w:rFonts w:hint="eastAsia" w:ascii="黑体" w:hAnsi="黑体" w:eastAsia="黑体"/>
          <w:b/>
          <w:sz w:val="32"/>
          <w:szCs w:val="32"/>
        </w:rPr>
        <w:t>第一章  总  则</w:t>
      </w:r>
    </w:p>
    <w:p>
      <w:pPr>
        <w:pStyle w:val="6"/>
        <w:spacing w:line="560" w:lineRule="exact"/>
        <w:ind w:firstLine="643"/>
        <w:rPr>
          <w:rFonts w:ascii="仿宋_GB2312" w:hAnsi="宋体" w:eastAsia="仿宋_GB2312"/>
          <w:sz w:val="32"/>
          <w:szCs w:val="32"/>
        </w:rPr>
      </w:pPr>
      <w:r>
        <w:rPr>
          <w:rFonts w:hint="eastAsia" w:ascii="仿宋_GB2312" w:hAnsi="宋体" w:eastAsia="仿宋_GB2312"/>
          <w:b/>
          <w:sz w:val="32"/>
          <w:szCs w:val="32"/>
        </w:rPr>
        <w:t>第一条</w:t>
      </w:r>
      <w:r>
        <w:rPr>
          <w:rFonts w:hint="eastAsia" w:ascii="仿宋_GB2312" w:hAnsi="宋体" w:eastAsia="仿宋_GB2312"/>
          <w:sz w:val="32"/>
          <w:szCs w:val="32"/>
        </w:rPr>
        <w:t xml:space="preserve"> 为促进公寓管理现代化，建立科学的管理制度，充分调动和发挥公寓产权单位和物业服务企业的工作主动性和创造性，进一步规范和提高公寓的安全运营与服务水平，结合我区公寓实际情况，特制定本办法。</w:t>
      </w:r>
    </w:p>
    <w:p>
      <w:pPr>
        <w:pStyle w:val="6"/>
        <w:spacing w:line="560" w:lineRule="exact"/>
        <w:ind w:firstLine="643"/>
        <w:rPr>
          <w:rFonts w:ascii="仿宋_GB2312" w:hAnsi="宋体" w:eastAsia="仿宋_GB2312"/>
          <w:sz w:val="32"/>
          <w:szCs w:val="32"/>
        </w:rPr>
      </w:pPr>
      <w:r>
        <w:rPr>
          <w:rFonts w:hint="eastAsia" w:ascii="仿宋_GB2312" w:hAnsi="宋体" w:eastAsia="仿宋_GB2312"/>
          <w:b/>
          <w:sz w:val="32"/>
          <w:szCs w:val="32"/>
        </w:rPr>
        <w:t>第二条</w:t>
      </w:r>
      <w:r>
        <w:rPr>
          <w:rFonts w:hint="eastAsia" w:ascii="仿宋_GB2312" w:hAnsi="宋体" w:eastAsia="仿宋_GB2312"/>
          <w:sz w:val="32"/>
          <w:szCs w:val="32"/>
        </w:rPr>
        <w:t xml:space="preserve"> 本办法适用于天津港保税区、天津空港经济区（以下简称保税区）管辖区域内建设和运营的职工公寓，不含企业自建自用公寓。</w:t>
      </w:r>
    </w:p>
    <w:p>
      <w:pPr>
        <w:pStyle w:val="6"/>
        <w:spacing w:line="560" w:lineRule="exact"/>
        <w:ind w:firstLine="0" w:firstLineChars="0"/>
        <w:jc w:val="center"/>
        <w:rPr>
          <w:rFonts w:ascii="黑体" w:hAnsi="黑体" w:eastAsia="黑体"/>
          <w:b/>
          <w:sz w:val="32"/>
          <w:szCs w:val="32"/>
        </w:rPr>
      </w:pPr>
      <w:r>
        <w:rPr>
          <w:rFonts w:hint="eastAsia" w:ascii="黑体" w:hAnsi="黑体" w:eastAsia="黑体"/>
          <w:b/>
          <w:sz w:val="32"/>
          <w:szCs w:val="32"/>
        </w:rPr>
        <w:t>第二章  考评领导小组</w:t>
      </w:r>
    </w:p>
    <w:p>
      <w:pPr>
        <w:pStyle w:val="6"/>
        <w:spacing w:line="560" w:lineRule="exact"/>
        <w:ind w:firstLine="643"/>
        <w:rPr>
          <w:rFonts w:ascii="仿宋_GB2312" w:hAnsi="宋体" w:eastAsia="仿宋_GB2312"/>
          <w:sz w:val="32"/>
          <w:szCs w:val="32"/>
        </w:rPr>
      </w:pPr>
      <w:r>
        <w:rPr>
          <w:rFonts w:hint="eastAsia" w:ascii="仿宋_GB2312" w:hAnsi="宋体" w:eastAsia="仿宋_GB2312"/>
          <w:b/>
          <w:sz w:val="32"/>
          <w:szCs w:val="32"/>
        </w:rPr>
        <w:t>第三条</w:t>
      </w:r>
      <w:r>
        <w:rPr>
          <w:rFonts w:hint="eastAsia" w:ascii="仿宋_GB2312" w:hAnsi="宋体" w:eastAsia="仿宋_GB2312"/>
          <w:sz w:val="32"/>
          <w:szCs w:val="32"/>
        </w:rPr>
        <w:t xml:space="preserve"> 管委会设立考评领导小组，负责公寓考评工作。考评领导小组组长由保税区管委会分管副主任担任，副组长由区服务中心主任担任，成员单位包括服务中心、财政局、</w:t>
      </w:r>
      <w:r>
        <w:rPr>
          <w:rFonts w:hint="eastAsia" w:ascii="仿宋_GB2312" w:eastAsia="仿宋_GB2312"/>
          <w:sz w:val="32"/>
          <w:szCs w:val="34"/>
        </w:rPr>
        <w:t>规划国土和建设交通管理局</w:t>
      </w:r>
      <w:r>
        <w:rPr>
          <w:rFonts w:hint="eastAsia" w:ascii="仿宋_GB2312" w:hAnsi="宋体" w:eastAsia="仿宋_GB2312"/>
          <w:sz w:val="32"/>
          <w:szCs w:val="32"/>
        </w:rPr>
        <w:t>、</w:t>
      </w:r>
      <w:r>
        <w:rPr>
          <w:rFonts w:hint="eastAsia" w:ascii="仿宋_GB2312" w:eastAsia="仿宋_GB2312"/>
          <w:sz w:val="32"/>
          <w:szCs w:val="34"/>
        </w:rPr>
        <w:t>应急管理局</w:t>
      </w:r>
      <w:r>
        <w:rPr>
          <w:rFonts w:hint="eastAsia" w:ascii="仿宋_GB2312" w:hAnsi="宋体" w:eastAsia="仿宋_GB2312"/>
          <w:sz w:val="32"/>
          <w:szCs w:val="32"/>
        </w:rPr>
        <w:t>、城环局、社会发展局、</w:t>
      </w:r>
      <w:r>
        <w:rPr>
          <w:rFonts w:hint="eastAsia" w:ascii="仿宋_GB2312" w:eastAsia="仿宋_GB2312"/>
          <w:sz w:val="32"/>
          <w:szCs w:val="34"/>
        </w:rPr>
        <w:t>市场监管局</w:t>
      </w:r>
      <w:r>
        <w:rPr>
          <w:rFonts w:hint="eastAsia" w:ascii="仿宋_GB2312" w:hAnsi="宋体" w:eastAsia="仿宋_GB2312"/>
          <w:sz w:val="32"/>
          <w:szCs w:val="32"/>
        </w:rPr>
        <w:t>、区总工会、海港保税区管理局、公安派出所、应急救援支队。根据职责分工，各成员单位应指派考评人员参加公寓考评活动。</w:t>
      </w:r>
    </w:p>
    <w:p>
      <w:pPr>
        <w:pStyle w:val="6"/>
        <w:spacing w:line="560" w:lineRule="exact"/>
        <w:ind w:firstLine="643"/>
        <w:rPr>
          <w:rFonts w:ascii="仿宋_GB2312" w:hAnsi="宋体" w:eastAsia="仿宋_GB2312"/>
          <w:sz w:val="32"/>
          <w:szCs w:val="32"/>
        </w:rPr>
      </w:pPr>
      <w:r>
        <w:rPr>
          <w:rFonts w:hint="eastAsia" w:ascii="仿宋_GB2312" w:hAnsi="宋体" w:eastAsia="仿宋_GB2312"/>
          <w:b/>
          <w:sz w:val="32"/>
          <w:szCs w:val="32"/>
        </w:rPr>
        <w:t>第四条</w:t>
      </w:r>
      <w:r>
        <w:rPr>
          <w:rFonts w:hint="eastAsia" w:ascii="仿宋_GB2312" w:hAnsi="宋体" w:eastAsia="仿宋_GB2312"/>
          <w:sz w:val="32"/>
          <w:szCs w:val="32"/>
        </w:rPr>
        <w:t xml:space="preserve"> 服务中心是考评领导小组的牵头组织部门，负责制定公寓考评计划、内容、标准，并按照考评要求组织实施，各成员单位应坚持公开、公正、公平的工作原则，密切协作，联合检查，各负其责，考评结果由考评领导小组依据各单位考评情况研究决定。</w:t>
      </w:r>
    </w:p>
    <w:p>
      <w:pPr>
        <w:pStyle w:val="6"/>
        <w:spacing w:line="560" w:lineRule="exact"/>
        <w:ind w:firstLine="0" w:firstLineChars="0"/>
        <w:jc w:val="center"/>
        <w:rPr>
          <w:rFonts w:ascii="黑体" w:hAnsi="黑体" w:eastAsia="黑体"/>
          <w:b/>
          <w:sz w:val="32"/>
          <w:szCs w:val="32"/>
        </w:rPr>
      </w:pPr>
      <w:r>
        <w:rPr>
          <w:rFonts w:hint="eastAsia" w:ascii="黑体" w:hAnsi="黑体" w:eastAsia="黑体"/>
          <w:b/>
          <w:sz w:val="32"/>
          <w:szCs w:val="32"/>
        </w:rPr>
        <w:t>第三章  考评程序</w:t>
      </w:r>
    </w:p>
    <w:p>
      <w:pPr>
        <w:pStyle w:val="6"/>
        <w:spacing w:line="560" w:lineRule="exact"/>
        <w:ind w:firstLine="643"/>
        <w:rPr>
          <w:rFonts w:ascii="仿宋_GB2312" w:hAnsi="宋体" w:eastAsia="仿宋_GB2312"/>
          <w:sz w:val="32"/>
          <w:szCs w:val="32"/>
        </w:rPr>
      </w:pPr>
      <w:r>
        <w:rPr>
          <w:rFonts w:hint="eastAsia" w:ascii="仿宋_GB2312" w:hAnsi="宋体" w:eastAsia="仿宋_GB2312"/>
          <w:b/>
          <w:sz w:val="32"/>
          <w:szCs w:val="32"/>
        </w:rPr>
        <w:t>第五条</w:t>
      </w:r>
      <w:r>
        <w:rPr>
          <w:rFonts w:hint="eastAsia" w:ascii="仿宋_GB2312" w:hAnsi="宋体" w:eastAsia="仿宋_GB2312"/>
          <w:sz w:val="32"/>
          <w:szCs w:val="32"/>
        </w:rPr>
        <w:t xml:space="preserve"> 考评工作每半年组织一次。考评时间一般为6月份和12月份。 </w:t>
      </w:r>
    </w:p>
    <w:p>
      <w:pPr>
        <w:pStyle w:val="6"/>
        <w:spacing w:line="560" w:lineRule="exact"/>
        <w:ind w:firstLine="643"/>
        <w:rPr>
          <w:rFonts w:ascii="仿宋_GB2312" w:hAnsi="宋体" w:eastAsia="仿宋_GB2312"/>
          <w:sz w:val="32"/>
          <w:szCs w:val="32"/>
        </w:rPr>
      </w:pPr>
      <w:r>
        <w:rPr>
          <w:rFonts w:hint="eastAsia" w:ascii="仿宋_GB2312" w:hAnsi="宋体" w:eastAsia="仿宋_GB2312"/>
          <w:b/>
          <w:sz w:val="32"/>
          <w:szCs w:val="32"/>
        </w:rPr>
        <w:t>第六条</w:t>
      </w:r>
      <w:r>
        <w:rPr>
          <w:rFonts w:hint="eastAsia" w:ascii="仿宋_GB2312" w:hAnsi="宋体" w:eastAsia="仿宋_GB2312"/>
          <w:sz w:val="32"/>
          <w:szCs w:val="32"/>
        </w:rPr>
        <w:t xml:space="preserve"> 考评形式为考评组考评和企业职工问卷调查。</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（一）在考评的前一周，公寓产权单位和物业服务企业需分别向考评组提交自评报告、各项制度文件和工作记录。</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（二）服务中心向考评小组成员单位，提供当年历次检查考核记录和整改落实情况。</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（三）考评组考评由各成员单位根据各项工作落实情况，并结合历次检查考核情况、企业自评报告和工作记录，按照考评标准打分。</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（四）服务中心向入住企业职工开展问卷调查。</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（五）服务中心根据考评小组各成员单位考评和企业调查问卷2项成绩，对被考评单位进行综合评价，并给出最终考评成绩。其中，考评组成绩占70%，企业职工问卷调查成绩占30%。</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（六）服务中心撰写考评报告，公布考评成绩。</w:t>
      </w:r>
    </w:p>
    <w:p>
      <w:pPr>
        <w:pStyle w:val="6"/>
        <w:spacing w:line="560" w:lineRule="exact"/>
        <w:ind w:firstLine="643"/>
        <w:rPr>
          <w:rFonts w:ascii="仿宋_GB2312" w:hAnsi="宋体" w:eastAsia="仿宋_GB2312"/>
          <w:sz w:val="32"/>
          <w:szCs w:val="32"/>
        </w:rPr>
      </w:pPr>
      <w:r>
        <w:rPr>
          <w:rFonts w:hint="eastAsia" w:ascii="仿宋_GB2312" w:hAnsi="宋体" w:eastAsia="仿宋_GB2312"/>
          <w:b/>
          <w:sz w:val="32"/>
          <w:szCs w:val="32"/>
        </w:rPr>
        <w:t>第七条</w:t>
      </w:r>
      <w:r>
        <w:rPr>
          <w:rFonts w:hint="eastAsia" w:ascii="仿宋_GB2312" w:hAnsi="宋体" w:eastAsia="仿宋_GB2312"/>
          <w:sz w:val="32"/>
          <w:szCs w:val="32"/>
        </w:rPr>
        <w:t xml:space="preserve"> 被考评单位对考评结果有异议的，可在考评结果公布5个工作日内，以书面形式向考评组提请复核。经复核后，由考评组做出最终评定。</w:t>
      </w:r>
    </w:p>
    <w:p>
      <w:pPr>
        <w:pStyle w:val="6"/>
        <w:spacing w:line="560" w:lineRule="exact"/>
        <w:ind w:firstLine="0" w:firstLineChars="0"/>
        <w:jc w:val="center"/>
        <w:rPr>
          <w:rFonts w:ascii="黑体" w:hAnsi="黑体" w:eastAsia="黑体"/>
          <w:b/>
          <w:sz w:val="32"/>
          <w:szCs w:val="32"/>
        </w:rPr>
      </w:pPr>
      <w:r>
        <w:rPr>
          <w:rFonts w:hint="eastAsia" w:ascii="黑体" w:hAnsi="黑体" w:eastAsia="黑体"/>
          <w:b/>
          <w:sz w:val="32"/>
          <w:szCs w:val="32"/>
        </w:rPr>
        <w:t>第四章  考评内容及评分标准</w:t>
      </w:r>
    </w:p>
    <w:p>
      <w:pPr>
        <w:pStyle w:val="6"/>
        <w:spacing w:line="560" w:lineRule="exact"/>
        <w:ind w:firstLine="643"/>
        <w:rPr>
          <w:rFonts w:ascii="仿宋_GB2312" w:hAnsi="宋体" w:eastAsia="仿宋_GB2312"/>
          <w:sz w:val="32"/>
          <w:szCs w:val="32"/>
        </w:rPr>
      </w:pPr>
      <w:r>
        <w:rPr>
          <w:rFonts w:hint="eastAsia" w:ascii="仿宋_GB2312" w:hAnsi="宋体" w:eastAsia="仿宋_GB2312"/>
          <w:b/>
          <w:sz w:val="32"/>
          <w:szCs w:val="32"/>
        </w:rPr>
        <w:t>第八条</w:t>
      </w:r>
      <w:r>
        <w:rPr>
          <w:rFonts w:hint="eastAsia" w:ascii="仿宋_GB2312" w:hAnsi="宋体" w:eastAsia="仿宋_GB2312"/>
          <w:sz w:val="32"/>
          <w:szCs w:val="32"/>
        </w:rPr>
        <w:t xml:space="preserve"> 考评组考评主要围绕公寓安全管理、消防安全管理、公共卫生管理、商业、食品安全管理、特种设备管理、治安管理、综合服务管理（包括节能降耗、维修服务与设备管理、职工内务管理、物业内部管理、公寓文化建设）等方面进行考评。</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公寓安全管理：主要包括职工安全、生产安全、设施设备安全等方面，占考评组成绩20%；</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消防安全管理：主要包括消防验收许可、消防标准、消防器材、消防管理措施等方面，占考评组成绩15%；</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公共卫生及文化建设管理：主要包括公共卫生安全管理、传染病防治、健康教育、饮用水安全、文化建设等方面，占考评组成绩10%；</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食品安全、商业资质及特种设备：主要包括食品安全、商业资质、特种设备等方面，占考评组成绩10%；</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社会治安管理：主要包括人防管理、物防管理、技防管理、宿舍治安管理等方面，占考评组成绩15%；</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综合服务管理：占考评组成绩30%，其中：</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 xml:space="preserve">节能降耗：主要包括节能示意图、员工节能培训、公寓水、电、气、热降耗指标等方面； </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 xml:space="preserve">职工内务管理：主要包括内务秩序、公共物品、入住程序、宿管员编配等方面； </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物业内部管理：主要包括安保、工程、质量、环境、财务、人事管理，公开服务标准、公寓物业管理服务组织机构图、各类值班和维修档案记录等方面；</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维修服务与设备管理：主要包括公寓公共设施、设备维护养护的检查记录等方面；</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文化阵地管理：主要包括文化设施、志愿者服务、管理制度等方面。</w:t>
      </w:r>
    </w:p>
    <w:p>
      <w:pPr>
        <w:pStyle w:val="6"/>
        <w:spacing w:line="560" w:lineRule="exact"/>
        <w:ind w:firstLine="643"/>
        <w:rPr>
          <w:rFonts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xml:space="preserve"> 问卷调查</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服务中心向入住公寓企业开展问卷调查，内容涵盖入住程序、公寓管理、环境卫生、设施设备、商业配套等方面。</w:t>
      </w:r>
    </w:p>
    <w:p>
      <w:pPr>
        <w:pStyle w:val="6"/>
        <w:spacing w:line="560" w:lineRule="exact"/>
        <w:ind w:firstLine="643"/>
        <w:rPr>
          <w:rFonts w:ascii="仿宋_GB2312" w:hAnsi="宋体" w:eastAsia="仿宋_GB2312"/>
          <w:sz w:val="32"/>
          <w:szCs w:val="32"/>
        </w:rPr>
      </w:pPr>
      <w:r>
        <w:rPr>
          <w:rFonts w:hint="eastAsia" w:ascii="仿宋_GB2312" w:hAnsi="宋体" w:eastAsia="仿宋_GB2312"/>
          <w:b/>
          <w:sz w:val="32"/>
          <w:szCs w:val="32"/>
        </w:rPr>
        <w:t>第十条</w:t>
      </w:r>
      <w:r>
        <w:rPr>
          <w:rFonts w:hint="eastAsia" w:ascii="仿宋_GB2312" w:hAnsi="宋体" w:eastAsia="仿宋_GB2312"/>
          <w:sz w:val="32"/>
          <w:szCs w:val="32"/>
        </w:rPr>
        <w:t xml:space="preserve"> 考评等级</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根据全年2次考评平均成绩，评定考评等级：</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90分（含）以上，为优秀等级。</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75分～89分，为良好等级。</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60分～74分，为合格等级。</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60分以下，为不合格等级。</w:t>
      </w:r>
    </w:p>
    <w:p>
      <w:pPr>
        <w:pStyle w:val="6"/>
        <w:spacing w:line="560" w:lineRule="exact"/>
        <w:ind w:firstLine="643"/>
        <w:rPr>
          <w:rFonts w:ascii="仿宋_GB2312" w:hAnsi="宋体" w:eastAsia="仿宋_GB2312"/>
          <w:sz w:val="32"/>
          <w:szCs w:val="32"/>
        </w:rPr>
      </w:pPr>
      <w:r>
        <w:rPr>
          <w:rFonts w:hint="eastAsia" w:ascii="仿宋_GB2312" w:hAnsi="宋体" w:eastAsia="仿宋_GB2312"/>
          <w:b/>
          <w:sz w:val="32"/>
          <w:szCs w:val="32"/>
        </w:rPr>
        <w:t>第十一条</w:t>
      </w:r>
      <w:r>
        <w:rPr>
          <w:rFonts w:hint="eastAsia" w:ascii="仿宋_GB2312" w:hAnsi="宋体" w:eastAsia="仿宋_GB2312"/>
          <w:sz w:val="32"/>
          <w:szCs w:val="32"/>
        </w:rPr>
        <w:t xml:space="preserve"> 年内发生一般及以上安全责任事故的公寓，采取一票否决制，考评成绩为不合格，同时依法追究相关责任人员的责任。</w:t>
      </w:r>
    </w:p>
    <w:p>
      <w:pPr>
        <w:pStyle w:val="6"/>
        <w:spacing w:line="560" w:lineRule="exact"/>
        <w:ind w:firstLine="0" w:firstLineChars="0"/>
        <w:jc w:val="center"/>
        <w:rPr>
          <w:rFonts w:ascii="黑体" w:hAnsi="黑体" w:eastAsia="黑体"/>
          <w:b/>
          <w:sz w:val="32"/>
          <w:szCs w:val="32"/>
        </w:rPr>
      </w:pPr>
      <w:r>
        <w:rPr>
          <w:rFonts w:hint="eastAsia" w:ascii="黑体" w:hAnsi="黑体" w:eastAsia="黑体"/>
          <w:b/>
          <w:sz w:val="32"/>
          <w:szCs w:val="32"/>
        </w:rPr>
        <w:t>第五章  奖励补贴办法</w:t>
      </w:r>
    </w:p>
    <w:p>
      <w:pPr>
        <w:pStyle w:val="6"/>
        <w:spacing w:line="560" w:lineRule="exact"/>
        <w:ind w:firstLine="643"/>
        <w:rPr>
          <w:rFonts w:ascii="仿宋_GB2312" w:hAnsi="宋体" w:eastAsia="仿宋_GB2312"/>
          <w:sz w:val="32"/>
          <w:szCs w:val="32"/>
        </w:rPr>
      </w:pPr>
      <w:r>
        <w:rPr>
          <w:rFonts w:hint="eastAsia" w:ascii="仿宋_GB2312" w:hAnsi="宋体" w:eastAsia="仿宋_GB2312"/>
          <w:b/>
          <w:sz w:val="32"/>
          <w:szCs w:val="32"/>
        </w:rPr>
        <w:t>第十二条</w:t>
      </w:r>
      <w:r>
        <w:rPr>
          <w:rFonts w:hint="eastAsia" w:ascii="仿宋_GB2312" w:hAnsi="宋体" w:eastAsia="仿宋_GB2312"/>
          <w:sz w:val="32"/>
          <w:szCs w:val="32"/>
        </w:rPr>
        <w:t xml:space="preserve"> 考评结果公示后，服务中心将公寓产权单位的考评结果提供给财政局，作为管委会补贴的依据。</w:t>
      </w:r>
    </w:p>
    <w:p>
      <w:pPr>
        <w:pStyle w:val="6"/>
        <w:spacing w:line="560" w:lineRule="exact"/>
        <w:ind w:firstLine="643"/>
        <w:rPr>
          <w:rFonts w:ascii="仿宋_GB2312" w:hAnsi="宋体" w:eastAsia="仿宋_GB2312"/>
          <w:sz w:val="32"/>
          <w:szCs w:val="32"/>
        </w:rPr>
      </w:pPr>
      <w:r>
        <w:rPr>
          <w:rFonts w:hint="eastAsia" w:ascii="仿宋_GB2312" w:hAnsi="宋体" w:eastAsia="仿宋_GB2312"/>
          <w:b/>
          <w:sz w:val="32"/>
          <w:szCs w:val="32"/>
        </w:rPr>
        <w:t>第十三条</w:t>
      </w:r>
      <w:r>
        <w:rPr>
          <w:rFonts w:hint="eastAsia" w:ascii="仿宋_GB2312" w:hAnsi="宋体" w:eastAsia="仿宋_GB2312"/>
          <w:sz w:val="32"/>
          <w:szCs w:val="32"/>
        </w:rPr>
        <w:t xml:space="preserve"> 根据《天津港保税区、天津空港经济区职工公寓管理暂行办法》中有关规定，按公寓月均入住人数，30元/人/年标准，给予各公寓物业服务企业补贴，每年最高不超过30万元。根据考评结果，服务中心向管委会提出对各物业服务企业奖励补贴的建议。批示后，按照考评等级给予相应补贴：</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优秀等级，全额补贴（补贴100%）；</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良好等级，按考评成绩给予相应补贴（补贴75%～89%）；</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合格等级，按考评成绩给予相应补贴（补贴60%～74%）；</w:t>
      </w:r>
    </w:p>
    <w:p>
      <w:pPr>
        <w:pStyle w:val="6"/>
        <w:spacing w:line="560" w:lineRule="exact"/>
        <w:ind w:firstLine="640"/>
        <w:rPr>
          <w:rFonts w:ascii="仿宋_GB2312" w:hAnsi="宋体" w:eastAsia="仿宋_GB2312"/>
          <w:sz w:val="32"/>
          <w:szCs w:val="32"/>
        </w:rPr>
      </w:pPr>
      <w:r>
        <w:rPr>
          <w:rFonts w:hint="eastAsia" w:ascii="仿宋_GB2312" w:hAnsi="宋体" w:eastAsia="仿宋_GB2312"/>
          <w:sz w:val="32"/>
          <w:szCs w:val="32"/>
        </w:rPr>
        <w:t>不合格等级，不给予补贴，并建议公寓产权单位根据物业合同的约定，追究相关责任。</w:t>
      </w:r>
    </w:p>
    <w:p>
      <w:pPr>
        <w:pStyle w:val="6"/>
        <w:spacing w:line="560" w:lineRule="exact"/>
        <w:ind w:firstLine="0" w:firstLineChars="0"/>
        <w:jc w:val="center"/>
        <w:rPr>
          <w:rFonts w:ascii="黑体" w:hAnsi="黑体" w:eastAsia="黑体"/>
          <w:b/>
          <w:sz w:val="32"/>
          <w:szCs w:val="32"/>
        </w:rPr>
      </w:pPr>
      <w:r>
        <w:rPr>
          <w:rFonts w:hint="eastAsia" w:ascii="黑体" w:hAnsi="黑体" w:eastAsia="黑体"/>
          <w:b/>
          <w:sz w:val="32"/>
          <w:szCs w:val="32"/>
        </w:rPr>
        <w:t>第六章  附 则</w:t>
      </w:r>
    </w:p>
    <w:p>
      <w:pPr>
        <w:pStyle w:val="6"/>
        <w:spacing w:line="560" w:lineRule="exact"/>
        <w:ind w:firstLine="643"/>
        <w:rPr>
          <w:rFonts w:ascii="仿宋_GB2312" w:hAnsi="宋体" w:eastAsia="仿宋_GB2312"/>
          <w:sz w:val="32"/>
          <w:szCs w:val="32"/>
        </w:rPr>
      </w:pPr>
      <w:r>
        <w:rPr>
          <w:rFonts w:hint="eastAsia" w:ascii="仿宋_GB2312" w:hAnsi="宋体" w:eastAsia="仿宋_GB2312"/>
          <w:b/>
          <w:sz w:val="32"/>
          <w:szCs w:val="32"/>
        </w:rPr>
        <w:t>第十四条</w:t>
      </w:r>
      <w:r>
        <w:rPr>
          <w:rFonts w:hint="eastAsia" w:ascii="仿宋_GB2312" w:hAnsi="宋体" w:eastAsia="仿宋_GB2312"/>
          <w:sz w:val="32"/>
          <w:szCs w:val="32"/>
        </w:rPr>
        <w:t xml:space="preserve"> 本办法由服务中心负责解释。</w:t>
      </w:r>
    </w:p>
    <w:p>
      <w:pPr>
        <w:pStyle w:val="6"/>
        <w:spacing w:line="560" w:lineRule="exact"/>
        <w:ind w:firstLine="643"/>
        <w:rPr>
          <w:rFonts w:ascii="仿宋_GB2312" w:hAnsi="宋体" w:eastAsia="仿宋_GB2312"/>
          <w:sz w:val="32"/>
          <w:szCs w:val="32"/>
        </w:rPr>
      </w:pPr>
      <w:r>
        <w:rPr>
          <w:rFonts w:hint="eastAsia" w:ascii="仿宋_GB2312" w:hAnsi="宋体" w:eastAsia="仿宋_GB2312"/>
          <w:b/>
          <w:sz w:val="32"/>
          <w:szCs w:val="32"/>
        </w:rPr>
        <w:t>第十五条</w:t>
      </w:r>
      <w:r>
        <w:rPr>
          <w:rFonts w:hint="eastAsia" w:ascii="仿宋_GB2312" w:hAnsi="宋体" w:eastAsia="仿宋_GB2312"/>
          <w:sz w:val="32"/>
          <w:szCs w:val="32"/>
        </w:rPr>
        <w:t xml:space="preserve"> 本办法自颁布之日起实施，有效期五年，原《天津港保税区、天津空港经济区职工公寓考评暂行办法》（津保管发〔2012〕29号）同时废止。</w:t>
      </w:r>
    </w:p>
    <w:p>
      <w:pPr>
        <w:pStyle w:val="6"/>
        <w:spacing w:line="560" w:lineRule="exact"/>
        <w:ind w:firstLine="640"/>
        <w:rPr>
          <w:rFonts w:ascii="仿宋_GB2312" w:hAnsi="宋体" w:eastAsia="仿宋_GB2312"/>
          <w:sz w:val="32"/>
          <w:szCs w:val="32"/>
        </w:rPr>
      </w:pPr>
    </w:p>
    <w:p>
      <w:pPr>
        <w:spacing w:line="560" w:lineRule="exact"/>
        <w:ind w:firstLine="640" w:firstLineChars="200"/>
        <w:jc w:val="left"/>
        <w:rPr>
          <w:rFonts w:hint="eastAsia" w:ascii="仿宋_GB2312" w:hAnsi="宋体" w:eastAsia="仿宋_GB2312"/>
          <w:sz w:val="32"/>
          <w:szCs w:val="32"/>
        </w:rPr>
      </w:pPr>
      <w:r>
        <w:rPr>
          <w:rFonts w:ascii="仿宋_GB2312" w:hAnsi="宋体" w:eastAsia="仿宋_GB2312"/>
          <w:sz w:val="32"/>
          <w:szCs w:val="32"/>
        </w:rPr>
        <w:t>附件</w:t>
      </w:r>
      <w:r>
        <w:rPr>
          <w:rFonts w:hint="eastAsia" w:ascii="仿宋_GB2312" w:hAnsi="宋体" w:eastAsia="仿宋_GB2312"/>
          <w:sz w:val="32"/>
          <w:szCs w:val="32"/>
        </w:rPr>
        <w:t>：1.天津港保税区、天津空港经济区职工公寓考评标准</w:t>
      </w:r>
    </w:p>
    <w:p>
      <w:pPr>
        <w:spacing w:line="560" w:lineRule="exact"/>
        <w:ind w:firstLine="1760" w:firstLineChars="550"/>
        <w:jc w:val="left"/>
        <w:rPr>
          <w:rFonts w:ascii="仿宋_GB2312" w:hAnsi="华文中宋" w:eastAsia="仿宋_GB2312" w:cs="宋体"/>
          <w:kern w:val="0"/>
          <w:sz w:val="32"/>
          <w:szCs w:val="32"/>
        </w:rPr>
      </w:pPr>
      <w:r>
        <w:rPr>
          <w:rFonts w:hint="eastAsia" w:ascii="仿宋_GB2312" w:hAnsi="华文中宋" w:eastAsia="仿宋_GB2312" w:cs="宋体"/>
          <w:kern w:val="0"/>
          <w:sz w:val="32"/>
          <w:szCs w:val="32"/>
        </w:rPr>
        <w:t>（社发局考评项目）</w:t>
      </w:r>
    </w:p>
    <w:p>
      <w:pPr>
        <w:pStyle w:val="6"/>
        <w:spacing w:line="560" w:lineRule="exact"/>
        <w:ind w:firstLine="0" w:firstLineChars="0"/>
        <w:jc w:val="left"/>
        <w:rPr>
          <w:rFonts w:hint="eastAsia" w:ascii="仿宋_GB2312" w:hAnsi="宋体" w:eastAsia="仿宋_GB2312"/>
          <w:sz w:val="32"/>
          <w:szCs w:val="32"/>
        </w:rPr>
      </w:pPr>
      <w:r>
        <w:rPr>
          <w:rFonts w:hint="eastAsia" w:ascii="方正小标宋简体" w:hAnsi="华文中宋" w:eastAsia="方正小标宋简体" w:cs="宋体"/>
          <w:sz w:val="44"/>
          <w:szCs w:val="44"/>
        </w:rPr>
        <w:t xml:space="preserve">       </w:t>
      </w:r>
      <w:r>
        <w:rPr>
          <w:rFonts w:hint="eastAsia" w:ascii="仿宋_GB2312" w:hAnsi="宋体" w:eastAsia="仿宋_GB2312"/>
          <w:sz w:val="32"/>
          <w:szCs w:val="32"/>
        </w:rPr>
        <w:t>2.天津港保税区、天津空港经济区职工公寓考评标准</w:t>
      </w:r>
    </w:p>
    <w:p>
      <w:pPr>
        <w:pStyle w:val="6"/>
        <w:spacing w:line="560" w:lineRule="exact"/>
        <w:ind w:firstLine="1760" w:firstLineChars="550"/>
        <w:jc w:val="left"/>
        <w:rPr>
          <w:rFonts w:ascii="仿宋_GB2312" w:hAnsi="宋体" w:eastAsia="仿宋_GB2312"/>
          <w:sz w:val="32"/>
          <w:szCs w:val="32"/>
        </w:rPr>
      </w:pPr>
      <w:r>
        <w:rPr>
          <w:rFonts w:hint="eastAsia" w:ascii="仿宋_GB2312" w:hAnsi="宋体" w:eastAsia="仿宋_GB2312"/>
          <w:sz w:val="32"/>
          <w:szCs w:val="32"/>
        </w:rPr>
        <w:t>（应急管理局考评项目）</w:t>
      </w:r>
    </w:p>
    <w:p>
      <w:pPr>
        <w:pStyle w:val="6"/>
        <w:spacing w:line="560" w:lineRule="exact"/>
        <w:ind w:firstLine="1552" w:firstLineChars="485"/>
        <w:jc w:val="left"/>
        <w:rPr>
          <w:rFonts w:hint="eastAsia" w:ascii="仿宋_GB2312" w:hAnsi="宋体" w:eastAsia="仿宋_GB2312"/>
          <w:sz w:val="32"/>
          <w:szCs w:val="32"/>
        </w:rPr>
      </w:pPr>
      <w:r>
        <w:rPr>
          <w:rFonts w:hint="eastAsia" w:ascii="仿宋_GB2312" w:hAnsi="宋体" w:eastAsia="仿宋_GB2312"/>
          <w:sz w:val="32"/>
          <w:szCs w:val="32"/>
        </w:rPr>
        <w:t>3.天津港保税区、天津空港经济区职工公寓考评标准</w:t>
      </w:r>
    </w:p>
    <w:p>
      <w:pPr>
        <w:pStyle w:val="6"/>
        <w:spacing w:line="560" w:lineRule="exact"/>
        <w:ind w:firstLine="1760" w:firstLineChars="550"/>
        <w:jc w:val="left"/>
        <w:rPr>
          <w:rFonts w:ascii="仿宋_GB2312" w:hAnsi="宋体" w:eastAsia="仿宋_GB2312"/>
          <w:sz w:val="32"/>
          <w:szCs w:val="32"/>
        </w:rPr>
      </w:pPr>
      <w:r>
        <w:rPr>
          <w:rFonts w:hint="eastAsia" w:ascii="仿宋_GB2312" w:hAnsi="宋体" w:eastAsia="仿宋_GB2312"/>
          <w:sz w:val="32"/>
          <w:szCs w:val="32"/>
        </w:rPr>
        <w:t>（应急救援支队考评项目）</w:t>
      </w:r>
    </w:p>
    <w:p>
      <w:pPr>
        <w:pStyle w:val="6"/>
        <w:spacing w:line="560" w:lineRule="exact"/>
        <w:ind w:firstLine="1552" w:firstLineChars="485"/>
        <w:jc w:val="left"/>
        <w:rPr>
          <w:rFonts w:hint="eastAsia" w:ascii="仿宋_GB2312" w:hAnsi="宋体" w:eastAsia="仿宋_GB2312"/>
          <w:sz w:val="32"/>
          <w:szCs w:val="32"/>
        </w:rPr>
      </w:pPr>
      <w:r>
        <w:rPr>
          <w:rFonts w:hint="eastAsia" w:ascii="仿宋_GB2312" w:hAnsi="宋体" w:eastAsia="仿宋_GB2312"/>
          <w:sz w:val="32"/>
          <w:szCs w:val="32"/>
        </w:rPr>
        <w:t>4.天津港保税区、天津空港经济区职工公寓考评标准</w:t>
      </w:r>
    </w:p>
    <w:p>
      <w:pPr>
        <w:pStyle w:val="6"/>
        <w:spacing w:line="560" w:lineRule="exact"/>
        <w:ind w:firstLine="1712" w:firstLineChars="535"/>
        <w:jc w:val="left"/>
        <w:rPr>
          <w:rFonts w:hint="eastAsia" w:ascii="仿宋_GB2312" w:hAnsi="宋体" w:eastAsia="仿宋_GB2312"/>
          <w:sz w:val="32"/>
          <w:szCs w:val="32"/>
        </w:rPr>
      </w:pPr>
      <w:r>
        <w:rPr>
          <w:rFonts w:hint="eastAsia" w:ascii="仿宋_GB2312" w:hAnsi="宋体" w:eastAsia="仿宋_GB2312"/>
          <w:sz w:val="32"/>
          <w:szCs w:val="32"/>
        </w:rPr>
        <w:t>（公安派出所考评项目）</w:t>
      </w:r>
    </w:p>
    <w:p>
      <w:pPr>
        <w:pStyle w:val="6"/>
        <w:spacing w:line="560" w:lineRule="exact"/>
        <w:ind w:firstLine="1552" w:firstLineChars="485"/>
        <w:jc w:val="left"/>
        <w:rPr>
          <w:rFonts w:hint="eastAsia" w:ascii="仿宋_GB2312" w:hAnsi="宋体" w:eastAsia="仿宋_GB2312"/>
          <w:sz w:val="32"/>
          <w:szCs w:val="32"/>
        </w:rPr>
      </w:pPr>
      <w:r>
        <w:rPr>
          <w:rFonts w:hint="eastAsia" w:ascii="仿宋_GB2312" w:hAnsi="宋体" w:eastAsia="仿宋_GB2312"/>
          <w:sz w:val="32"/>
          <w:szCs w:val="32"/>
        </w:rPr>
        <w:t>5.天津港保税区、天津空港经济区职工公寓考评标准</w:t>
      </w:r>
    </w:p>
    <w:p>
      <w:pPr>
        <w:pStyle w:val="6"/>
        <w:spacing w:line="560" w:lineRule="exact"/>
        <w:ind w:firstLine="1712" w:firstLineChars="535"/>
        <w:jc w:val="left"/>
        <w:rPr>
          <w:rFonts w:hint="eastAsia" w:ascii="仿宋_GB2312" w:hAnsi="宋体" w:eastAsia="仿宋_GB2312"/>
          <w:sz w:val="32"/>
          <w:szCs w:val="32"/>
        </w:rPr>
      </w:pPr>
      <w:r>
        <w:rPr>
          <w:rFonts w:hint="eastAsia" w:ascii="仿宋_GB2312" w:hAnsi="宋体" w:eastAsia="仿宋_GB2312"/>
          <w:sz w:val="32"/>
          <w:szCs w:val="32"/>
        </w:rPr>
        <w:t>（市场监管局考评项目）</w:t>
      </w:r>
    </w:p>
    <w:p>
      <w:pPr>
        <w:pStyle w:val="6"/>
        <w:spacing w:line="560" w:lineRule="exact"/>
        <w:ind w:firstLine="1552" w:firstLineChars="485"/>
        <w:jc w:val="left"/>
        <w:rPr>
          <w:rFonts w:hint="eastAsia" w:ascii="仿宋_GB2312" w:hAnsi="宋体" w:eastAsia="仿宋_GB2312"/>
          <w:sz w:val="32"/>
          <w:szCs w:val="32"/>
        </w:rPr>
      </w:pPr>
      <w:r>
        <w:rPr>
          <w:rFonts w:hint="eastAsia" w:ascii="仿宋_GB2312" w:hAnsi="宋体" w:eastAsia="仿宋_GB2312"/>
          <w:sz w:val="32"/>
          <w:szCs w:val="32"/>
        </w:rPr>
        <w:t>6.天津港保税区、天津空港经济区职工公寓考评标准</w:t>
      </w:r>
    </w:p>
    <w:p>
      <w:pPr>
        <w:pStyle w:val="6"/>
        <w:spacing w:line="560" w:lineRule="exact"/>
        <w:ind w:firstLine="1712" w:firstLineChars="535"/>
        <w:jc w:val="left"/>
        <w:rPr>
          <w:rFonts w:hint="eastAsia" w:ascii="仿宋_GB2312" w:hAnsi="宋体" w:eastAsia="仿宋_GB2312"/>
          <w:sz w:val="32"/>
          <w:szCs w:val="32"/>
        </w:rPr>
      </w:pPr>
      <w:r>
        <w:rPr>
          <w:rFonts w:hint="eastAsia" w:ascii="仿宋_GB2312" w:hAnsi="宋体" w:eastAsia="仿宋_GB2312"/>
          <w:sz w:val="32"/>
          <w:szCs w:val="32"/>
        </w:rPr>
        <w:t>（综合服务考评项目）</w:t>
      </w:r>
    </w:p>
    <w:p>
      <w:pPr>
        <w:pStyle w:val="6"/>
        <w:spacing w:line="560" w:lineRule="exact"/>
        <w:ind w:firstLine="1552" w:firstLineChars="485"/>
        <w:jc w:val="left"/>
        <w:rPr>
          <w:rFonts w:ascii="仿宋_GB2312" w:hAnsi="宋体" w:eastAsia="仿宋_GB2312"/>
          <w:sz w:val="32"/>
          <w:szCs w:val="32"/>
        </w:rPr>
      </w:pPr>
      <w:r>
        <w:rPr>
          <w:rFonts w:hint="eastAsia" w:ascii="仿宋_GB2312" w:hAnsi="宋体" w:eastAsia="仿宋_GB2312"/>
          <w:sz w:val="32"/>
          <w:szCs w:val="32"/>
        </w:rPr>
        <w:t>7.企业职工调查问卷</w:t>
      </w:r>
    </w:p>
    <w:p>
      <w:pPr>
        <w:pStyle w:val="6"/>
        <w:spacing w:line="560" w:lineRule="exact"/>
        <w:ind w:firstLine="640"/>
        <w:rPr>
          <w:rFonts w:ascii="仿宋_GB2312" w:hAnsi="宋体" w:eastAsia="仿宋_GB2312"/>
          <w:sz w:val="32"/>
          <w:szCs w:val="32"/>
        </w:rPr>
      </w:pPr>
    </w:p>
    <w:p>
      <w:pPr>
        <w:pStyle w:val="6"/>
        <w:spacing w:line="560" w:lineRule="exact"/>
        <w:ind w:firstLine="640"/>
        <w:rPr>
          <w:rFonts w:ascii="仿宋_GB2312" w:hAnsi="宋体" w:eastAsia="仿宋_GB2312"/>
          <w:sz w:val="32"/>
          <w:szCs w:val="32"/>
        </w:rPr>
      </w:pPr>
    </w:p>
    <w:p>
      <w:pPr>
        <w:pStyle w:val="6"/>
        <w:spacing w:line="560" w:lineRule="exact"/>
        <w:ind w:firstLine="640"/>
        <w:rPr>
          <w:rFonts w:ascii="仿宋_GB2312" w:hAnsi="宋体" w:eastAsia="仿宋_GB2312"/>
          <w:sz w:val="32"/>
          <w:szCs w:val="32"/>
        </w:rPr>
      </w:pPr>
    </w:p>
    <w:p>
      <w:pPr>
        <w:spacing w:line="560" w:lineRule="exact"/>
        <w:ind w:right="-57" w:rightChars="-27"/>
        <w:rPr>
          <w:rFonts w:hint="eastAsia" w:ascii="黑体" w:eastAsia="黑体"/>
          <w:sz w:val="32"/>
          <w:szCs w:val="32"/>
        </w:rPr>
      </w:pPr>
    </w:p>
    <w:p>
      <w:pPr>
        <w:spacing w:line="560" w:lineRule="exact"/>
        <w:ind w:right="-57" w:rightChars="-27"/>
        <w:rPr>
          <w:rFonts w:hint="eastAsia" w:ascii="黑体" w:eastAsia="黑体"/>
          <w:sz w:val="32"/>
          <w:szCs w:val="32"/>
        </w:rPr>
      </w:pPr>
    </w:p>
    <w:p>
      <w:pPr>
        <w:spacing w:line="560" w:lineRule="exact"/>
        <w:ind w:right="-57" w:rightChars="-27"/>
        <w:rPr>
          <w:rFonts w:hint="eastAsia" w:ascii="黑体" w:eastAsia="黑体"/>
          <w:sz w:val="32"/>
          <w:szCs w:val="32"/>
        </w:rPr>
      </w:pPr>
    </w:p>
    <w:p>
      <w:pPr>
        <w:spacing w:line="560" w:lineRule="exact"/>
        <w:ind w:right="-57" w:rightChars="-27"/>
        <w:rPr>
          <w:rFonts w:hint="eastAsia" w:ascii="黑体" w:eastAsia="黑体"/>
          <w:sz w:val="32"/>
          <w:szCs w:val="32"/>
        </w:rPr>
      </w:pPr>
    </w:p>
    <w:p>
      <w:pPr>
        <w:spacing w:line="560" w:lineRule="exact"/>
        <w:ind w:right="-57" w:rightChars="-27"/>
        <w:rPr>
          <w:rFonts w:hint="eastAsia" w:ascii="黑体" w:eastAsia="黑体"/>
          <w:sz w:val="32"/>
          <w:szCs w:val="32"/>
        </w:rPr>
      </w:pPr>
    </w:p>
    <w:p>
      <w:pPr>
        <w:spacing w:line="560" w:lineRule="exact"/>
        <w:ind w:right="-57" w:rightChars="-27"/>
        <w:rPr>
          <w:rFonts w:hint="eastAsia" w:ascii="黑体" w:eastAsia="黑体"/>
          <w:sz w:val="32"/>
          <w:szCs w:val="32"/>
        </w:rPr>
      </w:pPr>
    </w:p>
    <w:p>
      <w:pPr>
        <w:spacing w:line="560" w:lineRule="exact"/>
        <w:ind w:right="-57" w:rightChars="-27"/>
        <w:rPr>
          <w:rFonts w:hint="eastAsia" w:ascii="黑体" w:eastAsia="黑体"/>
          <w:sz w:val="32"/>
          <w:szCs w:val="32"/>
        </w:rPr>
      </w:pPr>
    </w:p>
    <w:p>
      <w:pPr>
        <w:spacing w:line="560" w:lineRule="exact"/>
        <w:ind w:right="-57" w:rightChars="-27"/>
        <w:rPr>
          <w:rFonts w:hint="eastAsia" w:ascii="黑体" w:eastAsia="黑体"/>
          <w:sz w:val="32"/>
          <w:szCs w:val="32"/>
        </w:rPr>
      </w:pPr>
    </w:p>
    <w:p>
      <w:pPr>
        <w:spacing w:line="560" w:lineRule="exact"/>
        <w:ind w:right="-57" w:rightChars="-27"/>
        <w:rPr>
          <w:rFonts w:hint="eastAsia" w:ascii="黑体" w:eastAsia="黑体"/>
          <w:sz w:val="32"/>
          <w:szCs w:val="32"/>
        </w:rPr>
      </w:pPr>
    </w:p>
    <w:p>
      <w:pPr>
        <w:spacing w:line="560" w:lineRule="exact"/>
        <w:ind w:right="-57" w:rightChars="-27"/>
        <w:rPr>
          <w:rFonts w:hint="eastAsia" w:ascii="黑体" w:eastAsia="黑体"/>
          <w:sz w:val="32"/>
          <w:szCs w:val="32"/>
        </w:rPr>
      </w:pPr>
    </w:p>
    <w:p>
      <w:pPr>
        <w:spacing w:line="560" w:lineRule="exact"/>
        <w:ind w:right="-57" w:rightChars="-27"/>
        <w:rPr>
          <w:rFonts w:hint="eastAsia" w:ascii="黑体" w:eastAsia="黑体"/>
          <w:sz w:val="32"/>
          <w:szCs w:val="32"/>
        </w:rPr>
      </w:pPr>
    </w:p>
    <w:p>
      <w:pPr>
        <w:spacing w:line="560" w:lineRule="exact"/>
        <w:ind w:right="-57" w:rightChars="-27"/>
        <w:rPr>
          <w:rFonts w:hint="eastAsia" w:ascii="黑体" w:eastAsia="黑体"/>
          <w:sz w:val="32"/>
          <w:szCs w:val="32"/>
        </w:rPr>
      </w:pPr>
    </w:p>
    <w:p>
      <w:pPr>
        <w:spacing w:line="560" w:lineRule="exact"/>
        <w:ind w:right="-57" w:rightChars="-27"/>
        <w:rPr>
          <w:rFonts w:hint="eastAsia" w:ascii="黑体" w:eastAsia="黑体"/>
          <w:sz w:val="32"/>
          <w:szCs w:val="32"/>
        </w:rPr>
      </w:pPr>
    </w:p>
    <w:p>
      <w:pPr>
        <w:spacing w:line="560" w:lineRule="exact"/>
        <w:ind w:right="-57" w:rightChars="-27"/>
        <w:rPr>
          <w:rFonts w:hint="eastAsia" w:ascii="黑体" w:eastAsia="黑体"/>
          <w:sz w:val="32"/>
          <w:szCs w:val="32"/>
        </w:rPr>
      </w:pPr>
    </w:p>
    <w:p>
      <w:pPr>
        <w:spacing w:line="560" w:lineRule="exact"/>
        <w:ind w:right="-57" w:rightChars="-27"/>
        <w:rPr>
          <w:rFonts w:hint="eastAsia" w:ascii="黑体" w:eastAsia="黑体"/>
          <w:sz w:val="32"/>
          <w:szCs w:val="32"/>
        </w:rPr>
      </w:pPr>
    </w:p>
    <w:p>
      <w:pPr>
        <w:spacing w:line="560" w:lineRule="exact"/>
        <w:ind w:right="-57" w:rightChars="-27"/>
        <w:rPr>
          <w:rFonts w:hint="eastAsia" w:ascii="黑体" w:eastAsia="黑体"/>
          <w:sz w:val="32"/>
          <w:szCs w:val="32"/>
        </w:rPr>
      </w:pPr>
    </w:p>
    <w:p>
      <w:pPr>
        <w:spacing w:line="560" w:lineRule="exact"/>
        <w:ind w:right="-57" w:rightChars="-27"/>
        <w:rPr>
          <w:rFonts w:ascii="黑体" w:eastAsia="黑体"/>
          <w:sz w:val="32"/>
          <w:szCs w:val="32"/>
        </w:rPr>
      </w:pPr>
      <w:r>
        <w:rPr>
          <w:rFonts w:hint="eastAsia" w:ascii="黑体" w:eastAsia="黑体"/>
          <w:sz w:val="32"/>
          <w:szCs w:val="32"/>
        </w:rPr>
        <w:t>附件1</w:t>
      </w:r>
    </w:p>
    <w:p>
      <w:pPr>
        <w:spacing w:line="560" w:lineRule="exact"/>
        <w:ind w:right="-57" w:rightChars="-27"/>
        <w:rPr>
          <w:rFonts w:ascii="黑体" w:eastAsia="黑体"/>
          <w:szCs w:val="32"/>
        </w:rPr>
      </w:pPr>
    </w:p>
    <w:p>
      <w:pPr>
        <w:spacing w:line="64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天津港保税区、天津空港经济区</w:t>
      </w:r>
    </w:p>
    <w:p>
      <w:pPr>
        <w:spacing w:line="64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职工公寓考评标准</w:t>
      </w:r>
    </w:p>
    <w:p>
      <w:pPr>
        <w:spacing w:line="640" w:lineRule="exact"/>
        <w:jc w:val="center"/>
        <w:rPr>
          <w:rFonts w:ascii="仿宋_GB2312" w:hAnsi="华文中宋" w:eastAsia="仿宋_GB2312" w:cs="宋体"/>
          <w:kern w:val="0"/>
          <w:sz w:val="32"/>
          <w:szCs w:val="32"/>
        </w:rPr>
      </w:pPr>
      <w:r>
        <w:rPr>
          <w:rFonts w:hint="eastAsia" w:ascii="仿宋_GB2312" w:hAnsi="华文中宋" w:eastAsia="仿宋_GB2312" w:cs="宋体"/>
          <w:kern w:val="0"/>
          <w:sz w:val="32"/>
          <w:szCs w:val="32"/>
        </w:rPr>
        <w:t>（社发局考评项目）</w:t>
      </w:r>
    </w:p>
    <w:p>
      <w:pPr>
        <w:spacing w:line="560" w:lineRule="exact"/>
        <w:rPr>
          <w:rFonts w:ascii="仿宋_GB2312" w:hAnsi="仿宋_GB2312" w:eastAsia="仿宋_GB2312" w:cs="宋体"/>
          <w:b/>
          <w:kern w:val="0"/>
          <w:sz w:val="32"/>
          <w:szCs w:val="32"/>
        </w:rPr>
      </w:pPr>
    </w:p>
    <w:p>
      <w:pPr>
        <w:spacing w:line="54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一、</w:t>
      </w:r>
      <w:r>
        <w:rPr>
          <w:rFonts w:hint="eastAsia" w:ascii="黑体" w:hAnsi="黑体" w:eastAsia="黑体" w:cs="宋体"/>
          <w:b/>
          <w:bCs/>
          <w:kern w:val="0"/>
          <w:sz w:val="32"/>
          <w:szCs w:val="32"/>
        </w:rPr>
        <w:t>公共卫生安全管理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（一）有健全的公共卫生管理组织机构；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（二）有明确的公共卫生安全管理责任人；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（三）有健全的符合《传染病防治法》等法律法规规范要求的公共卫生安全管理制度；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（四）落实传染病防治、健康教育、饮用水安全管理责任，确定责任追究制；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（五）制定突发公共卫生事件应急预案，对传染病爆发及其他群体性突发公共卫生事件报告渠道通畅、及时，并及时有效的协调我局做好相应处理，确保群众安全。</w:t>
      </w:r>
    </w:p>
    <w:p>
      <w:pPr>
        <w:spacing w:line="54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二、传染病防治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（一）预防为主，设专人定期检查管理集体宿舍，住宿场所应做好环境卫生，保证整洁有序，并定期开窗通风，每天至少开窗2次，每次不少于30分钟；</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（二）完善传染病暴发应急隔离预案，一旦出现传染病暴发的情况，及时向上级主管部门报告，并协助做好密切接触者的应急隔离处理工作；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（三）配合做好传染病防控知识宣传工作，提高员工对传染病防控知识的知晓率。</w:t>
      </w:r>
    </w:p>
    <w:p>
      <w:pPr>
        <w:spacing w:line="56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 xml:space="preserve">三、健康教育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（一）充分认识健康教育的重要性，配合社区医疗机构每月至少开展2-3次健康宣传及知识讲座活动；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（二）做好健康展板及健康贴吧的宣传及维护工作，每季度配合更换健康展板，每周收集健康贴吧的员工意见向卫生行政部门汇总报告，并配合公示回复建议；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（三）协助卫生行政部门开展公寓健康教育与健康干预工作，承担健康教育活动的组织、提供及维护现场责任。</w:t>
      </w:r>
    </w:p>
    <w:p>
      <w:pPr>
        <w:spacing w:line="56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四、饮用水安全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（一）严格执行生活饮用水相关法律法规的要求，配合做好饮用水卫生管理工作；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（二）做好生活饮用水管道、水龙头、热水器等设施设备的管理，定期维护，及时清洗消毒，避免交叉污染；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（三）配合开展饮用水卫生安全宣传，保证饮水烧熟煮沸，确保饮水卫生安全。</w:t>
      </w:r>
    </w:p>
    <w:p>
      <w:pPr>
        <w:spacing w:line="56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五、爱国卫生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（一）依据相关法律法规要求开展环境卫生消毒及四害消杀工作，确保病媒生物密度控制在国家标准范围之内；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（二）及时做好垃圾清运管理，开展环境卫生清理整治工作，提升环境卫生水平。</w:t>
      </w:r>
    </w:p>
    <w:p>
      <w:pPr>
        <w:spacing w:line="56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六、计划生育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（一）及时准确掌握流动人口变化情况，做好流动人口信息统计工作，编制上报各类计生统计报表；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（二）配合做好计划生育宣传教育日、纪念日等大型集中宣传咨询服务活动，开展育龄人口的优生优育、避孕节育知识咨询及宣传；</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（三）配合做好计划生育药具发放工作，为流动人员提供安全可靠、免费的避孕药具。</w:t>
      </w:r>
    </w:p>
    <w:p>
      <w:pPr>
        <w:spacing w:line="54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七、公寓文化建设</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（一）公寓产权单位应提供必要的职工文化活动场所及配套设施，并保证正常使用；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（二）建立健全公寓文化活动开展的各项保障制度，积极开展丰富多彩的文化活动；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（三）开展在住职工公益性宣传、教育、培训工作，营造积极向上的公寓文化氛围；</w:t>
      </w:r>
    </w:p>
    <w:p>
      <w:pPr>
        <w:spacing w:line="540" w:lineRule="exact"/>
        <w:ind w:firstLine="640" w:firstLineChars="200"/>
        <w:rPr>
          <w:rFonts w:ascii="仿宋_GB2312" w:hAnsi="仿宋_GB2312" w:eastAsia="仿宋_GB2312" w:cs="宋体"/>
          <w:kern w:val="0"/>
          <w:szCs w:val="32"/>
        </w:rPr>
      </w:pPr>
      <w:r>
        <w:rPr>
          <w:rFonts w:hint="eastAsia" w:ascii="仿宋_GB2312" w:eastAsia="仿宋_GB2312"/>
          <w:sz w:val="32"/>
          <w:szCs w:val="32"/>
        </w:rPr>
        <w:t>（四）合理使用文化建设资金，建立资金台账，资金使用手续齐全。</w:t>
      </w:r>
    </w:p>
    <w:p>
      <w:pPr>
        <w:spacing w:line="560" w:lineRule="exact"/>
        <w:ind w:firstLine="420" w:firstLineChars="200"/>
        <w:rPr>
          <w:rFonts w:ascii="仿宋_GB2312" w:hAnsi="仿宋_GB2312" w:cs="宋体"/>
          <w:kern w:val="0"/>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28" w:left="1588" w:header="851" w:footer="992" w:gutter="0"/>
          <w:pgNumType w:start="1"/>
          <w:cols w:space="720" w:num="1"/>
          <w:titlePg/>
          <w:docGrid w:type="lines" w:linePitch="574" w:charSpace="0"/>
        </w:sect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天津港保税区、天津空港经济区职工公寓考评标准</w:t>
      </w:r>
    </w:p>
    <w:p>
      <w:pPr>
        <w:spacing w:line="560" w:lineRule="exact"/>
        <w:jc w:val="center"/>
        <w:rPr>
          <w:rFonts w:ascii="仿宋_GB2312" w:eastAsia="仿宋_GB2312"/>
          <w:sz w:val="32"/>
          <w:szCs w:val="32"/>
        </w:rPr>
      </w:pPr>
      <w:r>
        <w:rPr>
          <w:rFonts w:hint="eastAsia" w:ascii="仿宋_GB2312" w:eastAsia="仿宋_GB2312"/>
          <w:sz w:val="32"/>
          <w:szCs w:val="32"/>
        </w:rPr>
        <w:t>（社发局考评项目）</w:t>
      </w:r>
    </w:p>
    <w:tbl>
      <w:tblPr>
        <w:tblStyle w:val="18"/>
        <w:tblW w:w="0" w:type="auto"/>
        <w:tblInd w:w="-1156" w:type="dxa"/>
        <w:tblLayout w:type="fixed"/>
        <w:tblCellMar>
          <w:top w:w="0" w:type="dxa"/>
          <w:left w:w="108" w:type="dxa"/>
          <w:bottom w:w="0" w:type="dxa"/>
          <w:right w:w="108" w:type="dxa"/>
        </w:tblCellMar>
      </w:tblPr>
      <w:tblGrid>
        <w:gridCol w:w="632"/>
        <w:gridCol w:w="1738"/>
        <w:gridCol w:w="4848"/>
        <w:gridCol w:w="1472"/>
        <w:gridCol w:w="1264"/>
        <w:gridCol w:w="1738"/>
        <w:gridCol w:w="1738"/>
        <w:gridCol w:w="2054"/>
      </w:tblGrid>
      <w:tr>
        <w:tblPrEx>
          <w:tblCellMar>
            <w:top w:w="0" w:type="dxa"/>
            <w:left w:w="108" w:type="dxa"/>
            <w:bottom w:w="0" w:type="dxa"/>
            <w:right w:w="108" w:type="dxa"/>
          </w:tblCellMar>
        </w:tblPrEx>
        <w:trPr>
          <w:trHeight w:val="799" w:hRule="atLeast"/>
        </w:trPr>
        <w:tc>
          <w:tcPr>
            <w:tcW w:w="63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黑体" w:hAnsi="宋体" w:eastAsia="黑体" w:cs="宋体"/>
                <w:kern w:val="0"/>
                <w:sz w:val="28"/>
                <w:szCs w:val="28"/>
              </w:rPr>
            </w:pPr>
            <w:r>
              <w:rPr>
                <w:rFonts w:hint="eastAsia" w:ascii="黑体" w:hAnsi="宋体" w:eastAsia="黑体" w:cs="宋体"/>
                <w:kern w:val="0"/>
                <w:sz w:val="28"/>
                <w:szCs w:val="28"/>
              </w:rPr>
              <w:t xml:space="preserve">序号 </w:t>
            </w:r>
          </w:p>
        </w:tc>
        <w:tc>
          <w:tcPr>
            <w:tcW w:w="1738" w:type="dxa"/>
            <w:tcBorders>
              <w:top w:val="single" w:color="auto" w:sz="4" w:space="0"/>
              <w:left w:val="nil"/>
              <w:bottom w:val="single" w:color="auto" w:sz="4" w:space="0"/>
              <w:right w:val="single" w:color="auto" w:sz="4" w:space="0"/>
            </w:tcBorders>
            <w:noWrap/>
            <w:vAlign w:val="center"/>
          </w:tcPr>
          <w:p>
            <w:pPr>
              <w:spacing w:line="360" w:lineRule="exact"/>
              <w:jc w:val="center"/>
              <w:rPr>
                <w:rFonts w:ascii="黑体" w:hAnsi="宋体" w:eastAsia="黑体" w:cs="宋体"/>
                <w:kern w:val="0"/>
                <w:sz w:val="28"/>
                <w:szCs w:val="28"/>
              </w:rPr>
            </w:pPr>
            <w:r>
              <w:rPr>
                <w:rFonts w:hint="eastAsia" w:ascii="黑体" w:hAnsi="宋体" w:eastAsia="黑体" w:cs="宋体"/>
                <w:kern w:val="0"/>
                <w:sz w:val="28"/>
                <w:szCs w:val="28"/>
              </w:rPr>
              <w:t>考核标准</w:t>
            </w:r>
          </w:p>
        </w:tc>
        <w:tc>
          <w:tcPr>
            <w:tcW w:w="4848" w:type="dxa"/>
            <w:tcBorders>
              <w:top w:val="single" w:color="auto" w:sz="4" w:space="0"/>
              <w:left w:val="nil"/>
              <w:bottom w:val="single" w:color="auto" w:sz="4" w:space="0"/>
              <w:right w:val="single" w:color="auto" w:sz="4" w:space="0"/>
            </w:tcBorders>
            <w:noWrap/>
            <w:vAlign w:val="center"/>
          </w:tcPr>
          <w:p>
            <w:pPr>
              <w:spacing w:line="360" w:lineRule="exact"/>
              <w:jc w:val="center"/>
              <w:rPr>
                <w:rFonts w:ascii="黑体" w:hAnsi="宋体" w:eastAsia="黑体" w:cs="宋体"/>
                <w:kern w:val="0"/>
                <w:sz w:val="28"/>
                <w:szCs w:val="28"/>
              </w:rPr>
            </w:pPr>
            <w:r>
              <w:rPr>
                <w:rFonts w:hint="eastAsia" w:ascii="黑体" w:hAnsi="宋体" w:eastAsia="黑体" w:cs="宋体"/>
                <w:kern w:val="0"/>
                <w:sz w:val="28"/>
                <w:szCs w:val="28"/>
              </w:rPr>
              <w:t>考核要求</w:t>
            </w:r>
          </w:p>
        </w:tc>
        <w:tc>
          <w:tcPr>
            <w:tcW w:w="147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黑体" w:hAnsi="宋体" w:eastAsia="黑体" w:cs="宋体"/>
                <w:kern w:val="0"/>
                <w:sz w:val="28"/>
                <w:szCs w:val="28"/>
              </w:rPr>
            </w:pPr>
            <w:r>
              <w:rPr>
                <w:rFonts w:hint="eastAsia" w:ascii="黑体" w:hAnsi="宋体" w:eastAsia="黑体" w:cs="宋体"/>
                <w:kern w:val="0"/>
                <w:sz w:val="28"/>
                <w:szCs w:val="28"/>
              </w:rPr>
              <w:t>公寓</w:t>
            </w:r>
          </w:p>
          <w:p>
            <w:pPr>
              <w:spacing w:line="360" w:lineRule="exact"/>
              <w:jc w:val="center"/>
              <w:rPr>
                <w:rFonts w:ascii="黑体" w:hAnsi="宋体" w:eastAsia="黑体" w:cs="宋体"/>
                <w:kern w:val="0"/>
                <w:sz w:val="28"/>
                <w:szCs w:val="28"/>
              </w:rPr>
            </w:pPr>
            <w:r>
              <w:rPr>
                <w:rFonts w:hint="eastAsia" w:ascii="黑体" w:hAnsi="宋体" w:eastAsia="黑体" w:cs="宋体"/>
                <w:kern w:val="0"/>
                <w:sz w:val="28"/>
                <w:szCs w:val="28"/>
              </w:rPr>
              <w:t>产权方</w:t>
            </w:r>
            <w:r>
              <w:rPr>
                <w:rFonts w:hint="eastAsia" w:ascii="黑体" w:hAnsi="宋体" w:eastAsia="黑体" w:cs="宋体"/>
                <w:kern w:val="0"/>
                <w:sz w:val="28"/>
                <w:szCs w:val="28"/>
              </w:rPr>
              <w:br w:type="textWrapping"/>
            </w:r>
            <w:r>
              <w:rPr>
                <w:rFonts w:hint="eastAsia" w:ascii="黑体" w:hAnsi="宋体" w:eastAsia="黑体" w:cs="宋体"/>
                <w:kern w:val="0"/>
                <w:sz w:val="28"/>
                <w:szCs w:val="28"/>
              </w:rPr>
              <w:t>（100分）</w:t>
            </w:r>
          </w:p>
        </w:tc>
        <w:tc>
          <w:tcPr>
            <w:tcW w:w="1264" w:type="dxa"/>
            <w:tcBorders>
              <w:top w:val="single" w:color="auto" w:sz="4" w:space="0"/>
              <w:left w:val="nil"/>
              <w:bottom w:val="single" w:color="auto" w:sz="4" w:space="0"/>
              <w:right w:val="single" w:color="auto" w:sz="4" w:space="0"/>
            </w:tcBorders>
            <w:noWrap/>
            <w:vAlign w:val="center"/>
          </w:tcPr>
          <w:p>
            <w:pPr>
              <w:spacing w:line="360" w:lineRule="exact"/>
              <w:jc w:val="center"/>
              <w:rPr>
                <w:rFonts w:ascii="黑体" w:hAnsi="宋体" w:eastAsia="黑体" w:cs="宋体"/>
                <w:kern w:val="0"/>
                <w:sz w:val="28"/>
                <w:szCs w:val="28"/>
              </w:rPr>
            </w:pPr>
            <w:r>
              <w:rPr>
                <w:rFonts w:hint="eastAsia" w:ascii="黑体" w:hAnsi="宋体" w:eastAsia="黑体" w:cs="宋体"/>
                <w:kern w:val="0"/>
                <w:sz w:val="28"/>
                <w:szCs w:val="28"/>
              </w:rPr>
              <w:t>评分</w:t>
            </w:r>
          </w:p>
        </w:tc>
        <w:tc>
          <w:tcPr>
            <w:tcW w:w="173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黑体" w:hAnsi="宋体" w:eastAsia="黑体" w:cs="宋体"/>
                <w:kern w:val="0"/>
                <w:sz w:val="28"/>
                <w:szCs w:val="28"/>
              </w:rPr>
            </w:pPr>
            <w:r>
              <w:rPr>
                <w:rFonts w:hint="eastAsia" w:ascii="黑体" w:hAnsi="宋体" w:eastAsia="黑体" w:cs="宋体"/>
                <w:kern w:val="0"/>
                <w:sz w:val="28"/>
                <w:szCs w:val="28"/>
              </w:rPr>
              <w:t>物业服务</w:t>
            </w:r>
          </w:p>
          <w:p>
            <w:pPr>
              <w:spacing w:line="360" w:lineRule="exact"/>
              <w:jc w:val="center"/>
              <w:rPr>
                <w:rFonts w:ascii="黑体" w:hAnsi="宋体" w:eastAsia="黑体" w:cs="宋体"/>
                <w:kern w:val="0"/>
                <w:sz w:val="28"/>
                <w:szCs w:val="28"/>
              </w:rPr>
            </w:pPr>
            <w:r>
              <w:rPr>
                <w:rFonts w:hint="eastAsia" w:ascii="黑体" w:hAnsi="宋体" w:eastAsia="黑体" w:cs="宋体"/>
                <w:kern w:val="0"/>
                <w:sz w:val="28"/>
                <w:szCs w:val="28"/>
              </w:rPr>
              <w:t>企业</w:t>
            </w:r>
          </w:p>
          <w:p>
            <w:pPr>
              <w:spacing w:line="360" w:lineRule="exact"/>
              <w:jc w:val="center"/>
              <w:rPr>
                <w:rFonts w:ascii="黑体" w:hAnsi="宋体" w:eastAsia="黑体" w:cs="宋体"/>
                <w:kern w:val="0"/>
                <w:sz w:val="28"/>
                <w:szCs w:val="28"/>
              </w:rPr>
            </w:pPr>
            <w:r>
              <w:rPr>
                <w:rFonts w:hint="eastAsia" w:ascii="黑体" w:hAnsi="宋体" w:eastAsia="黑体" w:cs="宋体"/>
                <w:kern w:val="0"/>
                <w:sz w:val="28"/>
                <w:szCs w:val="28"/>
              </w:rPr>
              <w:t>（100分）</w:t>
            </w:r>
          </w:p>
        </w:tc>
        <w:tc>
          <w:tcPr>
            <w:tcW w:w="1738" w:type="dxa"/>
            <w:tcBorders>
              <w:top w:val="single" w:color="auto" w:sz="4" w:space="0"/>
              <w:left w:val="nil"/>
              <w:bottom w:val="single" w:color="auto" w:sz="4" w:space="0"/>
              <w:right w:val="single" w:color="auto" w:sz="4" w:space="0"/>
            </w:tcBorders>
            <w:noWrap/>
            <w:vAlign w:val="center"/>
          </w:tcPr>
          <w:p>
            <w:pPr>
              <w:spacing w:line="360" w:lineRule="exact"/>
              <w:jc w:val="center"/>
              <w:rPr>
                <w:rFonts w:ascii="黑体" w:hAnsi="宋体" w:eastAsia="黑体" w:cs="宋体"/>
                <w:kern w:val="0"/>
                <w:sz w:val="28"/>
                <w:szCs w:val="28"/>
              </w:rPr>
            </w:pPr>
            <w:r>
              <w:rPr>
                <w:rFonts w:hint="eastAsia" w:ascii="黑体" w:hAnsi="宋体" w:eastAsia="黑体" w:cs="宋体"/>
                <w:kern w:val="0"/>
                <w:sz w:val="28"/>
                <w:szCs w:val="28"/>
              </w:rPr>
              <w:t>评分</w:t>
            </w:r>
          </w:p>
        </w:tc>
        <w:tc>
          <w:tcPr>
            <w:tcW w:w="2054" w:type="dxa"/>
            <w:tcBorders>
              <w:top w:val="single" w:color="auto" w:sz="4" w:space="0"/>
              <w:left w:val="nil"/>
              <w:bottom w:val="single" w:color="auto" w:sz="4" w:space="0"/>
              <w:right w:val="single" w:color="auto" w:sz="4" w:space="0"/>
            </w:tcBorders>
            <w:noWrap/>
            <w:vAlign w:val="center"/>
          </w:tcPr>
          <w:p>
            <w:pPr>
              <w:spacing w:line="360" w:lineRule="exact"/>
              <w:jc w:val="center"/>
              <w:rPr>
                <w:rFonts w:ascii="黑体" w:hAnsi="宋体" w:eastAsia="黑体" w:cs="宋体"/>
                <w:kern w:val="0"/>
                <w:sz w:val="28"/>
                <w:szCs w:val="28"/>
              </w:rPr>
            </w:pPr>
            <w:r>
              <w:rPr>
                <w:rFonts w:hint="eastAsia" w:ascii="黑体" w:hAnsi="宋体" w:eastAsia="黑体" w:cs="宋体"/>
                <w:kern w:val="0"/>
                <w:sz w:val="28"/>
                <w:szCs w:val="28"/>
              </w:rPr>
              <w:t>考评建议</w:t>
            </w:r>
          </w:p>
        </w:tc>
      </w:tr>
      <w:tr>
        <w:tblPrEx>
          <w:tblCellMar>
            <w:top w:w="0" w:type="dxa"/>
            <w:left w:w="108" w:type="dxa"/>
            <w:bottom w:w="0" w:type="dxa"/>
            <w:right w:w="108" w:type="dxa"/>
          </w:tblCellMar>
        </w:tblPrEx>
        <w:trPr>
          <w:trHeight w:val="808" w:hRule="atLeast"/>
        </w:trPr>
        <w:tc>
          <w:tcPr>
            <w:tcW w:w="632" w:type="dxa"/>
            <w:tcBorders>
              <w:top w:val="nil"/>
              <w:left w:val="single" w:color="auto" w:sz="4" w:space="0"/>
              <w:bottom w:val="single" w:color="auto" w:sz="4" w:space="0"/>
              <w:right w:val="single" w:color="auto" w:sz="4" w:space="0"/>
            </w:tcBorders>
            <w:noWrap/>
            <w:vAlign w:val="center"/>
          </w:tcPr>
          <w:p>
            <w:pPr>
              <w:spacing w:line="360" w:lineRule="exact"/>
              <w:jc w:val="center"/>
              <w:rPr>
                <w:rFonts w:ascii="仿宋_GB2312" w:hAnsi="宋体" w:cs="宋体"/>
                <w:kern w:val="0"/>
                <w:sz w:val="28"/>
                <w:szCs w:val="28"/>
              </w:rPr>
            </w:pPr>
            <w:r>
              <w:rPr>
                <w:rFonts w:hint="eastAsia" w:ascii="仿宋_GB2312" w:hAnsi="宋体" w:cs="宋体"/>
                <w:kern w:val="0"/>
                <w:sz w:val="28"/>
                <w:szCs w:val="28"/>
              </w:rPr>
              <w:t>1</w:t>
            </w:r>
          </w:p>
        </w:tc>
        <w:tc>
          <w:tcPr>
            <w:tcW w:w="1738"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公共卫生</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安全管理</w:t>
            </w:r>
          </w:p>
        </w:tc>
        <w:tc>
          <w:tcPr>
            <w:tcW w:w="4848" w:type="dxa"/>
            <w:tcBorders>
              <w:top w:val="nil"/>
              <w:left w:val="nil"/>
              <w:bottom w:val="single" w:color="auto" w:sz="4" w:space="0"/>
              <w:right w:val="single" w:color="auto" w:sz="4" w:space="0"/>
            </w:tcBorders>
            <w:noWrap w:val="0"/>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遵照相关法律法规，建立健全管理机制，配合相关部门贯彻卫生安全要求。</w:t>
            </w:r>
          </w:p>
        </w:tc>
        <w:tc>
          <w:tcPr>
            <w:tcW w:w="1472" w:type="dxa"/>
            <w:tcBorders>
              <w:top w:val="nil"/>
              <w:left w:val="nil"/>
              <w:bottom w:val="single" w:color="auto" w:sz="4" w:space="0"/>
              <w:right w:val="single" w:color="auto" w:sz="4" w:space="0"/>
            </w:tcBorders>
            <w:noWrap/>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1264" w:type="dxa"/>
            <w:tcBorders>
              <w:top w:val="nil"/>
              <w:left w:val="nil"/>
              <w:bottom w:val="single" w:color="auto" w:sz="4" w:space="0"/>
              <w:right w:val="single" w:color="auto" w:sz="4" w:space="0"/>
            </w:tcBorders>
            <w:noWrap/>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38" w:type="dxa"/>
            <w:tcBorders>
              <w:top w:val="nil"/>
              <w:left w:val="nil"/>
              <w:bottom w:val="single" w:color="auto" w:sz="4" w:space="0"/>
              <w:right w:val="single" w:color="auto" w:sz="4" w:space="0"/>
            </w:tcBorders>
            <w:noWrap/>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1738" w:type="dxa"/>
            <w:tcBorders>
              <w:top w:val="nil"/>
              <w:left w:val="nil"/>
              <w:bottom w:val="single" w:color="auto" w:sz="4" w:space="0"/>
              <w:right w:val="single" w:color="auto" w:sz="4" w:space="0"/>
            </w:tcBorders>
            <w:noWrap/>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054" w:type="dxa"/>
            <w:tcBorders>
              <w:top w:val="nil"/>
              <w:left w:val="nil"/>
              <w:bottom w:val="single" w:color="auto" w:sz="4" w:space="0"/>
              <w:right w:val="single" w:color="auto" w:sz="4" w:space="0"/>
            </w:tcBorders>
            <w:noWrap/>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706" w:hRule="atLeast"/>
        </w:trPr>
        <w:tc>
          <w:tcPr>
            <w:tcW w:w="632" w:type="dxa"/>
            <w:tcBorders>
              <w:top w:val="nil"/>
              <w:left w:val="single" w:color="auto" w:sz="4" w:space="0"/>
              <w:bottom w:val="single" w:color="auto" w:sz="4" w:space="0"/>
              <w:right w:val="single" w:color="auto" w:sz="4" w:space="0"/>
            </w:tcBorders>
            <w:noWrap/>
            <w:vAlign w:val="center"/>
          </w:tcPr>
          <w:p>
            <w:pPr>
              <w:spacing w:line="360" w:lineRule="exact"/>
              <w:jc w:val="center"/>
              <w:rPr>
                <w:rFonts w:ascii="仿宋_GB2312" w:hAnsi="宋体" w:cs="宋体"/>
                <w:kern w:val="0"/>
                <w:sz w:val="28"/>
                <w:szCs w:val="28"/>
              </w:rPr>
            </w:pPr>
            <w:r>
              <w:rPr>
                <w:rFonts w:hint="eastAsia" w:ascii="仿宋_GB2312" w:hAnsi="宋体" w:cs="宋体"/>
                <w:kern w:val="0"/>
                <w:sz w:val="28"/>
                <w:szCs w:val="28"/>
              </w:rPr>
              <w:t>2</w:t>
            </w:r>
          </w:p>
        </w:tc>
        <w:tc>
          <w:tcPr>
            <w:tcW w:w="1738"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传染病防治</w:t>
            </w:r>
          </w:p>
        </w:tc>
        <w:tc>
          <w:tcPr>
            <w:tcW w:w="4848" w:type="dxa"/>
            <w:tcBorders>
              <w:top w:val="nil"/>
              <w:left w:val="nil"/>
              <w:bottom w:val="single" w:color="auto" w:sz="4" w:space="0"/>
              <w:right w:val="single" w:color="auto" w:sz="4" w:space="0"/>
            </w:tcBorders>
            <w:noWrap w:val="0"/>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预防措施完备，防控体系完整。</w:t>
            </w:r>
          </w:p>
        </w:tc>
        <w:tc>
          <w:tcPr>
            <w:tcW w:w="1472"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1264"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38" w:type="dxa"/>
            <w:tcBorders>
              <w:top w:val="nil"/>
              <w:left w:val="nil"/>
              <w:bottom w:val="single" w:color="auto" w:sz="4" w:space="0"/>
              <w:right w:val="single" w:color="auto" w:sz="4" w:space="0"/>
            </w:tcBorders>
            <w:noWrap/>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1738" w:type="dxa"/>
            <w:tcBorders>
              <w:top w:val="nil"/>
              <w:left w:val="nil"/>
              <w:bottom w:val="single" w:color="auto" w:sz="4" w:space="0"/>
              <w:right w:val="single" w:color="auto" w:sz="4" w:space="0"/>
            </w:tcBorders>
            <w:noWrap/>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054" w:type="dxa"/>
            <w:tcBorders>
              <w:top w:val="nil"/>
              <w:left w:val="nil"/>
              <w:bottom w:val="single" w:color="auto" w:sz="4" w:space="0"/>
              <w:right w:val="single" w:color="auto" w:sz="4" w:space="0"/>
            </w:tcBorders>
            <w:noWrap/>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602" w:hRule="atLeast"/>
        </w:trPr>
        <w:tc>
          <w:tcPr>
            <w:tcW w:w="632" w:type="dxa"/>
            <w:tcBorders>
              <w:top w:val="nil"/>
              <w:left w:val="single" w:color="auto" w:sz="4" w:space="0"/>
              <w:bottom w:val="single" w:color="auto" w:sz="4" w:space="0"/>
              <w:right w:val="single" w:color="auto" w:sz="4" w:space="0"/>
            </w:tcBorders>
            <w:noWrap/>
            <w:vAlign w:val="center"/>
          </w:tcPr>
          <w:p>
            <w:pPr>
              <w:spacing w:line="360" w:lineRule="exact"/>
              <w:jc w:val="center"/>
              <w:rPr>
                <w:rFonts w:ascii="仿宋_GB2312" w:hAnsi="宋体" w:cs="宋体"/>
                <w:kern w:val="0"/>
                <w:sz w:val="28"/>
                <w:szCs w:val="28"/>
              </w:rPr>
            </w:pPr>
            <w:r>
              <w:rPr>
                <w:rFonts w:hint="eastAsia" w:ascii="仿宋_GB2312" w:hAnsi="宋体" w:cs="宋体"/>
                <w:kern w:val="0"/>
                <w:sz w:val="28"/>
                <w:szCs w:val="28"/>
              </w:rPr>
              <w:t>3</w:t>
            </w:r>
          </w:p>
        </w:tc>
        <w:tc>
          <w:tcPr>
            <w:tcW w:w="1738"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健康教育</w:t>
            </w:r>
          </w:p>
        </w:tc>
        <w:tc>
          <w:tcPr>
            <w:tcW w:w="4848" w:type="dxa"/>
            <w:tcBorders>
              <w:top w:val="nil"/>
              <w:left w:val="nil"/>
              <w:bottom w:val="single" w:color="auto" w:sz="4" w:space="0"/>
              <w:right w:val="single" w:color="auto" w:sz="4" w:space="0"/>
            </w:tcBorders>
            <w:noWrap w:val="0"/>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健康教育面广、宣传力度到位。</w:t>
            </w:r>
          </w:p>
        </w:tc>
        <w:tc>
          <w:tcPr>
            <w:tcW w:w="1472" w:type="dxa"/>
            <w:tcBorders>
              <w:top w:val="nil"/>
              <w:left w:val="nil"/>
              <w:bottom w:val="single" w:color="auto" w:sz="4" w:space="0"/>
              <w:right w:val="single" w:color="auto" w:sz="4" w:space="0"/>
            </w:tcBorders>
            <w:noWrap/>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1264" w:type="dxa"/>
            <w:tcBorders>
              <w:top w:val="nil"/>
              <w:left w:val="nil"/>
              <w:bottom w:val="single" w:color="auto" w:sz="4" w:space="0"/>
              <w:right w:val="single" w:color="auto" w:sz="4" w:space="0"/>
            </w:tcBorders>
            <w:noWrap/>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38" w:type="dxa"/>
            <w:tcBorders>
              <w:top w:val="nil"/>
              <w:left w:val="nil"/>
              <w:bottom w:val="single" w:color="auto" w:sz="4" w:space="0"/>
              <w:right w:val="single" w:color="auto" w:sz="4" w:space="0"/>
            </w:tcBorders>
            <w:noWrap/>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1738" w:type="dxa"/>
            <w:tcBorders>
              <w:top w:val="nil"/>
              <w:left w:val="nil"/>
              <w:bottom w:val="single" w:color="auto" w:sz="4" w:space="0"/>
              <w:right w:val="single" w:color="auto" w:sz="4" w:space="0"/>
            </w:tcBorders>
            <w:noWrap/>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054" w:type="dxa"/>
            <w:tcBorders>
              <w:top w:val="nil"/>
              <w:left w:val="nil"/>
              <w:bottom w:val="single" w:color="auto" w:sz="4" w:space="0"/>
              <w:right w:val="single" w:color="auto" w:sz="4" w:space="0"/>
            </w:tcBorders>
            <w:noWrap/>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700" w:hRule="atLeast"/>
        </w:trPr>
        <w:tc>
          <w:tcPr>
            <w:tcW w:w="632" w:type="dxa"/>
            <w:tcBorders>
              <w:top w:val="nil"/>
              <w:left w:val="single" w:color="auto" w:sz="4" w:space="0"/>
              <w:bottom w:val="single" w:color="auto" w:sz="4" w:space="0"/>
              <w:right w:val="single" w:color="auto" w:sz="4" w:space="0"/>
            </w:tcBorders>
            <w:noWrap/>
            <w:vAlign w:val="center"/>
          </w:tcPr>
          <w:p>
            <w:pPr>
              <w:spacing w:line="360" w:lineRule="exact"/>
              <w:jc w:val="center"/>
              <w:rPr>
                <w:rFonts w:ascii="仿宋_GB2312" w:hAnsi="宋体" w:cs="宋体"/>
                <w:kern w:val="0"/>
                <w:sz w:val="28"/>
                <w:szCs w:val="28"/>
              </w:rPr>
            </w:pPr>
            <w:r>
              <w:rPr>
                <w:rFonts w:hint="eastAsia" w:ascii="仿宋_GB2312" w:hAnsi="宋体" w:cs="宋体"/>
                <w:kern w:val="0"/>
                <w:sz w:val="28"/>
                <w:szCs w:val="28"/>
              </w:rPr>
              <w:t>4</w:t>
            </w:r>
          </w:p>
        </w:tc>
        <w:tc>
          <w:tcPr>
            <w:tcW w:w="1738"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饮用水安全</w:t>
            </w:r>
          </w:p>
        </w:tc>
        <w:tc>
          <w:tcPr>
            <w:tcW w:w="4848" w:type="dxa"/>
            <w:tcBorders>
              <w:top w:val="nil"/>
              <w:left w:val="nil"/>
              <w:bottom w:val="single" w:color="auto" w:sz="4" w:space="0"/>
              <w:right w:val="single" w:color="auto" w:sz="4" w:space="0"/>
            </w:tcBorders>
            <w:noWrap w:val="0"/>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根据相关法律法规，做好饮用水秩序及设备的管理工作。</w:t>
            </w:r>
          </w:p>
        </w:tc>
        <w:tc>
          <w:tcPr>
            <w:tcW w:w="1472"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264"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38" w:type="dxa"/>
            <w:tcBorders>
              <w:top w:val="nil"/>
              <w:left w:val="nil"/>
              <w:bottom w:val="single" w:color="auto" w:sz="4" w:space="0"/>
              <w:right w:val="single" w:color="auto" w:sz="4" w:space="0"/>
            </w:tcBorders>
            <w:noWrap/>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738" w:type="dxa"/>
            <w:tcBorders>
              <w:top w:val="nil"/>
              <w:left w:val="nil"/>
              <w:bottom w:val="single" w:color="auto" w:sz="4" w:space="0"/>
              <w:right w:val="single" w:color="auto" w:sz="4" w:space="0"/>
            </w:tcBorders>
            <w:noWrap/>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054" w:type="dxa"/>
            <w:tcBorders>
              <w:top w:val="nil"/>
              <w:left w:val="nil"/>
              <w:bottom w:val="single" w:color="auto" w:sz="4" w:space="0"/>
              <w:right w:val="single" w:color="auto" w:sz="4" w:space="0"/>
            </w:tcBorders>
            <w:noWrap/>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710" w:hRule="atLeast"/>
        </w:trPr>
        <w:tc>
          <w:tcPr>
            <w:tcW w:w="632" w:type="dxa"/>
            <w:tcBorders>
              <w:top w:val="nil"/>
              <w:left w:val="single" w:color="auto" w:sz="4" w:space="0"/>
              <w:bottom w:val="single" w:color="auto" w:sz="4" w:space="0"/>
              <w:right w:val="single" w:color="auto" w:sz="4" w:space="0"/>
            </w:tcBorders>
            <w:noWrap/>
            <w:vAlign w:val="center"/>
          </w:tcPr>
          <w:p>
            <w:pPr>
              <w:spacing w:line="360" w:lineRule="exact"/>
              <w:jc w:val="center"/>
              <w:rPr>
                <w:rFonts w:ascii="仿宋_GB2312" w:hAnsi="宋体" w:cs="宋体"/>
                <w:b/>
                <w:kern w:val="0"/>
                <w:sz w:val="28"/>
                <w:szCs w:val="28"/>
              </w:rPr>
            </w:pPr>
            <w:r>
              <w:rPr>
                <w:rFonts w:hint="eastAsia" w:ascii="仿宋_GB2312" w:hAnsi="宋体" w:cs="宋体"/>
                <w:b/>
                <w:kern w:val="0"/>
                <w:sz w:val="28"/>
                <w:szCs w:val="28"/>
              </w:rPr>
              <w:t>5</w:t>
            </w:r>
          </w:p>
        </w:tc>
        <w:tc>
          <w:tcPr>
            <w:tcW w:w="1738"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爱国卫生</w:t>
            </w:r>
          </w:p>
        </w:tc>
        <w:tc>
          <w:tcPr>
            <w:tcW w:w="4848" w:type="dxa"/>
            <w:tcBorders>
              <w:top w:val="nil"/>
              <w:left w:val="nil"/>
              <w:bottom w:val="single" w:color="auto" w:sz="4" w:space="0"/>
              <w:right w:val="single" w:color="auto" w:sz="4" w:space="0"/>
            </w:tcBorders>
            <w:noWrap w:val="0"/>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依据相关法律法规要求开展环境卫生消毒、四害消杀、垃圾清运等工作。</w:t>
            </w:r>
          </w:p>
        </w:tc>
        <w:tc>
          <w:tcPr>
            <w:tcW w:w="1472"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1264"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p>
        </w:tc>
        <w:tc>
          <w:tcPr>
            <w:tcW w:w="1738" w:type="dxa"/>
            <w:tcBorders>
              <w:top w:val="nil"/>
              <w:left w:val="nil"/>
              <w:bottom w:val="single" w:color="auto" w:sz="4" w:space="0"/>
              <w:right w:val="single" w:color="auto" w:sz="4" w:space="0"/>
            </w:tcBorders>
            <w:noWrap/>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1738" w:type="dxa"/>
            <w:tcBorders>
              <w:top w:val="nil"/>
              <w:left w:val="nil"/>
              <w:bottom w:val="single" w:color="auto" w:sz="4" w:space="0"/>
              <w:right w:val="single" w:color="auto" w:sz="4" w:space="0"/>
            </w:tcBorders>
            <w:noWrap/>
            <w:vAlign w:val="center"/>
          </w:tcPr>
          <w:p>
            <w:pPr>
              <w:spacing w:line="360" w:lineRule="exact"/>
              <w:jc w:val="left"/>
              <w:rPr>
                <w:rFonts w:ascii="仿宋_GB2312" w:hAnsi="宋体" w:eastAsia="仿宋_GB2312" w:cs="宋体"/>
                <w:kern w:val="0"/>
                <w:sz w:val="24"/>
              </w:rPr>
            </w:pPr>
          </w:p>
        </w:tc>
        <w:tc>
          <w:tcPr>
            <w:tcW w:w="2054" w:type="dxa"/>
            <w:tcBorders>
              <w:top w:val="nil"/>
              <w:left w:val="nil"/>
              <w:bottom w:val="single" w:color="auto" w:sz="4" w:space="0"/>
              <w:right w:val="single" w:color="auto" w:sz="4" w:space="0"/>
            </w:tcBorders>
            <w:noWrap/>
            <w:vAlign w:val="center"/>
          </w:tcPr>
          <w:p>
            <w:pPr>
              <w:spacing w:line="360" w:lineRule="exact"/>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736" w:hRule="atLeast"/>
        </w:trPr>
        <w:tc>
          <w:tcPr>
            <w:tcW w:w="632" w:type="dxa"/>
            <w:tcBorders>
              <w:top w:val="nil"/>
              <w:left w:val="single" w:color="auto" w:sz="4" w:space="0"/>
              <w:bottom w:val="single" w:color="auto" w:sz="4" w:space="0"/>
              <w:right w:val="single" w:color="auto" w:sz="4" w:space="0"/>
            </w:tcBorders>
            <w:noWrap/>
            <w:vAlign w:val="center"/>
          </w:tcPr>
          <w:p>
            <w:pPr>
              <w:spacing w:line="360" w:lineRule="exact"/>
              <w:jc w:val="center"/>
              <w:rPr>
                <w:rFonts w:ascii="仿宋_GB2312" w:hAnsi="宋体" w:cs="宋体"/>
                <w:b/>
                <w:kern w:val="0"/>
                <w:sz w:val="28"/>
                <w:szCs w:val="28"/>
              </w:rPr>
            </w:pPr>
            <w:r>
              <w:rPr>
                <w:rFonts w:hint="eastAsia" w:ascii="仿宋_GB2312" w:hAnsi="宋体" w:cs="宋体"/>
                <w:b/>
                <w:kern w:val="0"/>
                <w:sz w:val="28"/>
                <w:szCs w:val="28"/>
              </w:rPr>
              <w:t>6</w:t>
            </w:r>
          </w:p>
        </w:tc>
        <w:tc>
          <w:tcPr>
            <w:tcW w:w="1738"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计划生育</w:t>
            </w:r>
          </w:p>
        </w:tc>
        <w:tc>
          <w:tcPr>
            <w:tcW w:w="4848" w:type="dxa"/>
            <w:tcBorders>
              <w:top w:val="nil"/>
              <w:left w:val="nil"/>
              <w:bottom w:val="single" w:color="auto" w:sz="4" w:space="0"/>
              <w:right w:val="single" w:color="auto" w:sz="4" w:space="0"/>
            </w:tcBorders>
            <w:noWrap w:val="0"/>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做好流动人口计划生育管理工作</w:t>
            </w:r>
          </w:p>
        </w:tc>
        <w:tc>
          <w:tcPr>
            <w:tcW w:w="1472"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264"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p>
        </w:tc>
        <w:tc>
          <w:tcPr>
            <w:tcW w:w="1738" w:type="dxa"/>
            <w:tcBorders>
              <w:top w:val="nil"/>
              <w:left w:val="nil"/>
              <w:bottom w:val="single" w:color="auto" w:sz="4" w:space="0"/>
              <w:right w:val="single" w:color="auto" w:sz="4" w:space="0"/>
            </w:tcBorders>
            <w:noWrap/>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738" w:type="dxa"/>
            <w:tcBorders>
              <w:top w:val="nil"/>
              <w:left w:val="nil"/>
              <w:bottom w:val="single" w:color="auto" w:sz="4" w:space="0"/>
              <w:right w:val="single" w:color="auto" w:sz="4" w:space="0"/>
            </w:tcBorders>
            <w:noWrap/>
            <w:vAlign w:val="center"/>
          </w:tcPr>
          <w:p>
            <w:pPr>
              <w:spacing w:line="360" w:lineRule="exact"/>
              <w:jc w:val="left"/>
              <w:rPr>
                <w:rFonts w:ascii="仿宋_GB2312" w:hAnsi="宋体" w:eastAsia="仿宋_GB2312" w:cs="宋体"/>
                <w:kern w:val="0"/>
                <w:sz w:val="24"/>
              </w:rPr>
            </w:pPr>
          </w:p>
        </w:tc>
        <w:tc>
          <w:tcPr>
            <w:tcW w:w="2054" w:type="dxa"/>
            <w:tcBorders>
              <w:top w:val="nil"/>
              <w:left w:val="nil"/>
              <w:bottom w:val="single" w:color="auto" w:sz="4" w:space="0"/>
              <w:right w:val="single" w:color="auto" w:sz="4" w:space="0"/>
            </w:tcBorders>
            <w:noWrap/>
            <w:vAlign w:val="center"/>
          </w:tcPr>
          <w:p>
            <w:pPr>
              <w:spacing w:line="360" w:lineRule="exact"/>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020" w:hRule="atLeast"/>
        </w:trPr>
        <w:tc>
          <w:tcPr>
            <w:tcW w:w="632" w:type="dxa"/>
            <w:tcBorders>
              <w:top w:val="nil"/>
              <w:left w:val="single" w:color="auto" w:sz="4" w:space="0"/>
              <w:bottom w:val="single" w:color="auto" w:sz="4" w:space="0"/>
              <w:right w:val="single" w:color="auto" w:sz="4" w:space="0"/>
            </w:tcBorders>
            <w:noWrap/>
            <w:vAlign w:val="center"/>
          </w:tcPr>
          <w:p>
            <w:pPr>
              <w:spacing w:line="360" w:lineRule="exact"/>
              <w:jc w:val="center"/>
              <w:rPr>
                <w:rFonts w:ascii="仿宋_GB2312" w:hAnsi="宋体" w:cs="宋体"/>
                <w:b/>
                <w:kern w:val="0"/>
                <w:sz w:val="28"/>
                <w:szCs w:val="28"/>
              </w:rPr>
            </w:pPr>
            <w:r>
              <w:rPr>
                <w:rFonts w:hint="eastAsia" w:ascii="仿宋_GB2312" w:hAnsi="宋体" w:cs="宋体"/>
                <w:b/>
                <w:kern w:val="0"/>
                <w:sz w:val="28"/>
                <w:szCs w:val="28"/>
              </w:rPr>
              <w:t>7</w:t>
            </w:r>
          </w:p>
        </w:tc>
        <w:tc>
          <w:tcPr>
            <w:tcW w:w="1738"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文化建设</w:t>
            </w:r>
          </w:p>
        </w:tc>
        <w:tc>
          <w:tcPr>
            <w:tcW w:w="4848" w:type="dxa"/>
            <w:tcBorders>
              <w:top w:val="nil"/>
              <w:left w:val="nil"/>
              <w:bottom w:val="single" w:color="auto" w:sz="4" w:space="0"/>
              <w:right w:val="single" w:color="auto" w:sz="4" w:space="0"/>
            </w:tcBorders>
            <w:noWrap w:val="0"/>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公寓文化建设软硬件保障、开展文化活动、文化宣传、职工培训、文化资金使用情况等工作</w:t>
            </w:r>
          </w:p>
        </w:tc>
        <w:tc>
          <w:tcPr>
            <w:tcW w:w="1472"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20</w:t>
            </w:r>
          </w:p>
        </w:tc>
        <w:tc>
          <w:tcPr>
            <w:tcW w:w="1264" w:type="dxa"/>
            <w:tcBorders>
              <w:top w:val="nil"/>
              <w:left w:val="nil"/>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4"/>
              </w:rPr>
            </w:pPr>
          </w:p>
        </w:tc>
        <w:tc>
          <w:tcPr>
            <w:tcW w:w="1738" w:type="dxa"/>
            <w:tcBorders>
              <w:top w:val="nil"/>
              <w:left w:val="nil"/>
              <w:bottom w:val="single" w:color="auto" w:sz="4" w:space="0"/>
              <w:right w:val="single" w:color="auto" w:sz="4" w:space="0"/>
            </w:tcBorders>
            <w:noWrap/>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20</w:t>
            </w:r>
          </w:p>
        </w:tc>
        <w:tc>
          <w:tcPr>
            <w:tcW w:w="1738" w:type="dxa"/>
            <w:tcBorders>
              <w:top w:val="nil"/>
              <w:left w:val="nil"/>
              <w:bottom w:val="single" w:color="auto" w:sz="4" w:space="0"/>
              <w:right w:val="single" w:color="auto" w:sz="4" w:space="0"/>
            </w:tcBorders>
            <w:noWrap/>
            <w:vAlign w:val="center"/>
          </w:tcPr>
          <w:p>
            <w:pPr>
              <w:spacing w:line="360" w:lineRule="exact"/>
              <w:jc w:val="left"/>
              <w:rPr>
                <w:rFonts w:ascii="仿宋_GB2312" w:hAnsi="宋体" w:eastAsia="仿宋_GB2312" w:cs="宋体"/>
                <w:kern w:val="0"/>
                <w:sz w:val="24"/>
              </w:rPr>
            </w:pPr>
          </w:p>
        </w:tc>
        <w:tc>
          <w:tcPr>
            <w:tcW w:w="2054" w:type="dxa"/>
            <w:tcBorders>
              <w:top w:val="nil"/>
              <w:left w:val="nil"/>
              <w:bottom w:val="single" w:color="auto" w:sz="4" w:space="0"/>
              <w:right w:val="single" w:color="auto" w:sz="4" w:space="0"/>
            </w:tcBorders>
            <w:noWrap/>
            <w:vAlign w:val="center"/>
          </w:tcPr>
          <w:p>
            <w:pPr>
              <w:spacing w:line="360" w:lineRule="exact"/>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72" w:hRule="atLeast"/>
        </w:trPr>
        <w:tc>
          <w:tcPr>
            <w:tcW w:w="7218"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合  计</w:t>
            </w:r>
          </w:p>
        </w:tc>
        <w:tc>
          <w:tcPr>
            <w:tcW w:w="1472" w:type="dxa"/>
            <w:tcBorders>
              <w:top w:val="nil"/>
              <w:left w:val="nil"/>
              <w:bottom w:val="single" w:color="auto" w:sz="4" w:space="0"/>
              <w:right w:val="single" w:color="auto" w:sz="4" w:space="0"/>
            </w:tcBorders>
            <w:noWrap/>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1264" w:type="dxa"/>
            <w:tcBorders>
              <w:top w:val="nil"/>
              <w:left w:val="nil"/>
              <w:bottom w:val="single" w:color="auto" w:sz="4" w:space="0"/>
              <w:right w:val="single" w:color="auto" w:sz="4" w:space="0"/>
            </w:tcBorders>
            <w:noWrap/>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738" w:type="dxa"/>
            <w:tcBorders>
              <w:top w:val="nil"/>
              <w:left w:val="nil"/>
              <w:bottom w:val="single" w:color="auto" w:sz="4" w:space="0"/>
              <w:right w:val="single" w:color="auto" w:sz="4" w:space="0"/>
            </w:tcBorders>
            <w:noWrap/>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1738" w:type="dxa"/>
            <w:tcBorders>
              <w:top w:val="nil"/>
              <w:left w:val="nil"/>
              <w:bottom w:val="single" w:color="auto" w:sz="4" w:space="0"/>
              <w:right w:val="single" w:color="auto" w:sz="4" w:space="0"/>
            </w:tcBorders>
            <w:noWrap/>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054" w:type="dxa"/>
            <w:tcBorders>
              <w:top w:val="nil"/>
              <w:left w:val="nil"/>
              <w:bottom w:val="single" w:color="auto" w:sz="4" w:space="0"/>
              <w:right w:val="single" w:color="auto" w:sz="4" w:space="0"/>
            </w:tcBorders>
            <w:noWrap/>
            <w:vAlign w:val="center"/>
          </w:tcPr>
          <w:p>
            <w:pPr>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bl>
    <w:p>
      <w:pPr>
        <w:spacing w:line="520" w:lineRule="exact"/>
        <w:ind w:right="-57" w:rightChars="-27" w:firstLine="3452" w:firstLineChars="1644"/>
        <w:rPr>
          <w:rFonts w:ascii="仿宋_GB2312"/>
          <w:szCs w:val="32"/>
        </w:rPr>
        <w:sectPr>
          <w:footerReference r:id="rId9" w:type="default"/>
          <w:pgSz w:w="16838" w:h="11906" w:orient="landscape"/>
          <w:pgMar w:top="1588" w:right="2098" w:bottom="1474" w:left="1928" w:header="851" w:footer="992" w:gutter="0"/>
          <w:pgNumType w:chapStyle="1" w:chapSep="emDash"/>
          <w:cols w:space="720" w:num="1"/>
          <w:docGrid w:type="lines" w:linePitch="582" w:charSpace="-849"/>
        </w:sectPr>
      </w:pPr>
    </w:p>
    <w:p>
      <w:pPr>
        <w:spacing w:line="560" w:lineRule="exact"/>
        <w:ind w:right="-55" w:rightChars="-27"/>
        <w:rPr>
          <w:rFonts w:ascii="黑体" w:eastAsia="黑体"/>
          <w:sz w:val="32"/>
          <w:szCs w:val="32"/>
        </w:rPr>
      </w:pPr>
      <w:r>
        <w:rPr>
          <w:rFonts w:hint="eastAsia" w:ascii="黑体" w:eastAsia="黑体"/>
          <w:sz w:val="32"/>
          <w:szCs w:val="32"/>
        </w:rPr>
        <w:t>附件2</w:t>
      </w:r>
    </w:p>
    <w:p>
      <w:pPr>
        <w:spacing w:line="560" w:lineRule="exact"/>
        <w:ind w:right="-55" w:rightChars="-27"/>
        <w:rPr>
          <w:rFonts w:ascii="黑体" w:eastAsia="黑体"/>
          <w:szCs w:val="32"/>
        </w:rPr>
      </w:pPr>
    </w:p>
    <w:p>
      <w:pPr>
        <w:spacing w:line="64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天津港保税区、天津空港经济区</w:t>
      </w:r>
    </w:p>
    <w:p>
      <w:pPr>
        <w:spacing w:line="64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职工公寓考评标准</w:t>
      </w:r>
    </w:p>
    <w:p>
      <w:pPr>
        <w:spacing w:line="560" w:lineRule="exact"/>
        <w:jc w:val="center"/>
        <w:rPr>
          <w:rFonts w:ascii="仿宋_GB2312" w:hAnsi="华文中宋" w:eastAsia="仿宋_GB2312" w:cs="宋体"/>
          <w:kern w:val="0"/>
          <w:sz w:val="32"/>
          <w:szCs w:val="32"/>
        </w:rPr>
      </w:pPr>
      <w:r>
        <w:rPr>
          <w:rFonts w:hint="eastAsia" w:ascii="仿宋_GB2312" w:hAnsi="华文中宋" w:eastAsia="仿宋_GB2312" w:cs="宋体"/>
          <w:kern w:val="0"/>
          <w:sz w:val="32"/>
          <w:szCs w:val="32"/>
        </w:rPr>
        <w:t>（应急管理局考评项目）</w:t>
      </w:r>
    </w:p>
    <w:p>
      <w:pPr>
        <w:spacing w:line="560" w:lineRule="exact"/>
        <w:rPr>
          <w:szCs w:val="32"/>
        </w:rPr>
      </w:pPr>
    </w:p>
    <w:p>
      <w:pPr>
        <w:spacing w:line="540" w:lineRule="exact"/>
        <w:ind w:firstLine="632" w:firstLineChars="200"/>
        <w:rPr>
          <w:rFonts w:ascii="黑体" w:hAnsi="黑体" w:eastAsia="黑体"/>
          <w:b/>
          <w:sz w:val="32"/>
          <w:szCs w:val="32"/>
        </w:rPr>
      </w:pPr>
      <w:r>
        <w:rPr>
          <w:rFonts w:hint="eastAsia" w:ascii="黑体" w:hAnsi="黑体" w:eastAsia="黑体"/>
          <w:b/>
          <w:sz w:val="32"/>
          <w:szCs w:val="32"/>
        </w:rPr>
        <w:t>一、安全制度</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（一）制定总体安全目标、年度安全目标、安全管理计划与考核办法；成立安委会、设置安全管理领导小组、配备管理人员、明确职责；定期召开安全工作会议，分析安全状况，研究解决整改措施；</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二）公寓产权单位及物业服务企业应建立主要安全管理过程、事件、活动、检查记录档案，留存相关会议纪要，并加强对安全记录的有效管理，记录档案应包括以下内容：安全管理活动（会议）台帐、安全检查台帐、安全设施台帐、关键装置及重点部位台帐、特种设备台帐、隐患排查治理台帐、安全教育培训台帐、监控设备台帐、承包商台帐、事故管理台帐、重大隐患项目台帐、安全运营动态管理台帐等；</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（三）建立健全单位安全经营管理责任制度，制定各级人员安全职责，包括：负责人、各级管理人员、安全管理人员、各类技术人员和各作业岗位操作员；定期签订各级安全责任书；</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（四）公寓产权单位组织制定单位安全管理规章制度、安全操作规程及监督体系；</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（五）公寓产权单位主要负责人和安全管理人员，必须具备与本单位所从事的经营活动相适应的安全生产知识和管理能力，须经考核合格后持证上岗；</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六）具备完善的安全经营管理规章制度及经营作业许可，包括：安全经营职责、安全检查、安全教育培训、事故管理、安全经营投入、安全设备设施管理、电器安全管理、特种设备安全及人员管理、危险物品储存及使用管理、劳动防护用品管理、职业健康管理、应急管理、文件档案管理等；动火安全作业证、检维修作业证、临时用电安全作业证、动土安全作业证等。</w:t>
      </w:r>
    </w:p>
    <w:p>
      <w:pPr>
        <w:spacing w:line="540" w:lineRule="exact"/>
        <w:ind w:firstLine="632" w:firstLineChars="200"/>
        <w:rPr>
          <w:rFonts w:ascii="黑体" w:hAnsi="黑体" w:eastAsia="黑体"/>
          <w:b/>
          <w:sz w:val="32"/>
          <w:szCs w:val="32"/>
        </w:rPr>
      </w:pPr>
      <w:r>
        <w:rPr>
          <w:rFonts w:hint="eastAsia" w:ascii="黑体" w:hAnsi="黑体" w:eastAsia="黑体"/>
          <w:b/>
          <w:sz w:val="32"/>
          <w:szCs w:val="32"/>
        </w:rPr>
        <w:t>二、安全教育培训</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（一）制定安全培训教育目标和要求；制定、实施年度和季度安全培训教育计划；经营单位应建立公寓管理人员安全教育培训档案，做好安全教育培训记录；</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（二）对物业从业人员进行安全培训，并经考核合格后上岗，留存考核内容及相关记录；要求培训有规定学时，有教育管理台帐、培训教育内容符合国家规定，定期对培训效果进行评估和改进；</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（三）经营单位应组织结合本单位特点的安全文化建设，促进安全管理工作；采取多种形式的安全文化活动，引导全体从业人员具备安全生产意识。</w:t>
      </w:r>
    </w:p>
    <w:p>
      <w:pPr>
        <w:spacing w:line="540" w:lineRule="exact"/>
        <w:ind w:firstLine="632" w:firstLineChars="200"/>
        <w:rPr>
          <w:rFonts w:ascii="黑体" w:hAnsi="黑体" w:eastAsia="黑体"/>
          <w:b/>
          <w:sz w:val="32"/>
          <w:szCs w:val="32"/>
        </w:rPr>
      </w:pPr>
      <w:r>
        <w:rPr>
          <w:rFonts w:hint="eastAsia" w:ascii="黑体" w:hAnsi="黑体" w:eastAsia="黑体"/>
          <w:b/>
          <w:sz w:val="32"/>
          <w:szCs w:val="32"/>
        </w:rPr>
        <w:t>三、设施设备安全</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（一）公寓经营单位应对硬件设施设备进行规范化管理，保证其安全运行；</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（二）有专人负责管理各种安全设施，建立台帐，填写齐全、规范；</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（三）制定和落实隐患控制措施、检维修计划，并认真如期落实，保证安全设备设施有效运行，保存运行、巡检记录；</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（四）有公寓总平面图备案登记；公寓基本情况备案登记物业单位安全管理规定制度及标准细则；建立各级及重点部位安全责任人制度及安全监督制度；</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（五）按有关政策规定和相关约定对房屋及配套设施进行安全管理；</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（六）建立设施设备养护管理台帐，根据相关标准规范要求，制定检维修计划并定期对设备的安全性、运转状况等进行检查检测，留存记录；</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（七）对私搭乱建、擅自改变房屋等对安全设施正常运行产生影响的现象及时制止，并报告有关部门依法处理；</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（八）健全公寓内设施设备维修养护制度并在工作场所明示，工作标准及岗位责任制明确，执行良好；</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（九）小区主出入口设小区房屋、道路平面分布图、安全宣传栏；小区内各路口、栋、门、户及其他公共配套设施场地安全标志齐全，交通标志齐全规范；</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（十）设备用房、主要设施设备、危及人身安全隐患处有明显标志和防范措施；</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（十一）机房内禁止存放易燃易爆、有毒有害物质，禁止乱拉乱接电线，严禁在设备房内吸烟；要求照明良好，电梯井坑底无积水、无垃圾。</w:t>
      </w:r>
    </w:p>
    <w:p>
      <w:pPr>
        <w:spacing w:line="540" w:lineRule="exact"/>
        <w:ind w:firstLine="632" w:firstLineChars="200"/>
        <w:rPr>
          <w:rFonts w:ascii="黑体" w:hAnsi="黑体" w:eastAsia="黑体"/>
          <w:b/>
          <w:sz w:val="32"/>
          <w:szCs w:val="32"/>
        </w:rPr>
      </w:pPr>
      <w:r>
        <w:rPr>
          <w:rFonts w:hint="eastAsia" w:ascii="黑体" w:hAnsi="黑体" w:eastAsia="黑体"/>
          <w:b/>
          <w:sz w:val="32"/>
          <w:szCs w:val="32"/>
        </w:rPr>
        <w:t>四、职工安全</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（一）利用广告橱窗、板报等定期宣传普及安全知识及自救常识，提高住宿人员安全防范意识；</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（二）向职工告知公寓安全逃生出口位置，相关逃生自救技巧，保证安全通道时刻畅通；</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（三）每周至少检查1次楼道内的安全状况并做好记录，将情况上报相关部门；定期检查机械设备间、商业、公益性场所、公共区域等管理情况；每栋宿舍楼必须配置2至4名安全管理员；</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（四）公寓内公共娱乐设施、球场等部位，设置安全警示标志；</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（五）公寓内无违章使用大功率电器和不合格电器、寝室内无乱拉电线和插座等现象；</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（六）公寓内严禁使用明火、放置任何易燃易爆等危险物品；禁止携入或私存易燃、易爆、有毒、剧毒以及有腐蚀性用品。</w:t>
      </w:r>
    </w:p>
    <w:p>
      <w:pPr>
        <w:spacing w:line="540" w:lineRule="exact"/>
        <w:ind w:firstLine="632" w:firstLineChars="200"/>
        <w:rPr>
          <w:rFonts w:ascii="黑体" w:hAnsi="黑体" w:eastAsia="黑体"/>
          <w:b/>
          <w:sz w:val="32"/>
          <w:szCs w:val="32"/>
        </w:rPr>
      </w:pPr>
      <w:r>
        <w:rPr>
          <w:rFonts w:hint="eastAsia" w:ascii="黑体" w:hAnsi="黑体" w:eastAsia="黑体"/>
          <w:b/>
          <w:sz w:val="32"/>
          <w:szCs w:val="32"/>
        </w:rPr>
        <w:t>五、公寓安全管理</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（一）公寓经营单位应制定定期、不定期隐患排查计划和安全检查表，对隐患及各种本质安全缺陷进行查找和评估，确定隐患等级，登记建档，及时采取有效治理措施；</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（二）隐患排查的范围应包括所有与经营相关的场所、环境、人员、设备设施和活动；排查形式包括：综合检查、专业检查、季节性检查、节假日检查、日常检查等，留存检查记录；</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（三）公寓应根据隐患排查结果，制定隐患治理方案，对隐患及时进行治理，按照隐患治理项目进行管理，按照 “四定” （定措施、定负责人、定资金来源、定整改期限）的原则保质保量落实隐患治理措施，治理完成后，应对治理情况进行验证和评估。</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四）公寓产权单位及物业服务企业应及时识别与公寓活动有关的安全隐患，并对它们进行科学的评价分析，确定危害程度和可能影响的最大范围，以便采取有效或适当的控制措施，从而把风险降到最低或控制在可以承受的程度；</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（五）公寓产权单位每月至少进行一次全面的安全隐患排查工作；各级人员、从业人员应积极参与到安全检查、排查、自查工作中；</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（六）公寓产权单位应对确认的安全隐患情况进行详细记载、登记建档，并按照规定逐级上报备案；</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（七）公寓产权单位具备公寓安全事故应急救援预案，包括：防火、防煤气泄漏、防止危险化学品等事故和压力管道等特种设备重大安全事故的安保措施及应急预案,并有演练记录。</w:t>
      </w:r>
    </w:p>
    <w:p>
      <w:pPr>
        <w:spacing w:line="560" w:lineRule="exact"/>
        <w:ind w:firstLine="632" w:firstLineChars="200"/>
        <w:rPr>
          <w:rFonts w:ascii="仿宋_GB2312" w:eastAsia="仿宋_GB2312"/>
          <w:sz w:val="32"/>
          <w:szCs w:val="32"/>
        </w:rPr>
        <w:sectPr>
          <w:footerReference r:id="rId10" w:type="default"/>
          <w:footerReference r:id="rId11" w:type="even"/>
          <w:pgSz w:w="11906" w:h="16838"/>
          <w:pgMar w:top="1928" w:right="1588" w:bottom="2098" w:left="1474" w:header="851" w:footer="992" w:gutter="0"/>
          <w:pgNumType w:chapStyle="1" w:chapSep="emDash"/>
          <w:cols w:space="720" w:num="1"/>
          <w:docGrid w:type="linesAndChars" w:linePitch="582" w:charSpace="-849"/>
        </w:sect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天津港保税区、天津空港经济区职工公寓考评标准</w:t>
      </w:r>
    </w:p>
    <w:p>
      <w:pPr>
        <w:spacing w:line="560" w:lineRule="exact"/>
        <w:jc w:val="center"/>
        <w:rPr>
          <w:rFonts w:ascii="仿宋_GB2312" w:eastAsia="仿宋_GB2312"/>
          <w:sz w:val="32"/>
          <w:szCs w:val="32"/>
        </w:rPr>
      </w:pPr>
      <w:r>
        <w:rPr>
          <w:rFonts w:hint="eastAsia" w:ascii="仿宋_GB2312" w:eastAsia="仿宋_GB2312"/>
          <w:sz w:val="32"/>
          <w:szCs w:val="32"/>
        </w:rPr>
        <w:t>（</w:t>
      </w:r>
      <w:r>
        <w:rPr>
          <w:rFonts w:hint="eastAsia" w:ascii="仿宋_GB2312" w:hAnsi="华文中宋" w:eastAsia="仿宋_GB2312" w:cs="宋体"/>
          <w:kern w:val="0"/>
          <w:sz w:val="32"/>
          <w:szCs w:val="32"/>
        </w:rPr>
        <w:t>应急管理局</w:t>
      </w:r>
      <w:r>
        <w:rPr>
          <w:rFonts w:hint="eastAsia" w:ascii="仿宋_GB2312" w:eastAsia="仿宋_GB2312"/>
          <w:sz w:val="32"/>
          <w:szCs w:val="32"/>
        </w:rPr>
        <w:t>考评项目）</w:t>
      </w:r>
    </w:p>
    <w:tbl>
      <w:tblPr>
        <w:tblStyle w:val="18"/>
        <w:tblW w:w="0" w:type="auto"/>
        <w:tblInd w:w="-1314" w:type="dxa"/>
        <w:tblLayout w:type="fixed"/>
        <w:tblCellMar>
          <w:top w:w="0" w:type="dxa"/>
          <w:left w:w="108" w:type="dxa"/>
          <w:bottom w:w="0" w:type="dxa"/>
          <w:right w:w="108" w:type="dxa"/>
        </w:tblCellMar>
      </w:tblPr>
      <w:tblGrid>
        <w:gridCol w:w="718"/>
        <w:gridCol w:w="1968"/>
        <w:gridCol w:w="6952"/>
        <w:gridCol w:w="1422"/>
        <w:gridCol w:w="790"/>
        <w:gridCol w:w="1422"/>
        <w:gridCol w:w="1106"/>
        <w:gridCol w:w="1422"/>
      </w:tblGrid>
      <w:tr>
        <w:tblPrEx>
          <w:tblCellMar>
            <w:top w:w="0" w:type="dxa"/>
            <w:left w:w="108" w:type="dxa"/>
            <w:bottom w:w="0" w:type="dxa"/>
            <w:right w:w="108" w:type="dxa"/>
          </w:tblCellMar>
        </w:tblPrEx>
        <w:trPr>
          <w:trHeight w:val="492" w:hRule="atLeast"/>
        </w:trPr>
        <w:tc>
          <w:tcPr>
            <w:tcW w:w="7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1968"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考核标准</w:t>
            </w:r>
          </w:p>
        </w:tc>
        <w:tc>
          <w:tcPr>
            <w:tcW w:w="6952"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考核要求</w:t>
            </w:r>
          </w:p>
        </w:tc>
        <w:tc>
          <w:tcPr>
            <w:tcW w:w="1422"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公寓</w:t>
            </w:r>
          </w:p>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产权方</w:t>
            </w:r>
          </w:p>
          <w:p>
            <w:pPr>
              <w:spacing w:line="320" w:lineRule="exact"/>
              <w:rPr>
                <w:rFonts w:ascii="黑体" w:hAnsi="宋体" w:eastAsia="黑体" w:cs="宋体"/>
                <w:kern w:val="0"/>
                <w:sz w:val="28"/>
                <w:szCs w:val="28"/>
              </w:rPr>
            </w:pPr>
            <w:r>
              <w:rPr>
                <w:rFonts w:hint="eastAsia" w:ascii="黑体" w:hAnsi="宋体" w:eastAsia="黑体" w:cs="宋体"/>
                <w:kern w:val="0"/>
                <w:sz w:val="28"/>
                <w:szCs w:val="28"/>
              </w:rPr>
              <w:t>（100分）</w:t>
            </w:r>
          </w:p>
        </w:tc>
        <w:tc>
          <w:tcPr>
            <w:tcW w:w="790"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评分</w:t>
            </w:r>
          </w:p>
        </w:tc>
        <w:tc>
          <w:tcPr>
            <w:tcW w:w="1422"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物业服务企业</w:t>
            </w:r>
          </w:p>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（100分）</w:t>
            </w:r>
          </w:p>
        </w:tc>
        <w:tc>
          <w:tcPr>
            <w:tcW w:w="1106"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评分</w:t>
            </w:r>
          </w:p>
        </w:tc>
        <w:tc>
          <w:tcPr>
            <w:tcW w:w="1422"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考评建议</w:t>
            </w:r>
          </w:p>
        </w:tc>
      </w:tr>
      <w:tr>
        <w:tblPrEx>
          <w:tblCellMar>
            <w:top w:w="0" w:type="dxa"/>
            <w:left w:w="108" w:type="dxa"/>
            <w:bottom w:w="0" w:type="dxa"/>
            <w:right w:w="108" w:type="dxa"/>
          </w:tblCellMar>
        </w:tblPrEx>
        <w:trPr>
          <w:trHeight w:val="1384" w:hRule="atLeast"/>
        </w:trPr>
        <w:tc>
          <w:tcPr>
            <w:tcW w:w="718" w:type="dxa"/>
            <w:tcBorders>
              <w:top w:val="nil"/>
              <w:left w:val="single" w:color="auto" w:sz="4" w:space="0"/>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1</w:t>
            </w:r>
          </w:p>
        </w:tc>
        <w:tc>
          <w:tcPr>
            <w:tcW w:w="1968"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安全制度</w:t>
            </w:r>
          </w:p>
        </w:tc>
        <w:tc>
          <w:tcPr>
            <w:tcW w:w="6952" w:type="dxa"/>
            <w:tcBorders>
              <w:top w:val="nil"/>
              <w:left w:val="nil"/>
              <w:bottom w:val="single" w:color="auto" w:sz="4" w:space="0"/>
              <w:right w:val="single" w:color="auto" w:sz="4" w:space="0"/>
            </w:tcBorders>
            <w:noWrap w:val="0"/>
            <w:vAlign w:val="center"/>
          </w:tcPr>
          <w:p>
            <w:pPr>
              <w:spacing w:line="340" w:lineRule="exact"/>
              <w:rPr>
                <w:rFonts w:ascii="仿宋_GB2312" w:hAnsi="宋体" w:eastAsia="仿宋_GB2312" w:cs="宋体"/>
                <w:kern w:val="0"/>
                <w:sz w:val="24"/>
              </w:rPr>
            </w:pPr>
            <w:r>
              <w:rPr>
                <w:rFonts w:hint="eastAsia" w:ascii="仿宋_GB2312" w:hAnsi="宋体" w:eastAsia="仿宋_GB2312" w:cs="宋体"/>
                <w:kern w:val="0"/>
                <w:sz w:val="24"/>
              </w:rPr>
              <w:t>坚持“安全第一、预防为主、综合治理”的安全管理方针，根据公寓运营实际情况制定总体安全管理目标，成立安委会，根据安全生产法的要求，设置安全管理机构及配备安全管理人员，制定安全标准，落实安全责任制度，健全安全管理网络，做到机制严谨、记录完备。</w:t>
            </w:r>
          </w:p>
        </w:tc>
        <w:tc>
          <w:tcPr>
            <w:tcW w:w="1422" w:type="dxa"/>
            <w:tcBorders>
              <w:top w:val="nil"/>
              <w:left w:val="nil"/>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20</w:t>
            </w:r>
          </w:p>
        </w:tc>
        <w:tc>
          <w:tcPr>
            <w:tcW w:w="790" w:type="dxa"/>
            <w:tcBorders>
              <w:top w:val="nil"/>
              <w:left w:val="nil"/>
              <w:bottom w:val="single" w:color="auto" w:sz="4" w:space="0"/>
              <w:right w:val="single" w:color="auto" w:sz="4" w:space="0"/>
            </w:tcBorders>
            <w:noWrap/>
            <w:vAlign w:val="center"/>
          </w:tcPr>
          <w:p>
            <w:pPr>
              <w:spacing w:line="34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20</w:t>
            </w:r>
          </w:p>
        </w:tc>
        <w:tc>
          <w:tcPr>
            <w:tcW w:w="1106" w:type="dxa"/>
            <w:tcBorders>
              <w:top w:val="nil"/>
              <w:left w:val="nil"/>
              <w:bottom w:val="single" w:color="auto" w:sz="4" w:space="0"/>
              <w:right w:val="single" w:color="auto" w:sz="4" w:space="0"/>
            </w:tcBorders>
            <w:noWrap/>
            <w:vAlign w:val="center"/>
          </w:tcPr>
          <w:p>
            <w:pPr>
              <w:spacing w:line="34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40" w:lineRule="exact"/>
              <w:jc w:val="left"/>
              <w:rPr>
                <w:rFonts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855" w:hRule="atLeast"/>
        </w:trPr>
        <w:tc>
          <w:tcPr>
            <w:tcW w:w="718" w:type="dxa"/>
            <w:tcBorders>
              <w:top w:val="nil"/>
              <w:left w:val="single" w:color="auto" w:sz="4" w:space="0"/>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2</w:t>
            </w:r>
          </w:p>
        </w:tc>
        <w:tc>
          <w:tcPr>
            <w:tcW w:w="1968" w:type="dxa"/>
            <w:tcBorders>
              <w:top w:val="single" w:color="auto" w:sz="4" w:space="0"/>
              <w:left w:val="nil"/>
              <w:bottom w:val="single" w:color="auto" w:sz="4" w:space="0"/>
              <w:right w:val="single" w:color="auto" w:sz="4" w:space="0"/>
            </w:tcBorders>
            <w:noWrap/>
            <w:vAlign w:val="center"/>
          </w:tcPr>
          <w:p>
            <w:pPr>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公寓安全管理</w:t>
            </w:r>
          </w:p>
        </w:tc>
        <w:tc>
          <w:tcPr>
            <w:tcW w:w="6952" w:type="dxa"/>
            <w:tcBorders>
              <w:top w:val="nil"/>
              <w:left w:val="nil"/>
              <w:bottom w:val="single" w:color="auto" w:sz="4" w:space="0"/>
              <w:right w:val="single" w:color="auto" w:sz="4" w:space="0"/>
            </w:tcBorders>
            <w:noWrap w:val="0"/>
            <w:vAlign w:val="center"/>
          </w:tcPr>
          <w:p>
            <w:pPr>
              <w:spacing w:line="340" w:lineRule="exact"/>
              <w:rPr>
                <w:rFonts w:ascii="仿宋_GB2312" w:hAnsi="宋体" w:eastAsia="仿宋_GB2312" w:cs="宋体"/>
                <w:kern w:val="0"/>
                <w:sz w:val="24"/>
              </w:rPr>
            </w:pPr>
            <w:r>
              <w:rPr>
                <w:rFonts w:hint="eastAsia" w:ascii="仿宋_GB2312" w:hAnsi="宋体" w:eastAsia="仿宋_GB2312" w:cs="宋体"/>
                <w:kern w:val="0"/>
                <w:sz w:val="24"/>
              </w:rPr>
              <w:t>有计划、有目标、有措施的排查公寓安全隐患，落实治理措施，认真评估；提高对危险源的辨识、控制能力，通过制度和预案尽量防止危险发生，将危害可能性降到最低。</w:t>
            </w:r>
          </w:p>
        </w:tc>
        <w:tc>
          <w:tcPr>
            <w:tcW w:w="1422" w:type="dxa"/>
            <w:tcBorders>
              <w:top w:val="nil"/>
              <w:left w:val="nil"/>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30</w:t>
            </w:r>
          </w:p>
        </w:tc>
        <w:tc>
          <w:tcPr>
            <w:tcW w:w="790" w:type="dxa"/>
            <w:tcBorders>
              <w:top w:val="nil"/>
              <w:left w:val="nil"/>
              <w:bottom w:val="single" w:color="auto" w:sz="4" w:space="0"/>
              <w:right w:val="single" w:color="auto" w:sz="4" w:space="0"/>
            </w:tcBorders>
            <w:noWrap/>
            <w:vAlign w:val="center"/>
          </w:tcPr>
          <w:p>
            <w:pPr>
              <w:spacing w:line="34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30</w:t>
            </w:r>
          </w:p>
        </w:tc>
        <w:tc>
          <w:tcPr>
            <w:tcW w:w="1106" w:type="dxa"/>
            <w:tcBorders>
              <w:top w:val="nil"/>
              <w:left w:val="nil"/>
              <w:bottom w:val="single" w:color="auto" w:sz="4" w:space="0"/>
              <w:right w:val="single" w:color="auto" w:sz="4" w:space="0"/>
            </w:tcBorders>
            <w:noWrap/>
            <w:vAlign w:val="center"/>
          </w:tcPr>
          <w:p>
            <w:pPr>
              <w:spacing w:line="34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40" w:lineRule="exact"/>
              <w:jc w:val="left"/>
              <w:rPr>
                <w:rFonts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855" w:hRule="atLeast"/>
        </w:trPr>
        <w:tc>
          <w:tcPr>
            <w:tcW w:w="718" w:type="dxa"/>
            <w:tcBorders>
              <w:top w:val="nil"/>
              <w:left w:val="single" w:color="auto" w:sz="4" w:space="0"/>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3</w:t>
            </w:r>
          </w:p>
        </w:tc>
        <w:tc>
          <w:tcPr>
            <w:tcW w:w="1968" w:type="dxa"/>
            <w:tcBorders>
              <w:top w:val="single" w:color="auto" w:sz="4" w:space="0"/>
              <w:left w:val="nil"/>
              <w:bottom w:val="single" w:color="auto" w:sz="4" w:space="0"/>
              <w:right w:val="single" w:color="auto" w:sz="4" w:space="0"/>
            </w:tcBorders>
            <w:noWrap/>
            <w:vAlign w:val="center"/>
          </w:tcPr>
          <w:p>
            <w:pPr>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安全教育培训</w:t>
            </w:r>
          </w:p>
        </w:tc>
        <w:tc>
          <w:tcPr>
            <w:tcW w:w="6952" w:type="dxa"/>
            <w:tcBorders>
              <w:top w:val="nil"/>
              <w:left w:val="nil"/>
              <w:bottom w:val="single" w:color="auto" w:sz="4" w:space="0"/>
              <w:right w:val="single" w:color="auto" w:sz="4" w:space="0"/>
            </w:tcBorders>
            <w:noWrap w:val="0"/>
            <w:vAlign w:val="center"/>
          </w:tcPr>
          <w:p>
            <w:pPr>
              <w:spacing w:line="340" w:lineRule="exact"/>
              <w:rPr>
                <w:rFonts w:ascii="仿宋_GB2312" w:hAnsi="宋体" w:eastAsia="仿宋_GB2312" w:cs="宋体"/>
                <w:kern w:val="0"/>
                <w:sz w:val="24"/>
              </w:rPr>
            </w:pPr>
            <w:r>
              <w:rPr>
                <w:rFonts w:hint="eastAsia" w:ascii="仿宋_GB2312" w:hAnsi="宋体" w:eastAsia="仿宋_GB2312" w:cs="宋体"/>
                <w:kern w:val="0"/>
                <w:sz w:val="24"/>
              </w:rPr>
              <w:t>应依据政府、行业的规定及岗位实际需要，制定安全培训教育目标、制度与考评机制，最终达到全体员工都认同、遵守同一个安全价值观。</w:t>
            </w:r>
          </w:p>
        </w:tc>
        <w:tc>
          <w:tcPr>
            <w:tcW w:w="1422" w:type="dxa"/>
            <w:tcBorders>
              <w:top w:val="nil"/>
              <w:left w:val="nil"/>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15</w:t>
            </w:r>
          </w:p>
        </w:tc>
        <w:tc>
          <w:tcPr>
            <w:tcW w:w="790" w:type="dxa"/>
            <w:tcBorders>
              <w:top w:val="nil"/>
              <w:left w:val="nil"/>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15</w:t>
            </w:r>
          </w:p>
        </w:tc>
        <w:tc>
          <w:tcPr>
            <w:tcW w:w="1106" w:type="dxa"/>
            <w:tcBorders>
              <w:top w:val="nil"/>
              <w:left w:val="nil"/>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40" w:lineRule="exact"/>
              <w:jc w:val="left"/>
              <w:rPr>
                <w:rFonts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849" w:hRule="atLeast"/>
        </w:trPr>
        <w:tc>
          <w:tcPr>
            <w:tcW w:w="718" w:type="dxa"/>
            <w:tcBorders>
              <w:top w:val="nil"/>
              <w:left w:val="single" w:color="auto" w:sz="4" w:space="0"/>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4</w:t>
            </w:r>
          </w:p>
        </w:tc>
        <w:tc>
          <w:tcPr>
            <w:tcW w:w="1968" w:type="dxa"/>
            <w:tcBorders>
              <w:top w:val="single" w:color="auto" w:sz="4" w:space="0"/>
              <w:left w:val="nil"/>
              <w:bottom w:val="single" w:color="auto" w:sz="4" w:space="0"/>
              <w:right w:val="single" w:color="auto" w:sz="4" w:space="0"/>
            </w:tcBorders>
            <w:noWrap/>
            <w:vAlign w:val="center"/>
          </w:tcPr>
          <w:p>
            <w:pPr>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设施设备安全</w:t>
            </w:r>
          </w:p>
        </w:tc>
        <w:tc>
          <w:tcPr>
            <w:tcW w:w="6952" w:type="dxa"/>
            <w:tcBorders>
              <w:top w:val="nil"/>
              <w:left w:val="nil"/>
              <w:bottom w:val="single" w:color="auto" w:sz="4" w:space="0"/>
              <w:right w:val="single" w:color="auto" w:sz="4" w:space="0"/>
            </w:tcBorders>
            <w:noWrap w:val="0"/>
            <w:vAlign w:val="center"/>
          </w:tcPr>
          <w:p>
            <w:pPr>
              <w:spacing w:line="340" w:lineRule="exact"/>
              <w:rPr>
                <w:rFonts w:ascii="仿宋_GB2312" w:hAnsi="宋体" w:eastAsia="仿宋_GB2312" w:cs="宋体"/>
                <w:kern w:val="0"/>
                <w:sz w:val="24"/>
              </w:rPr>
            </w:pPr>
            <w:r>
              <w:rPr>
                <w:rFonts w:hint="eastAsia" w:ascii="仿宋_GB2312" w:hAnsi="宋体" w:eastAsia="仿宋_GB2312" w:cs="宋体"/>
                <w:kern w:val="0"/>
                <w:sz w:val="24"/>
              </w:rPr>
              <w:t>根据法律法规、标准规范，严格检查、管理设施设备运行、检修;公寓项目所有设备设施应符合有关法律法规、标准规范要求，建立检查、维修、养护闭合管理制度。</w:t>
            </w:r>
          </w:p>
        </w:tc>
        <w:tc>
          <w:tcPr>
            <w:tcW w:w="1422" w:type="dxa"/>
            <w:tcBorders>
              <w:top w:val="nil"/>
              <w:left w:val="nil"/>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15</w:t>
            </w:r>
          </w:p>
        </w:tc>
        <w:tc>
          <w:tcPr>
            <w:tcW w:w="790" w:type="dxa"/>
            <w:tcBorders>
              <w:top w:val="nil"/>
              <w:left w:val="nil"/>
              <w:bottom w:val="single" w:color="auto" w:sz="4" w:space="0"/>
              <w:right w:val="single" w:color="auto" w:sz="4" w:space="0"/>
            </w:tcBorders>
            <w:noWrap/>
            <w:vAlign w:val="center"/>
          </w:tcPr>
          <w:p>
            <w:pPr>
              <w:spacing w:line="34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15</w:t>
            </w:r>
          </w:p>
        </w:tc>
        <w:tc>
          <w:tcPr>
            <w:tcW w:w="1106" w:type="dxa"/>
            <w:tcBorders>
              <w:top w:val="nil"/>
              <w:left w:val="nil"/>
              <w:bottom w:val="single" w:color="auto" w:sz="4" w:space="0"/>
              <w:right w:val="single" w:color="auto" w:sz="4" w:space="0"/>
            </w:tcBorders>
            <w:noWrap/>
            <w:vAlign w:val="center"/>
          </w:tcPr>
          <w:p>
            <w:pPr>
              <w:spacing w:line="34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40" w:lineRule="exact"/>
              <w:jc w:val="left"/>
              <w:rPr>
                <w:rFonts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572" w:hRule="atLeast"/>
        </w:trPr>
        <w:tc>
          <w:tcPr>
            <w:tcW w:w="718" w:type="dxa"/>
            <w:tcBorders>
              <w:top w:val="nil"/>
              <w:left w:val="single" w:color="auto" w:sz="4" w:space="0"/>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5</w:t>
            </w:r>
          </w:p>
        </w:tc>
        <w:tc>
          <w:tcPr>
            <w:tcW w:w="1968"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职工安全</w:t>
            </w:r>
          </w:p>
        </w:tc>
        <w:tc>
          <w:tcPr>
            <w:tcW w:w="6952" w:type="dxa"/>
            <w:tcBorders>
              <w:top w:val="nil"/>
              <w:left w:val="nil"/>
              <w:bottom w:val="single" w:color="auto" w:sz="4" w:space="0"/>
              <w:right w:val="single" w:color="auto" w:sz="4" w:space="0"/>
            </w:tcBorders>
            <w:noWrap w:val="0"/>
            <w:vAlign w:val="center"/>
          </w:tcPr>
          <w:p>
            <w:pPr>
              <w:spacing w:line="340" w:lineRule="exact"/>
              <w:rPr>
                <w:rFonts w:ascii="仿宋_GB2312" w:hAnsi="宋体" w:eastAsia="仿宋_GB2312" w:cs="宋体"/>
                <w:kern w:val="0"/>
                <w:sz w:val="24"/>
              </w:rPr>
            </w:pPr>
            <w:r>
              <w:rPr>
                <w:rFonts w:hint="eastAsia" w:ascii="仿宋_GB2312" w:hAnsi="宋体" w:eastAsia="仿宋_GB2312" w:cs="宋体"/>
                <w:kern w:val="0"/>
                <w:sz w:val="24"/>
              </w:rPr>
              <w:t>利用宣传、检查、巡查等措施，维护公寓安全稳定秩序，确保职工安全入住。</w:t>
            </w:r>
          </w:p>
        </w:tc>
        <w:tc>
          <w:tcPr>
            <w:tcW w:w="1422" w:type="dxa"/>
            <w:tcBorders>
              <w:top w:val="nil"/>
              <w:left w:val="nil"/>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20</w:t>
            </w:r>
          </w:p>
        </w:tc>
        <w:tc>
          <w:tcPr>
            <w:tcW w:w="790" w:type="dxa"/>
            <w:tcBorders>
              <w:top w:val="nil"/>
              <w:left w:val="nil"/>
              <w:bottom w:val="single" w:color="auto" w:sz="4" w:space="0"/>
              <w:right w:val="single" w:color="auto" w:sz="4" w:space="0"/>
            </w:tcBorders>
            <w:noWrap/>
            <w:vAlign w:val="center"/>
          </w:tcPr>
          <w:p>
            <w:pPr>
              <w:spacing w:line="34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20</w:t>
            </w:r>
          </w:p>
        </w:tc>
        <w:tc>
          <w:tcPr>
            <w:tcW w:w="1106" w:type="dxa"/>
            <w:tcBorders>
              <w:top w:val="nil"/>
              <w:left w:val="nil"/>
              <w:bottom w:val="single" w:color="auto" w:sz="4" w:space="0"/>
              <w:right w:val="single" w:color="auto" w:sz="4" w:space="0"/>
            </w:tcBorders>
            <w:noWrap/>
            <w:vAlign w:val="center"/>
          </w:tcPr>
          <w:p>
            <w:pPr>
              <w:spacing w:line="34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40" w:lineRule="exact"/>
              <w:jc w:val="left"/>
              <w:rPr>
                <w:rFonts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582" w:hRule="atLeast"/>
        </w:trPr>
        <w:tc>
          <w:tcPr>
            <w:tcW w:w="9638" w:type="dxa"/>
            <w:gridSpan w:val="3"/>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合计</w:t>
            </w:r>
          </w:p>
        </w:tc>
        <w:tc>
          <w:tcPr>
            <w:tcW w:w="1422" w:type="dxa"/>
            <w:tcBorders>
              <w:top w:val="nil"/>
              <w:left w:val="nil"/>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100</w:t>
            </w:r>
          </w:p>
        </w:tc>
        <w:tc>
          <w:tcPr>
            <w:tcW w:w="790" w:type="dxa"/>
            <w:tcBorders>
              <w:top w:val="nil"/>
              <w:left w:val="nil"/>
              <w:bottom w:val="single" w:color="auto" w:sz="4" w:space="0"/>
              <w:right w:val="single" w:color="auto" w:sz="4" w:space="0"/>
            </w:tcBorders>
            <w:noWrap/>
            <w:vAlign w:val="center"/>
          </w:tcPr>
          <w:p>
            <w:pPr>
              <w:spacing w:line="34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40" w:lineRule="exact"/>
              <w:jc w:val="center"/>
              <w:rPr>
                <w:rFonts w:ascii="仿宋_GB2312" w:hAnsi="宋体" w:cs="宋体"/>
                <w:kern w:val="0"/>
                <w:sz w:val="24"/>
              </w:rPr>
            </w:pPr>
            <w:r>
              <w:rPr>
                <w:rFonts w:hint="eastAsia" w:ascii="仿宋_GB2312" w:hAnsi="宋体" w:cs="宋体"/>
                <w:kern w:val="0"/>
                <w:sz w:val="24"/>
              </w:rPr>
              <w:t>100</w:t>
            </w:r>
          </w:p>
        </w:tc>
        <w:tc>
          <w:tcPr>
            <w:tcW w:w="1106" w:type="dxa"/>
            <w:tcBorders>
              <w:top w:val="nil"/>
              <w:left w:val="nil"/>
              <w:bottom w:val="single" w:color="auto" w:sz="4" w:space="0"/>
              <w:right w:val="single" w:color="auto" w:sz="4" w:space="0"/>
            </w:tcBorders>
            <w:noWrap/>
            <w:vAlign w:val="center"/>
          </w:tcPr>
          <w:p>
            <w:pPr>
              <w:spacing w:line="34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40" w:lineRule="exact"/>
              <w:jc w:val="left"/>
              <w:rPr>
                <w:rFonts w:ascii="仿宋_GB2312" w:hAnsi="宋体" w:cs="宋体"/>
                <w:kern w:val="0"/>
                <w:sz w:val="24"/>
              </w:rPr>
            </w:pPr>
            <w:r>
              <w:rPr>
                <w:rFonts w:hint="eastAsia" w:ascii="仿宋_GB2312" w:hAnsi="宋体" w:cs="宋体"/>
                <w:kern w:val="0"/>
                <w:sz w:val="24"/>
              </w:rPr>
              <w:t>　</w:t>
            </w:r>
          </w:p>
        </w:tc>
      </w:tr>
    </w:tbl>
    <w:p>
      <w:pPr>
        <w:spacing w:line="520" w:lineRule="exact"/>
        <w:ind w:right="-57" w:rightChars="-27" w:firstLine="3452" w:firstLineChars="1644"/>
        <w:rPr>
          <w:rFonts w:ascii="仿宋_GB2312"/>
          <w:szCs w:val="32"/>
        </w:rPr>
        <w:sectPr>
          <w:pgSz w:w="16838" w:h="11906" w:orient="landscape"/>
          <w:pgMar w:top="1588" w:right="2098" w:bottom="1474" w:left="1928" w:header="851" w:footer="992" w:gutter="0"/>
          <w:pgNumType w:chapStyle="1" w:chapSep="emDash"/>
          <w:cols w:space="720" w:num="1"/>
          <w:docGrid w:type="lines" w:linePitch="582" w:charSpace="-849"/>
        </w:sectPr>
      </w:pPr>
    </w:p>
    <w:p>
      <w:pPr>
        <w:spacing w:line="560" w:lineRule="exact"/>
        <w:ind w:right="-57" w:rightChars="-27"/>
        <w:rPr>
          <w:rFonts w:ascii="黑体" w:eastAsia="黑体" w:cs="黑体"/>
          <w:sz w:val="32"/>
          <w:szCs w:val="32"/>
        </w:rPr>
      </w:pPr>
      <w:r>
        <w:rPr>
          <w:rFonts w:hint="eastAsia" w:ascii="黑体" w:eastAsia="黑体"/>
          <w:sz w:val="32"/>
          <w:szCs w:val="32"/>
        </w:rPr>
        <w:t>附件3</w:t>
      </w:r>
    </w:p>
    <w:p>
      <w:pPr>
        <w:spacing w:line="560" w:lineRule="exact"/>
        <w:ind w:right="-57" w:rightChars="-27"/>
        <w:rPr>
          <w:rFonts w:ascii="黑体" w:eastAsia="黑体" w:cs="黑体"/>
        </w:rPr>
      </w:pPr>
    </w:p>
    <w:p>
      <w:pPr>
        <w:spacing w:line="64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天津港保税区、天津空港经济区</w:t>
      </w:r>
    </w:p>
    <w:p>
      <w:pPr>
        <w:spacing w:line="64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职工公寓考评标准</w:t>
      </w:r>
    </w:p>
    <w:p>
      <w:pPr>
        <w:spacing w:line="560" w:lineRule="exact"/>
        <w:jc w:val="center"/>
        <w:rPr>
          <w:rFonts w:ascii="仿宋_GB2312" w:hAnsi="华文中宋" w:eastAsia="仿宋_GB2312" w:cs="宋体"/>
          <w:kern w:val="0"/>
          <w:sz w:val="32"/>
          <w:szCs w:val="32"/>
        </w:rPr>
      </w:pPr>
      <w:r>
        <w:rPr>
          <w:rFonts w:hint="eastAsia" w:ascii="仿宋_GB2312" w:hAnsi="华文中宋" w:eastAsia="仿宋_GB2312" w:cs="宋体"/>
          <w:kern w:val="0"/>
          <w:sz w:val="32"/>
          <w:szCs w:val="32"/>
        </w:rPr>
        <w:t>（应急救援支队考评项目）</w:t>
      </w:r>
    </w:p>
    <w:p>
      <w:pPr>
        <w:spacing w:line="560" w:lineRule="exact"/>
        <w:ind w:firstLine="420" w:firstLineChars="200"/>
      </w:pPr>
    </w:p>
    <w:p>
      <w:pPr>
        <w:spacing w:line="600" w:lineRule="exact"/>
        <w:ind w:firstLine="643" w:firstLineChars="200"/>
        <w:rPr>
          <w:rFonts w:ascii="黑体" w:hAnsi="黑体" w:eastAsia="黑体"/>
          <w:b/>
          <w:bCs/>
          <w:sz w:val="32"/>
          <w:szCs w:val="32"/>
        </w:rPr>
      </w:pPr>
      <w:r>
        <w:rPr>
          <w:rFonts w:hint="eastAsia" w:ascii="黑体" w:hAnsi="黑体" w:eastAsia="黑体" w:cs="黑体"/>
          <w:b/>
          <w:bCs/>
          <w:sz w:val="32"/>
          <w:szCs w:val="32"/>
        </w:rPr>
        <w:t>一、消防许可及验收备案</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（一）定期接收并通过消防验收，进行消防竣工验收备案；</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（二）建筑物进行消防竣工验收备案后抽查合格，建筑物使用情况与消防验收或者进行消防竣工验收备案时确定的使用性质相符；</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（三）公众聚集场所经消防安全检查合格，场所使用与消防验收或者进行消防竣工验收备案时确定的使用性质相符。</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二、消防安全管理</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（一）建立健全消防安全制度、管理组织机构；  </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（二）灭火、应急疏散预案及演练记录；</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（三）防火检查、巡查记录；</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（四）消防设施、器材、消防安全标志定期检验、维修记录；</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（五）建筑消防设施每年检测记录，并建立维保制度；</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完善户籍化管理工作。系统录入包括一是每日防火巡查工作并填写每日防火巡查记录和消防控制室每日值班工作并填写每日值班记录；二是每月工作消防设施维护保养报告备案、消防安全自我评估的报告备案、防火检查及其他日常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（七）制定员工消防安全培训计划，组织培训并做好记录，设有固定消防宣传阵地；建立一支志愿消防队伍；</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（八）消防安全重点单位消防安全管理责任人确定，职责明确；</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（九）消防档案建设完备；四个能力建设达标；</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（十）消防安全重点单位确定消防重点部位，落实专人负责；</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（十一）落实网格化管理工作责任。建立网格化管理联席会议制度；建立网格化管理信息联动机制；建立网格化管理快速联动机制；建立网格化管理信息数量与质量考核评比机制。</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三、微型消防站建设</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（一）人员配备不少于6人；</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（二）设有站长、副站长、消防员、控制室值班员等岗位，配有消防车辆的微型消防站应设驾驶员岗位；</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（三）站长应由单位消防安全管理人兼任，消防员负责防火巡查和初期火灾扑救工作；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（四）微型消防站应设置人员值守、器材存放等用房，可与消防控制室合用；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（五）微型消防站应根据扑救初期火灾需要，配备一定数量的灭火器、水枪、水带等灭火器材、外线电话、手持对讲机等通讯器材、消防头盔、灭火防护服、防护靴、破拆工具等器材。</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四、建筑、电气防火</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（一）消防车通道保持畅通；禁止占用防火间距；防火分区抽查部位明确；</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（二）人员密集场所装修装饰材料抽查部位符合标准；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（三）生产、储存、经营易燃易爆危险品及其他物品的场所与居住场所设置在同一建筑物内，必须符合标准；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（四）电器产品的线路及燃气用具的管路定期维护、检测并有详细记录。</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五、安全疏散</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（一）疏散通道、安全出口畅通；</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（二）应急照明、疏散指示标志、应急广播完好有效。</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六、消防控制室</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（一）值班操作人员持证上岗；</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（二）自动消防设备运行正常；</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（三）消防联动控制设施运行情况正常；</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（四）消防电话抽查部位通话正常。</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七、消防设施器材</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（一）探测器抽查完好有效；</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（二）手动报警器抽查部位有效；</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（三）控制设备抽查部位信号反馈正常；</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（四）湿式报警阀主件完整、阀门开启正常；</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（五）末端试水装置水压流量正常、信号反馈正常；</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（六）排烟系统开启正常、信号反馈正常；</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（七）消防给水设施完备：消防水池储水正常；消防水箱设置符合规定，出水阀门开启正常；</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（八）消防水泵运行正常；室内、外消防栓完好有效；水泵接合器标识类型清晰，供水范围正常；</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（九）防排烟设施正常运转：风机运行正常，送风口、排烟口开启正常；控制室信号反馈正常；</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（十）防火卷帘起降正常，控制室信号反馈正常；防火门、卷帘启闭正常，控制室信号反馈正常；</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（十一）灭火器配置符合标准，压力正常。</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八、消防宣传“七进”工作</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（一）将消防安全宣传教育工作纳入企业工作责任考评内容，明确工作计划、目标和责任人，完善基础档案； </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（二）将消防安全内容纳入到企业文化教育中；</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（三）设置固定消防安全宣传板、标语、建立相对固定的消防宣传教育活动场所，配备消防宣传影视、图书资料和消防演示器材，经常性的利用广播、电子屏幕等开展三提示工作；</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（四）每半年开展一次员工消防安全教育培训，员工新上岗、转岗前必须经过岗前消防安全培训，使所有员工懂得本单位、本岗位的火灾危险性和防火措施，会报警、会扑救初期火灾、会疏散逃生自救；</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（五）制定完善灭火应急预案，消防安全重点单位每半年、其他单位每年开展一次灭火疏散逃生演练；</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（六）加强消防设施器材保养维护，并制作醒目的标识，配有操作使用方法文字或图例说明；</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（七）企事业单位在“119”消防日、安全月、安全周等重点时段，悬挂横幅标语、张贴宣传挂图、发放宣传资料，组织开展消防知识竞赛、消防运动会、演讲会、消防知识讲座等多形式的宣传活动。</w:t>
      </w:r>
    </w:p>
    <w:p>
      <w:pPr>
        <w:spacing w:line="520" w:lineRule="exact"/>
        <w:ind w:right="-57" w:rightChars="-27"/>
        <w:rPr>
          <w:rFonts w:ascii="仿宋_GB2312"/>
          <w:szCs w:val="32"/>
        </w:rPr>
        <w:sectPr>
          <w:footerReference r:id="rId12" w:type="default"/>
          <w:footerReference r:id="rId13" w:type="even"/>
          <w:pgSz w:w="11906" w:h="16838"/>
          <w:pgMar w:top="2098" w:right="1474" w:bottom="1928" w:left="1588" w:header="851" w:footer="992" w:gutter="0"/>
          <w:pgNumType w:chapStyle="1" w:chapSep="emDash"/>
          <w:cols w:space="720" w:num="1"/>
          <w:docGrid w:type="lines" w:linePitch="582" w:charSpace="-849"/>
        </w:sectPr>
      </w:pPr>
    </w:p>
    <w:p>
      <w:pPr>
        <w:spacing w:line="64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天津港保税区、天津空港经济区职工公寓考评标准</w:t>
      </w:r>
    </w:p>
    <w:p>
      <w:pPr>
        <w:spacing w:line="560" w:lineRule="exact"/>
        <w:jc w:val="center"/>
        <w:rPr>
          <w:rFonts w:ascii="仿宋_GB2312" w:eastAsia="仿宋_GB2312"/>
          <w:sz w:val="32"/>
          <w:szCs w:val="32"/>
        </w:rPr>
      </w:pPr>
      <w:r>
        <w:rPr>
          <w:rFonts w:hint="eastAsia" w:ascii="仿宋_GB2312" w:eastAsia="仿宋_GB2312" w:cs="方正小标宋简体"/>
          <w:sz w:val="32"/>
          <w:szCs w:val="32"/>
        </w:rPr>
        <w:t>（应急救援支队考评项目）</w:t>
      </w:r>
    </w:p>
    <w:tbl>
      <w:tblPr>
        <w:tblStyle w:val="18"/>
        <w:tblW w:w="0" w:type="auto"/>
        <w:tblInd w:w="-1064" w:type="dxa"/>
        <w:tblLayout w:type="fixed"/>
        <w:tblCellMar>
          <w:top w:w="0" w:type="dxa"/>
          <w:left w:w="108" w:type="dxa"/>
          <w:bottom w:w="0" w:type="dxa"/>
          <w:right w:w="108" w:type="dxa"/>
        </w:tblCellMar>
      </w:tblPr>
      <w:tblGrid>
        <w:gridCol w:w="496"/>
        <w:gridCol w:w="3476"/>
        <w:gridCol w:w="5372"/>
        <w:gridCol w:w="1400"/>
        <w:gridCol w:w="918"/>
        <w:gridCol w:w="1417"/>
        <w:gridCol w:w="1134"/>
        <w:gridCol w:w="1560"/>
      </w:tblGrid>
      <w:tr>
        <w:tblPrEx>
          <w:tblCellMar>
            <w:top w:w="0" w:type="dxa"/>
            <w:left w:w="108" w:type="dxa"/>
            <w:bottom w:w="0" w:type="dxa"/>
            <w:right w:w="108" w:type="dxa"/>
          </w:tblCellMar>
        </w:tblPrEx>
        <w:trPr>
          <w:trHeight w:val="799" w:hRule="atLeast"/>
        </w:trPr>
        <w:tc>
          <w:tcPr>
            <w:tcW w:w="4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黑体" w:hAnsi="宋体" w:eastAsia="黑体"/>
                <w:kern w:val="0"/>
                <w:sz w:val="28"/>
                <w:szCs w:val="28"/>
              </w:rPr>
            </w:pPr>
            <w:r>
              <w:rPr>
                <w:rFonts w:hint="eastAsia" w:ascii="黑体" w:hAnsi="宋体" w:eastAsia="黑体" w:cs="黑体"/>
                <w:kern w:val="0"/>
                <w:sz w:val="28"/>
                <w:szCs w:val="28"/>
              </w:rPr>
              <w:t>序号</w:t>
            </w:r>
          </w:p>
        </w:tc>
        <w:tc>
          <w:tcPr>
            <w:tcW w:w="3476" w:type="dxa"/>
            <w:tcBorders>
              <w:top w:val="single" w:color="auto" w:sz="4" w:space="0"/>
              <w:left w:val="nil"/>
              <w:bottom w:val="single" w:color="auto" w:sz="4" w:space="0"/>
              <w:right w:val="single" w:color="000000" w:sz="4" w:space="0"/>
            </w:tcBorders>
            <w:noWrap/>
            <w:vAlign w:val="center"/>
          </w:tcPr>
          <w:p>
            <w:pPr>
              <w:spacing w:line="320" w:lineRule="exact"/>
              <w:jc w:val="center"/>
              <w:rPr>
                <w:rFonts w:ascii="黑体" w:hAnsi="宋体" w:eastAsia="黑体"/>
                <w:kern w:val="0"/>
                <w:sz w:val="28"/>
                <w:szCs w:val="28"/>
              </w:rPr>
            </w:pPr>
            <w:r>
              <w:rPr>
                <w:rFonts w:hint="eastAsia" w:ascii="黑体" w:hAnsi="宋体" w:eastAsia="黑体" w:cs="黑体"/>
                <w:kern w:val="0"/>
                <w:sz w:val="28"/>
                <w:szCs w:val="28"/>
              </w:rPr>
              <w:t>考核标准</w:t>
            </w:r>
          </w:p>
        </w:tc>
        <w:tc>
          <w:tcPr>
            <w:tcW w:w="5372"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kern w:val="0"/>
                <w:sz w:val="28"/>
                <w:szCs w:val="28"/>
              </w:rPr>
            </w:pPr>
            <w:r>
              <w:rPr>
                <w:rFonts w:hint="eastAsia" w:ascii="黑体" w:hAnsi="宋体" w:eastAsia="黑体" w:cs="黑体"/>
                <w:kern w:val="0"/>
                <w:sz w:val="28"/>
                <w:szCs w:val="28"/>
              </w:rPr>
              <w:t>考核要求</w:t>
            </w:r>
          </w:p>
        </w:tc>
        <w:tc>
          <w:tcPr>
            <w:tcW w:w="1400"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kern w:val="0"/>
                <w:sz w:val="28"/>
                <w:szCs w:val="28"/>
              </w:rPr>
            </w:pPr>
            <w:r>
              <w:rPr>
                <w:rFonts w:hint="eastAsia" w:ascii="黑体" w:hAnsi="宋体" w:eastAsia="黑体" w:cs="黑体"/>
                <w:kern w:val="0"/>
                <w:sz w:val="28"/>
                <w:szCs w:val="28"/>
              </w:rPr>
              <w:t>公寓</w:t>
            </w:r>
          </w:p>
          <w:p>
            <w:pPr>
              <w:spacing w:line="320" w:lineRule="exact"/>
              <w:jc w:val="center"/>
              <w:rPr>
                <w:rFonts w:ascii="黑体" w:hAnsi="宋体" w:eastAsia="黑体"/>
                <w:kern w:val="0"/>
                <w:sz w:val="28"/>
                <w:szCs w:val="28"/>
              </w:rPr>
            </w:pPr>
            <w:r>
              <w:rPr>
                <w:rFonts w:hint="eastAsia" w:ascii="黑体" w:hAnsi="宋体" w:eastAsia="黑体" w:cs="黑体"/>
                <w:kern w:val="0"/>
                <w:sz w:val="28"/>
                <w:szCs w:val="28"/>
              </w:rPr>
              <w:t>产权方</w:t>
            </w:r>
          </w:p>
          <w:p>
            <w:pPr>
              <w:spacing w:line="320" w:lineRule="exact"/>
              <w:jc w:val="center"/>
              <w:rPr>
                <w:rFonts w:ascii="黑体" w:hAnsi="宋体" w:eastAsia="黑体"/>
                <w:kern w:val="0"/>
                <w:sz w:val="28"/>
                <w:szCs w:val="28"/>
              </w:rPr>
            </w:pPr>
            <w:r>
              <w:rPr>
                <w:rFonts w:hint="eastAsia" w:ascii="黑体" w:hAnsi="宋体" w:eastAsia="黑体" w:cs="黑体"/>
                <w:kern w:val="0"/>
                <w:sz w:val="28"/>
                <w:szCs w:val="28"/>
              </w:rPr>
              <w:t>（</w:t>
            </w:r>
            <w:r>
              <w:rPr>
                <w:rFonts w:ascii="黑体" w:hAnsi="宋体" w:eastAsia="黑体" w:cs="黑体"/>
                <w:kern w:val="0"/>
                <w:sz w:val="28"/>
                <w:szCs w:val="28"/>
              </w:rPr>
              <w:t>100</w:t>
            </w:r>
            <w:r>
              <w:rPr>
                <w:rFonts w:hint="eastAsia" w:ascii="黑体" w:hAnsi="宋体" w:eastAsia="黑体" w:cs="黑体"/>
                <w:kern w:val="0"/>
                <w:sz w:val="28"/>
                <w:szCs w:val="28"/>
              </w:rPr>
              <w:t>分）</w:t>
            </w:r>
          </w:p>
        </w:tc>
        <w:tc>
          <w:tcPr>
            <w:tcW w:w="918"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kern w:val="0"/>
                <w:sz w:val="28"/>
                <w:szCs w:val="28"/>
              </w:rPr>
            </w:pPr>
            <w:r>
              <w:rPr>
                <w:rFonts w:hint="eastAsia" w:ascii="黑体" w:hAnsi="宋体" w:eastAsia="黑体" w:cs="黑体"/>
                <w:kern w:val="0"/>
                <w:sz w:val="28"/>
                <w:szCs w:val="28"/>
              </w:rPr>
              <w:t>评分</w:t>
            </w:r>
          </w:p>
        </w:tc>
        <w:tc>
          <w:tcPr>
            <w:tcW w:w="1417"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kern w:val="0"/>
                <w:sz w:val="28"/>
                <w:szCs w:val="28"/>
              </w:rPr>
            </w:pPr>
            <w:r>
              <w:rPr>
                <w:rFonts w:hint="eastAsia" w:ascii="黑体" w:hAnsi="宋体" w:eastAsia="黑体" w:cs="黑体"/>
                <w:kern w:val="0"/>
                <w:sz w:val="28"/>
                <w:szCs w:val="28"/>
              </w:rPr>
              <w:t>物业服务企业</w:t>
            </w:r>
          </w:p>
          <w:p>
            <w:pPr>
              <w:spacing w:line="320" w:lineRule="exact"/>
              <w:jc w:val="center"/>
              <w:rPr>
                <w:rFonts w:ascii="黑体" w:hAnsi="宋体" w:eastAsia="黑体"/>
                <w:kern w:val="0"/>
                <w:sz w:val="28"/>
                <w:szCs w:val="28"/>
              </w:rPr>
            </w:pPr>
            <w:r>
              <w:rPr>
                <w:rFonts w:hint="eastAsia" w:ascii="黑体" w:hAnsi="宋体" w:eastAsia="黑体" w:cs="黑体"/>
                <w:kern w:val="0"/>
                <w:sz w:val="28"/>
                <w:szCs w:val="28"/>
              </w:rPr>
              <w:t>（</w:t>
            </w:r>
            <w:r>
              <w:rPr>
                <w:rFonts w:ascii="黑体" w:hAnsi="宋体" w:eastAsia="黑体" w:cs="黑体"/>
                <w:kern w:val="0"/>
                <w:sz w:val="28"/>
                <w:szCs w:val="28"/>
              </w:rPr>
              <w:t>100</w:t>
            </w:r>
            <w:r>
              <w:rPr>
                <w:rFonts w:hint="eastAsia" w:ascii="黑体" w:hAnsi="宋体" w:eastAsia="黑体" w:cs="黑体"/>
                <w:kern w:val="0"/>
                <w:sz w:val="28"/>
                <w:szCs w:val="28"/>
              </w:rPr>
              <w:t>分）</w:t>
            </w:r>
          </w:p>
        </w:tc>
        <w:tc>
          <w:tcPr>
            <w:tcW w:w="1134"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kern w:val="0"/>
                <w:sz w:val="28"/>
                <w:szCs w:val="28"/>
              </w:rPr>
            </w:pPr>
            <w:r>
              <w:rPr>
                <w:rFonts w:hint="eastAsia" w:ascii="黑体" w:hAnsi="宋体" w:eastAsia="黑体" w:cs="黑体"/>
                <w:kern w:val="0"/>
                <w:sz w:val="28"/>
                <w:szCs w:val="28"/>
              </w:rPr>
              <w:t>评分</w:t>
            </w:r>
          </w:p>
        </w:tc>
        <w:tc>
          <w:tcPr>
            <w:tcW w:w="1560"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kern w:val="0"/>
                <w:sz w:val="28"/>
                <w:szCs w:val="28"/>
              </w:rPr>
            </w:pPr>
            <w:r>
              <w:rPr>
                <w:rFonts w:hint="eastAsia" w:ascii="黑体" w:hAnsi="宋体" w:eastAsia="黑体" w:cs="黑体"/>
                <w:kern w:val="0"/>
                <w:sz w:val="28"/>
                <w:szCs w:val="28"/>
              </w:rPr>
              <w:t>考评建议</w:t>
            </w:r>
          </w:p>
        </w:tc>
      </w:tr>
      <w:tr>
        <w:tblPrEx>
          <w:tblCellMar>
            <w:top w:w="0" w:type="dxa"/>
            <w:left w:w="108" w:type="dxa"/>
            <w:bottom w:w="0" w:type="dxa"/>
            <w:right w:w="108" w:type="dxa"/>
          </w:tblCellMar>
        </w:tblPrEx>
        <w:trPr>
          <w:trHeight w:val="708" w:hRule="atLeast"/>
        </w:trPr>
        <w:tc>
          <w:tcPr>
            <w:tcW w:w="496" w:type="dxa"/>
            <w:tcBorders>
              <w:top w:val="nil"/>
              <w:left w:val="single" w:color="auto" w:sz="4" w:space="0"/>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ascii="仿宋_GB2312" w:hAnsi="宋体" w:cs="仿宋_GB2312"/>
                <w:kern w:val="0"/>
                <w:sz w:val="24"/>
              </w:rPr>
              <w:t>1</w:t>
            </w:r>
          </w:p>
        </w:tc>
        <w:tc>
          <w:tcPr>
            <w:tcW w:w="3476" w:type="dxa"/>
            <w:tcBorders>
              <w:top w:val="single" w:color="auto" w:sz="4" w:space="0"/>
              <w:left w:val="nil"/>
              <w:bottom w:val="single" w:color="auto" w:sz="4" w:space="0"/>
              <w:right w:val="single" w:color="000000" w:sz="4" w:space="0"/>
            </w:tcBorders>
            <w:noWrap w:val="0"/>
            <w:vAlign w:val="center"/>
          </w:tcPr>
          <w:p>
            <w:pPr>
              <w:spacing w:line="320" w:lineRule="exact"/>
              <w:jc w:val="center"/>
              <w:rPr>
                <w:rFonts w:ascii="仿宋_GB2312" w:hAnsi="宋体" w:eastAsia="仿宋_GB2312"/>
                <w:kern w:val="0"/>
                <w:sz w:val="24"/>
              </w:rPr>
            </w:pPr>
            <w:r>
              <w:rPr>
                <w:rFonts w:hint="eastAsia" w:ascii="仿宋_GB2312" w:hAnsi="宋体" w:eastAsia="仿宋_GB2312" w:cs="仿宋_GB2312"/>
                <w:kern w:val="0"/>
                <w:sz w:val="24"/>
              </w:rPr>
              <w:t>消防许可及验收备案</w:t>
            </w:r>
          </w:p>
        </w:tc>
        <w:tc>
          <w:tcPr>
            <w:tcW w:w="5372" w:type="dxa"/>
            <w:tcBorders>
              <w:top w:val="nil"/>
              <w:left w:val="nil"/>
              <w:bottom w:val="single" w:color="auto" w:sz="4" w:space="0"/>
              <w:right w:val="nil"/>
            </w:tcBorders>
            <w:noWrap w:val="0"/>
            <w:vAlign w:val="center"/>
          </w:tcPr>
          <w:p>
            <w:pPr>
              <w:spacing w:line="320" w:lineRule="exact"/>
              <w:jc w:val="left"/>
              <w:rPr>
                <w:rFonts w:ascii="仿宋_GB2312" w:hAnsi="宋体" w:eastAsia="仿宋_GB2312"/>
                <w:kern w:val="0"/>
                <w:szCs w:val="21"/>
              </w:rPr>
            </w:pPr>
            <w:r>
              <w:rPr>
                <w:rFonts w:hint="eastAsia" w:ascii="仿宋_GB2312" w:hAnsi="宋体" w:eastAsia="仿宋_GB2312" w:cs="仿宋_GB2312"/>
                <w:kern w:val="0"/>
                <w:szCs w:val="21"/>
              </w:rPr>
              <w:t>建筑物及公众聚集场所通过消防验收（有文号），完成消防竣工验收备案（有备案号），备案后抽查合格。</w:t>
            </w:r>
          </w:p>
        </w:tc>
        <w:tc>
          <w:tcPr>
            <w:tcW w:w="1400" w:type="dxa"/>
            <w:tcBorders>
              <w:top w:val="nil"/>
              <w:left w:val="single" w:color="auto" w:sz="4" w:space="0"/>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ascii="仿宋_GB2312" w:hAnsi="宋体" w:cs="仿宋_GB2312"/>
                <w:kern w:val="0"/>
                <w:sz w:val="24"/>
              </w:rPr>
              <w:t>1</w:t>
            </w:r>
            <w:r>
              <w:rPr>
                <w:rFonts w:hint="eastAsia" w:ascii="仿宋_GB2312" w:hAnsi="宋体" w:cs="仿宋_GB2312"/>
                <w:kern w:val="0"/>
                <w:sz w:val="24"/>
              </w:rPr>
              <w:t>0</w:t>
            </w:r>
          </w:p>
        </w:tc>
        <w:tc>
          <w:tcPr>
            <w:tcW w:w="918"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tc>
        <w:tc>
          <w:tcPr>
            <w:tcW w:w="1417" w:type="dxa"/>
            <w:tcBorders>
              <w:top w:val="nil"/>
              <w:left w:val="nil"/>
              <w:bottom w:val="single" w:color="auto" w:sz="4" w:space="0"/>
              <w:right w:val="single" w:color="auto" w:sz="4" w:space="0"/>
            </w:tcBorders>
            <w:noWrap/>
            <w:vAlign w:val="center"/>
          </w:tcPr>
          <w:p>
            <w:pPr>
              <w:spacing w:line="320" w:lineRule="exact"/>
              <w:jc w:val="center"/>
              <w:rPr>
                <w:rFonts w:ascii="仿宋_GB2312" w:hAnsi="宋体"/>
                <w:kern w:val="0"/>
                <w:sz w:val="24"/>
              </w:rPr>
            </w:pPr>
            <w:r>
              <w:rPr>
                <w:rFonts w:hint="eastAsia" w:ascii="仿宋_GB2312" w:hAnsi="宋体" w:cs="仿宋_GB2312"/>
                <w:kern w:val="0"/>
                <w:sz w:val="24"/>
              </w:rPr>
              <w:t>　</w:t>
            </w:r>
          </w:p>
        </w:tc>
        <w:tc>
          <w:tcPr>
            <w:tcW w:w="1134"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tc>
        <w:tc>
          <w:tcPr>
            <w:tcW w:w="1560"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tc>
      </w:tr>
      <w:tr>
        <w:tblPrEx>
          <w:tblCellMar>
            <w:top w:w="0" w:type="dxa"/>
            <w:left w:w="108" w:type="dxa"/>
            <w:bottom w:w="0" w:type="dxa"/>
            <w:right w:w="108" w:type="dxa"/>
          </w:tblCellMar>
        </w:tblPrEx>
        <w:trPr>
          <w:trHeight w:val="750" w:hRule="atLeast"/>
        </w:trPr>
        <w:tc>
          <w:tcPr>
            <w:tcW w:w="496" w:type="dxa"/>
            <w:tcBorders>
              <w:top w:val="nil"/>
              <w:left w:val="single" w:color="auto" w:sz="4" w:space="0"/>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ascii="仿宋_GB2312" w:hAnsi="宋体" w:cs="仿宋_GB2312"/>
                <w:kern w:val="0"/>
                <w:sz w:val="24"/>
              </w:rPr>
              <w:t>2</w:t>
            </w:r>
          </w:p>
        </w:tc>
        <w:tc>
          <w:tcPr>
            <w:tcW w:w="3476" w:type="dxa"/>
            <w:tcBorders>
              <w:top w:val="single" w:color="auto" w:sz="4" w:space="0"/>
              <w:left w:val="nil"/>
              <w:bottom w:val="single" w:color="auto" w:sz="4" w:space="0"/>
              <w:right w:val="single" w:color="000000" w:sz="4" w:space="0"/>
            </w:tcBorders>
            <w:noWrap/>
            <w:vAlign w:val="center"/>
          </w:tcPr>
          <w:p>
            <w:pPr>
              <w:spacing w:line="320" w:lineRule="exact"/>
              <w:jc w:val="center"/>
              <w:rPr>
                <w:rFonts w:ascii="仿宋_GB2312" w:hAnsi="宋体" w:eastAsia="仿宋_GB2312"/>
                <w:kern w:val="0"/>
                <w:sz w:val="24"/>
              </w:rPr>
            </w:pPr>
            <w:r>
              <w:rPr>
                <w:rFonts w:hint="eastAsia" w:ascii="仿宋_GB2312" w:hAnsi="宋体" w:eastAsia="仿宋_GB2312" w:cs="仿宋_GB2312"/>
                <w:kern w:val="0"/>
                <w:sz w:val="24"/>
              </w:rPr>
              <w:t>消防安全管理</w:t>
            </w:r>
          </w:p>
        </w:tc>
        <w:tc>
          <w:tcPr>
            <w:tcW w:w="5372" w:type="dxa"/>
            <w:tcBorders>
              <w:top w:val="nil"/>
              <w:left w:val="nil"/>
              <w:bottom w:val="single" w:color="auto" w:sz="4" w:space="0"/>
              <w:right w:val="nil"/>
            </w:tcBorders>
            <w:noWrap w:val="0"/>
            <w:vAlign w:val="center"/>
          </w:tcPr>
          <w:p>
            <w:pPr>
              <w:spacing w:line="320" w:lineRule="exact"/>
              <w:jc w:val="left"/>
              <w:rPr>
                <w:rFonts w:ascii="仿宋_GB2312" w:hAnsi="宋体" w:eastAsia="仿宋_GB2312"/>
                <w:kern w:val="0"/>
                <w:szCs w:val="21"/>
              </w:rPr>
            </w:pPr>
            <w:r>
              <w:rPr>
                <w:rFonts w:hint="eastAsia" w:ascii="仿宋_GB2312" w:hAnsi="宋体" w:eastAsia="仿宋_GB2312" w:cs="仿宋_GB2312"/>
                <w:kern w:val="0"/>
                <w:szCs w:val="21"/>
              </w:rPr>
              <w:t>消防安全制度完备，以检查、巡查、演练、培训为主要手段，对消防重点部位“定点定职定责”，做到“预防为主，消防为辅”；消防户籍化录入情况；网格化管理工作。</w:t>
            </w:r>
          </w:p>
        </w:tc>
        <w:tc>
          <w:tcPr>
            <w:tcW w:w="1400" w:type="dxa"/>
            <w:tcBorders>
              <w:top w:val="nil"/>
              <w:left w:val="single" w:color="auto" w:sz="4" w:space="0"/>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ascii="仿宋_GB2312" w:hAnsi="宋体" w:cs="仿宋_GB2312"/>
                <w:kern w:val="0"/>
                <w:sz w:val="24"/>
              </w:rPr>
              <w:t>1</w:t>
            </w:r>
            <w:r>
              <w:rPr>
                <w:rFonts w:hint="eastAsia" w:ascii="仿宋_GB2312" w:hAnsi="宋体" w:cs="仿宋_GB2312"/>
                <w:kern w:val="0"/>
                <w:sz w:val="24"/>
              </w:rPr>
              <w:t>5</w:t>
            </w:r>
          </w:p>
        </w:tc>
        <w:tc>
          <w:tcPr>
            <w:tcW w:w="918" w:type="dxa"/>
            <w:tcBorders>
              <w:top w:val="nil"/>
              <w:left w:val="nil"/>
              <w:bottom w:val="single" w:color="auto" w:sz="4" w:space="0"/>
              <w:right w:val="single" w:color="auto" w:sz="4" w:space="0"/>
            </w:tcBorders>
            <w:noWrap/>
            <w:vAlign w:val="center"/>
          </w:tcPr>
          <w:p>
            <w:pPr>
              <w:spacing w:line="320" w:lineRule="exact"/>
              <w:jc w:val="center"/>
              <w:rPr>
                <w:rFonts w:ascii="仿宋_GB2312" w:hAnsi="宋体"/>
                <w:kern w:val="0"/>
                <w:sz w:val="24"/>
              </w:rPr>
            </w:pPr>
            <w:r>
              <w:rPr>
                <w:rFonts w:hint="eastAsia" w:ascii="仿宋_GB2312" w:hAnsi="宋体" w:cs="仿宋_GB2312"/>
                <w:kern w:val="0"/>
                <w:sz w:val="24"/>
              </w:rPr>
              <w:t>　</w:t>
            </w:r>
          </w:p>
        </w:tc>
        <w:tc>
          <w:tcPr>
            <w:tcW w:w="1417" w:type="dxa"/>
            <w:tcBorders>
              <w:top w:val="nil"/>
              <w:left w:val="nil"/>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hint="eastAsia" w:ascii="仿宋_GB2312" w:hAnsi="宋体" w:cs="仿宋_GB2312"/>
                <w:kern w:val="0"/>
                <w:sz w:val="24"/>
              </w:rPr>
              <w:t>15</w:t>
            </w:r>
          </w:p>
        </w:tc>
        <w:tc>
          <w:tcPr>
            <w:tcW w:w="1134" w:type="dxa"/>
            <w:tcBorders>
              <w:top w:val="nil"/>
              <w:left w:val="nil"/>
              <w:bottom w:val="single" w:color="auto" w:sz="4" w:space="0"/>
              <w:right w:val="single" w:color="auto" w:sz="4" w:space="0"/>
            </w:tcBorders>
            <w:noWrap/>
            <w:vAlign w:val="center"/>
          </w:tcPr>
          <w:p>
            <w:pPr>
              <w:spacing w:line="320" w:lineRule="exact"/>
              <w:jc w:val="center"/>
              <w:rPr>
                <w:rFonts w:ascii="仿宋_GB2312" w:hAnsi="宋体"/>
                <w:kern w:val="0"/>
                <w:sz w:val="24"/>
              </w:rPr>
            </w:pPr>
            <w:r>
              <w:rPr>
                <w:rFonts w:hint="eastAsia" w:ascii="仿宋_GB2312" w:hAnsi="宋体" w:cs="仿宋_GB2312"/>
                <w:kern w:val="0"/>
                <w:sz w:val="24"/>
              </w:rPr>
              <w:t>　</w:t>
            </w:r>
          </w:p>
        </w:tc>
        <w:tc>
          <w:tcPr>
            <w:tcW w:w="1560"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tc>
      </w:tr>
      <w:tr>
        <w:tblPrEx>
          <w:tblCellMar>
            <w:top w:w="0" w:type="dxa"/>
            <w:left w:w="108" w:type="dxa"/>
            <w:bottom w:w="0" w:type="dxa"/>
            <w:right w:w="108" w:type="dxa"/>
          </w:tblCellMar>
        </w:tblPrEx>
        <w:trPr>
          <w:trHeight w:val="366" w:hRule="atLeast"/>
        </w:trPr>
        <w:tc>
          <w:tcPr>
            <w:tcW w:w="496" w:type="dxa"/>
            <w:tcBorders>
              <w:top w:val="nil"/>
              <w:left w:val="single" w:color="auto" w:sz="4" w:space="0"/>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ascii="仿宋_GB2312" w:hAnsi="宋体" w:cs="仿宋_GB2312"/>
                <w:kern w:val="0"/>
                <w:sz w:val="24"/>
              </w:rPr>
              <w:t>3</w:t>
            </w:r>
          </w:p>
        </w:tc>
        <w:tc>
          <w:tcPr>
            <w:tcW w:w="3476" w:type="dxa"/>
            <w:tcBorders>
              <w:top w:val="single" w:color="auto" w:sz="4" w:space="0"/>
              <w:left w:val="nil"/>
              <w:bottom w:val="single" w:color="auto" w:sz="4" w:space="0"/>
              <w:right w:val="single" w:color="000000" w:sz="4" w:space="0"/>
            </w:tcBorders>
            <w:noWrap/>
            <w:vAlign w:val="center"/>
          </w:tcPr>
          <w:p>
            <w:pPr>
              <w:spacing w:line="320" w:lineRule="exact"/>
              <w:jc w:val="center"/>
              <w:rPr>
                <w:rFonts w:ascii="仿宋_GB2312" w:hAnsi="宋体" w:eastAsia="仿宋_GB2312"/>
                <w:kern w:val="0"/>
                <w:sz w:val="24"/>
              </w:rPr>
            </w:pPr>
            <w:r>
              <w:rPr>
                <w:rFonts w:hint="eastAsia" w:ascii="仿宋_GB2312" w:hAnsi="宋体" w:eastAsia="仿宋_GB2312" w:cs="仿宋_GB2312"/>
                <w:kern w:val="0"/>
                <w:sz w:val="24"/>
              </w:rPr>
              <w:t>建筑防火、电气防火</w:t>
            </w:r>
          </w:p>
        </w:tc>
        <w:tc>
          <w:tcPr>
            <w:tcW w:w="5372" w:type="dxa"/>
            <w:tcBorders>
              <w:top w:val="nil"/>
              <w:left w:val="nil"/>
              <w:bottom w:val="single" w:color="auto" w:sz="4" w:space="0"/>
              <w:right w:val="nil"/>
            </w:tcBorders>
            <w:noWrap w:val="0"/>
            <w:vAlign w:val="center"/>
          </w:tcPr>
          <w:p>
            <w:pPr>
              <w:spacing w:line="320" w:lineRule="exact"/>
              <w:jc w:val="left"/>
              <w:rPr>
                <w:rFonts w:ascii="仿宋_GB2312" w:hAnsi="宋体" w:eastAsia="仿宋_GB2312"/>
                <w:kern w:val="0"/>
                <w:szCs w:val="21"/>
              </w:rPr>
            </w:pPr>
            <w:r>
              <w:rPr>
                <w:rFonts w:hint="eastAsia" w:ascii="仿宋_GB2312" w:hAnsi="宋体" w:eastAsia="仿宋_GB2312" w:cs="仿宋_GB2312"/>
                <w:kern w:val="0"/>
                <w:szCs w:val="21"/>
              </w:rPr>
              <w:t>防火场所、区域、材料等符合标准；电器、燃气线路定期维护、检测。</w:t>
            </w:r>
          </w:p>
        </w:tc>
        <w:tc>
          <w:tcPr>
            <w:tcW w:w="1400" w:type="dxa"/>
            <w:tcBorders>
              <w:top w:val="nil"/>
              <w:left w:val="single" w:color="auto" w:sz="4" w:space="0"/>
              <w:bottom w:val="single" w:color="auto" w:sz="4" w:space="0"/>
              <w:right w:val="single" w:color="auto" w:sz="4" w:space="0"/>
            </w:tcBorders>
            <w:noWrap/>
            <w:vAlign w:val="center"/>
          </w:tcPr>
          <w:p>
            <w:pPr>
              <w:spacing w:line="320" w:lineRule="exact"/>
              <w:jc w:val="center"/>
              <w:rPr>
                <w:rFonts w:ascii="仿宋_GB2312" w:hAnsi="宋体"/>
                <w:kern w:val="0"/>
                <w:sz w:val="24"/>
              </w:rPr>
            </w:pPr>
            <w:r>
              <w:rPr>
                <w:rFonts w:hint="eastAsia" w:ascii="仿宋_GB2312" w:hAnsi="宋体" w:cs="仿宋_GB2312"/>
                <w:kern w:val="0"/>
                <w:sz w:val="24"/>
              </w:rPr>
              <w:t>10</w:t>
            </w:r>
          </w:p>
        </w:tc>
        <w:tc>
          <w:tcPr>
            <w:tcW w:w="918"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tc>
        <w:tc>
          <w:tcPr>
            <w:tcW w:w="1417" w:type="dxa"/>
            <w:tcBorders>
              <w:top w:val="nil"/>
              <w:left w:val="nil"/>
              <w:bottom w:val="single" w:color="auto" w:sz="4" w:space="0"/>
              <w:right w:val="single" w:color="auto" w:sz="4" w:space="0"/>
            </w:tcBorders>
            <w:noWrap/>
            <w:vAlign w:val="center"/>
          </w:tcPr>
          <w:p>
            <w:pPr>
              <w:spacing w:line="320" w:lineRule="exact"/>
              <w:jc w:val="center"/>
              <w:rPr>
                <w:rFonts w:ascii="仿宋_GB2312" w:hAnsi="宋体"/>
                <w:kern w:val="0"/>
                <w:sz w:val="24"/>
              </w:rPr>
            </w:pPr>
            <w:r>
              <w:rPr>
                <w:rFonts w:ascii="仿宋_GB2312" w:hAnsi="宋体" w:cs="仿宋_GB2312"/>
                <w:kern w:val="0"/>
                <w:sz w:val="24"/>
              </w:rPr>
              <w:t>2</w:t>
            </w:r>
            <w:r>
              <w:rPr>
                <w:rFonts w:hint="eastAsia" w:ascii="仿宋_GB2312" w:hAnsi="宋体" w:cs="仿宋_GB2312"/>
                <w:kern w:val="0"/>
                <w:sz w:val="24"/>
              </w:rPr>
              <w:t>0</w:t>
            </w:r>
          </w:p>
        </w:tc>
        <w:tc>
          <w:tcPr>
            <w:tcW w:w="1134"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tc>
        <w:tc>
          <w:tcPr>
            <w:tcW w:w="1560"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tc>
      </w:tr>
      <w:tr>
        <w:tblPrEx>
          <w:tblCellMar>
            <w:top w:w="0" w:type="dxa"/>
            <w:left w:w="108" w:type="dxa"/>
            <w:bottom w:w="0" w:type="dxa"/>
            <w:right w:w="108" w:type="dxa"/>
          </w:tblCellMar>
        </w:tblPrEx>
        <w:trPr>
          <w:trHeight w:val="290" w:hRule="atLeast"/>
        </w:trPr>
        <w:tc>
          <w:tcPr>
            <w:tcW w:w="496" w:type="dxa"/>
            <w:tcBorders>
              <w:top w:val="nil"/>
              <w:left w:val="single" w:color="auto" w:sz="4" w:space="0"/>
              <w:bottom w:val="single" w:color="auto" w:sz="4" w:space="0"/>
              <w:right w:val="single" w:color="auto" w:sz="4" w:space="0"/>
            </w:tcBorders>
            <w:noWrap/>
            <w:vAlign w:val="center"/>
          </w:tcPr>
          <w:p>
            <w:pPr>
              <w:spacing w:line="320" w:lineRule="exact"/>
              <w:jc w:val="center"/>
              <w:rPr>
                <w:rFonts w:ascii="仿宋_GB2312" w:hAnsi="宋体"/>
                <w:kern w:val="0"/>
                <w:sz w:val="24"/>
              </w:rPr>
            </w:pPr>
            <w:r>
              <w:rPr>
                <w:rFonts w:ascii="仿宋_GB2312" w:hAnsi="宋体" w:cs="仿宋_GB2312"/>
                <w:kern w:val="0"/>
                <w:sz w:val="24"/>
              </w:rPr>
              <w:t>4</w:t>
            </w:r>
          </w:p>
        </w:tc>
        <w:tc>
          <w:tcPr>
            <w:tcW w:w="3476" w:type="dxa"/>
            <w:tcBorders>
              <w:top w:val="single" w:color="auto" w:sz="4" w:space="0"/>
              <w:left w:val="nil"/>
              <w:bottom w:val="single" w:color="auto" w:sz="4" w:space="0"/>
              <w:right w:val="single" w:color="000000" w:sz="4" w:space="0"/>
            </w:tcBorders>
            <w:noWrap/>
            <w:vAlign w:val="center"/>
          </w:tcPr>
          <w:p>
            <w:pPr>
              <w:spacing w:line="320" w:lineRule="exact"/>
              <w:jc w:val="center"/>
              <w:rPr>
                <w:rFonts w:ascii="仿宋_GB2312" w:hAnsi="宋体" w:eastAsia="仿宋_GB2312"/>
                <w:kern w:val="0"/>
                <w:sz w:val="24"/>
              </w:rPr>
            </w:pPr>
            <w:r>
              <w:rPr>
                <w:rFonts w:hint="eastAsia" w:ascii="仿宋_GB2312" w:hAnsi="宋体" w:eastAsia="仿宋_GB2312" w:cs="仿宋_GB2312"/>
                <w:kern w:val="0"/>
                <w:sz w:val="24"/>
              </w:rPr>
              <w:t>安全疏散</w:t>
            </w:r>
          </w:p>
        </w:tc>
        <w:tc>
          <w:tcPr>
            <w:tcW w:w="5372" w:type="dxa"/>
            <w:tcBorders>
              <w:top w:val="nil"/>
              <w:left w:val="nil"/>
              <w:bottom w:val="single" w:color="auto" w:sz="4" w:space="0"/>
              <w:right w:val="nil"/>
            </w:tcBorders>
            <w:noWrap w:val="0"/>
            <w:vAlign w:val="center"/>
          </w:tcPr>
          <w:p>
            <w:pPr>
              <w:spacing w:line="320" w:lineRule="exact"/>
              <w:jc w:val="left"/>
              <w:rPr>
                <w:rFonts w:ascii="仿宋_GB2312" w:hAnsi="宋体" w:eastAsia="仿宋_GB2312"/>
                <w:kern w:val="0"/>
                <w:szCs w:val="21"/>
              </w:rPr>
            </w:pPr>
            <w:r>
              <w:rPr>
                <w:rFonts w:hint="eastAsia" w:ascii="仿宋_GB2312" w:hAnsi="宋体" w:eastAsia="仿宋_GB2312" w:cs="仿宋_GB2312"/>
                <w:kern w:val="0"/>
                <w:szCs w:val="21"/>
              </w:rPr>
              <w:t>重点疏散部位保持通畅，疏散工具完好有效。</w:t>
            </w:r>
          </w:p>
        </w:tc>
        <w:tc>
          <w:tcPr>
            <w:tcW w:w="1400" w:type="dxa"/>
            <w:tcBorders>
              <w:top w:val="nil"/>
              <w:left w:val="single" w:color="auto" w:sz="4" w:space="0"/>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ascii="仿宋_GB2312" w:hAnsi="宋体" w:cs="仿宋_GB2312"/>
                <w:kern w:val="0"/>
                <w:sz w:val="24"/>
              </w:rPr>
              <w:t>10</w:t>
            </w:r>
          </w:p>
        </w:tc>
        <w:tc>
          <w:tcPr>
            <w:tcW w:w="918"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tc>
        <w:tc>
          <w:tcPr>
            <w:tcW w:w="1417" w:type="dxa"/>
            <w:tcBorders>
              <w:top w:val="nil"/>
              <w:left w:val="nil"/>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ascii="仿宋_GB2312" w:hAnsi="宋体" w:cs="仿宋_GB2312"/>
                <w:kern w:val="0"/>
                <w:sz w:val="24"/>
              </w:rPr>
              <w:t>1</w:t>
            </w:r>
            <w:r>
              <w:rPr>
                <w:rFonts w:hint="eastAsia" w:ascii="仿宋_GB2312" w:hAnsi="宋体" w:cs="仿宋_GB2312"/>
                <w:kern w:val="0"/>
                <w:sz w:val="24"/>
              </w:rPr>
              <w:t>0</w:t>
            </w:r>
          </w:p>
        </w:tc>
        <w:tc>
          <w:tcPr>
            <w:tcW w:w="1134"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tc>
        <w:tc>
          <w:tcPr>
            <w:tcW w:w="1560"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tc>
      </w:tr>
      <w:tr>
        <w:tblPrEx>
          <w:tblCellMar>
            <w:top w:w="0" w:type="dxa"/>
            <w:left w:w="108" w:type="dxa"/>
            <w:bottom w:w="0" w:type="dxa"/>
            <w:right w:w="108" w:type="dxa"/>
          </w:tblCellMar>
        </w:tblPrEx>
        <w:trPr>
          <w:trHeight w:val="260" w:hRule="atLeast"/>
        </w:trPr>
        <w:tc>
          <w:tcPr>
            <w:tcW w:w="496" w:type="dxa"/>
            <w:tcBorders>
              <w:top w:val="nil"/>
              <w:left w:val="single" w:color="auto" w:sz="4" w:space="0"/>
              <w:bottom w:val="single" w:color="auto" w:sz="4" w:space="0"/>
              <w:right w:val="single" w:color="auto" w:sz="4" w:space="0"/>
            </w:tcBorders>
            <w:noWrap/>
            <w:vAlign w:val="center"/>
          </w:tcPr>
          <w:p>
            <w:pPr>
              <w:spacing w:line="320" w:lineRule="exact"/>
              <w:jc w:val="center"/>
              <w:rPr>
                <w:rFonts w:ascii="仿宋_GB2312" w:hAnsi="宋体"/>
                <w:kern w:val="0"/>
                <w:sz w:val="24"/>
              </w:rPr>
            </w:pPr>
            <w:r>
              <w:rPr>
                <w:rFonts w:ascii="仿宋_GB2312" w:hAnsi="宋体" w:cs="仿宋_GB2312"/>
                <w:kern w:val="0"/>
                <w:sz w:val="24"/>
              </w:rPr>
              <w:t>5</w:t>
            </w:r>
          </w:p>
        </w:tc>
        <w:tc>
          <w:tcPr>
            <w:tcW w:w="3476" w:type="dxa"/>
            <w:tcBorders>
              <w:top w:val="single" w:color="auto" w:sz="4" w:space="0"/>
              <w:left w:val="nil"/>
              <w:bottom w:val="single" w:color="auto" w:sz="4" w:space="0"/>
              <w:right w:val="single" w:color="000000" w:sz="4" w:space="0"/>
            </w:tcBorders>
            <w:noWrap/>
            <w:vAlign w:val="center"/>
          </w:tcPr>
          <w:p>
            <w:pPr>
              <w:spacing w:line="320" w:lineRule="exact"/>
              <w:jc w:val="center"/>
              <w:rPr>
                <w:rFonts w:ascii="仿宋_GB2312" w:hAnsi="宋体" w:eastAsia="仿宋_GB2312"/>
                <w:kern w:val="0"/>
                <w:sz w:val="24"/>
              </w:rPr>
            </w:pPr>
            <w:r>
              <w:rPr>
                <w:rFonts w:hint="eastAsia" w:ascii="仿宋_GB2312" w:hAnsi="宋体" w:eastAsia="仿宋_GB2312" w:cs="仿宋_GB2312"/>
                <w:kern w:val="0"/>
                <w:sz w:val="24"/>
              </w:rPr>
              <w:t>消防控制室</w:t>
            </w:r>
          </w:p>
        </w:tc>
        <w:tc>
          <w:tcPr>
            <w:tcW w:w="5372" w:type="dxa"/>
            <w:tcBorders>
              <w:top w:val="nil"/>
              <w:left w:val="nil"/>
              <w:bottom w:val="single" w:color="auto" w:sz="4" w:space="0"/>
              <w:right w:val="nil"/>
            </w:tcBorders>
            <w:noWrap w:val="0"/>
            <w:vAlign w:val="center"/>
          </w:tcPr>
          <w:p>
            <w:pPr>
              <w:spacing w:line="320" w:lineRule="exact"/>
              <w:jc w:val="left"/>
              <w:rPr>
                <w:rFonts w:ascii="仿宋_GB2312" w:hAnsi="宋体" w:eastAsia="仿宋_GB2312"/>
                <w:kern w:val="0"/>
                <w:szCs w:val="21"/>
              </w:rPr>
            </w:pPr>
            <w:r>
              <w:rPr>
                <w:rFonts w:hint="eastAsia" w:ascii="仿宋_GB2312" w:hAnsi="宋体" w:eastAsia="仿宋_GB2312" w:cs="仿宋_GB2312"/>
                <w:kern w:val="0"/>
                <w:szCs w:val="21"/>
              </w:rPr>
              <w:t>设备运行良好，人员监控到位，维保单位定期维护。</w:t>
            </w:r>
          </w:p>
        </w:tc>
        <w:tc>
          <w:tcPr>
            <w:tcW w:w="1400" w:type="dxa"/>
            <w:tcBorders>
              <w:top w:val="nil"/>
              <w:left w:val="single" w:color="auto" w:sz="4" w:space="0"/>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ascii="仿宋_GB2312" w:hAnsi="宋体" w:cs="仿宋_GB2312"/>
                <w:kern w:val="0"/>
                <w:sz w:val="24"/>
              </w:rPr>
              <w:t>10</w:t>
            </w:r>
          </w:p>
        </w:tc>
        <w:tc>
          <w:tcPr>
            <w:tcW w:w="918"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tc>
        <w:tc>
          <w:tcPr>
            <w:tcW w:w="1417" w:type="dxa"/>
            <w:tcBorders>
              <w:top w:val="nil"/>
              <w:left w:val="nil"/>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ascii="仿宋_GB2312" w:hAnsi="宋体" w:cs="仿宋_GB2312"/>
                <w:kern w:val="0"/>
                <w:sz w:val="24"/>
              </w:rPr>
              <w:t>1</w:t>
            </w:r>
            <w:r>
              <w:rPr>
                <w:rFonts w:hint="eastAsia" w:ascii="仿宋_GB2312" w:hAnsi="宋体" w:cs="仿宋_GB2312"/>
                <w:kern w:val="0"/>
                <w:sz w:val="24"/>
              </w:rPr>
              <w:t>0</w:t>
            </w:r>
          </w:p>
        </w:tc>
        <w:tc>
          <w:tcPr>
            <w:tcW w:w="1134"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tc>
        <w:tc>
          <w:tcPr>
            <w:tcW w:w="1560"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tc>
      </w:tr>
      <w:tr>
        <w:tblPrEx>
          <w:tblCellMar>
            <w:top w:w="0" w:type="dxa"/>
            <w:left w:w="108" w:type="dxa"/>
            <w:bottom w:w="0" w:type="dxa"/>
            <w:right w:w="108" w:type="dxa"/>
          </w:tblCellMar>
        </w:tblPrEx>
        <w:trPr>
          <w:trHeight w:val="634" w:hRule="atLeast"/>
        </w:trPr>
        <w:tc>
          <w:tcPr>
            <w:tcW w:w="496" w:type="dxa"/>
            <w:tcBorders>
              <w:top w:val="nil"/>
              <w:left w:val="single" w:color="auto" w:sz="4" w:space="0"/>
              <w:bottom w:val="single" w:color="auto" w:sz="4" w:space="0"/>
              <w:right w:val="single" w:color="auto" w:sz="4" w:space="0"/>
            </w:tcBorders>
            <w:noWrap/>
            <w:vAlign w:val="center"/>
          </w:tcPr>
          <w:p>
            <w:pPr>
              <w:spacing w:line="320" w:lineRule="exact"/>
              <w:jc w:val="center"/>
              <w:rPr>
                <w:rFonts w:ascii="仿宋_GB2312" w:hAnsi="宋体"/>
                <w:kern w:val="0"/>
                <w:sz w:val="24"/>
              </w:rPr>
            </w:pPr>
            <w:r>
              <w:rPr>
                <w:rFonts w:ascii="仿宋_GB2312" w:hAnsi="宋体" w:cs="仿宋_GB2312"/>
                <w:kern w:val="0"/>
                <w:sz w:val="24"/>
              </w:rPr>
              <w:t>6</w:t>
            </w:r>
          </w:p>
        </w:tc>
        <w:tc>
          <w:tcPr>
            <w:tcW w:w="347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仿宋_GB2312" w:hAnsi="宋体" w:eastAsia="仿宋_GB2312"/>
                <w:kern w:val="0"/>
                <w:sz w:val="24"/>
              </w:rPr>
            </w:pPr>
            <w:r>
              <w:rPr>
                <w:rFonts w:hint="eastAsia" w:ascii="仿宋_GB2312" w:hAnsi="宋体" w:eastAsia="仿宋_GB2312" w:cs="仿宋_GB2312"/>
                <w:kern w:val="0"/>
                <w:sz w:val="24"/>
              </w:rPr>
              <w:t>消防设施器材</w:t>
            </w:r>
          </w:p>
        </w:tc>
        <w:tc>
          <w:tcPr>
            <w:tcW w:w="5372" w:type="dxa"/>
            <w:tcBorders>
              <w:top w:val="nil"/>
              <w:left w:val="nil"/>
              <w:bottom w:val="single" w:color="auto" w:sz="4" w:space="0"/>
              <w:right w:val="nil"/>
            </w:tcBorders>
            <w:noWrap w:val="0"/>
            <w:vAlign w:val="center"/>
          </w:tcPr>
          <w:p>
            <w:pPr>
              <w:spacing w:line="320" w:lineRule="exact"/>
              <w:jc w:val="left"/>
              <w:rPr>
                <w:rFonts w:ascii="仿宋_GB2312" w:hAnsi="宋体" w:eastAsia="仿宋_GB2312"/>
                <w:kern w:val="0"/>
                <w:szCs w:val="21"/>
              </w:rPr>
            </w:pPr>
            <w:r>
              <w:rPr>
                <w:rFonts w:hint="eastAsia" w:ascii="仿宋_GB2312" w:hAnsi="宋体" w:eastAsia="仿宋_GB2312" w:cs="仿宋_GB2312"/>
                <w:kern w:val="0"/>
                <w:szCs w:val="21"/>
              </w:rPr>
              <w:t>设备信号运行良好；系统部件完好，运转正常；消防给水设施及其他相关设备运转正常。</w:t>
            </w:r>
          </w:p>
        </w:tc>
        <w:tc>
          <w:tcPr>
            <w:tcW w:w="1400" w:type="dxa"/>
            <w:tcBorders>
              <w:top w:val="nil"/>
              <w:left w:val="single" w:color="auto" w:sz="4" w:space="0"/>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hint="eastAsia" w:ascii="仿宋_GB2312" w:hAnsi="宋体" w:cs="仿宋_GB2312"/>
                <w:kern w:val="0"/>
                <w:sz w:val="24"/>
              </w:rPr>
              <w:t>15</w:t>
            </w:r>
          </w:p>
        </w:tc>
        <w:tc>
          <w:tcPr>
            <w:tcW w:w="918"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p>
            <w:pPr>
              <w:spacing w:line="320" w:lineRule="exact"/>
              <w:jc w:val="left"/>
              <w:rPr>
                <w:rFonts w:ascii="仿宋_GB2312" w:hAnsi="宋体"/>
                <w:kern w:val="0"/>
                <w:sz w:val="24"/>
              </w:rPr>
            </w:pPr>
            <w:r>
              <w:rPr>
                <w:rFonts w:hint="eastAsia" w:ascii="仿宋_GB2312" w:hAnsi="宋体" w:cs="仿宋_GB2312"/>
                <w:kern w:val="0"/>
                <w:sz w:val="24"/>
              </w:rPr>
              <w:t>　</w:t>
            </w:r>
          </w:p>
        </w:tc>
        <w:tc>
          <w:tcPr>
            <w:tcW w:w="1417" w:type="dxa"/>
            <w:tcBorders>
              <w:top w:val="nil"/>
              <w:left w:val="nil"/>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hint="eastAsia" w:ascii="仿宋_GB2312" w:hAnsi="宋体" w:cs="仿宋_GB2312"/>
                <w:kern w:val="0"/>
                <w:sz w:val="24"/>
              </w:rPr>
              <w:t>15</w:t>
            </w:r>
          </w:p>
        </w:tc>
        <w:tc>
          <w:tcPr>
            <w:tcW w:w="1134"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p>
            <w:pPr>
              <w:spacing w:line="320" w:lineRule="exact"/>
              <w:jc w:val="left"/>
              <w:rPr>
                <w:rFonts w:ascii="仿宋_GB2312" w:hAnsi="宋体"/>
                <w:kern w:val="0"/>
                <w:sz w:val="24"/>
              </w:rPr>
            </w:pPr>
            <w:r>
              <w:rPr>
                <w:rFonts w:hint="eastAsia" w:ascii="仿宋_GB2312" w:hAnsi="宋体" w:cs="仿宋_GB2312"/>
                <w:kern w:val="0"/>
                <w:sz w:val="24"/>
              </w:rPr>
              <w:t>　</w:t>
            </w:r>
          </w:p>
          <w:p>
            <w:pPr>
              <w:spacing w:line="320" w:lineRule="exact"/>
              <w:jc w:val="left"/>
              <w:rPr>
                <w:rFonts w:ascii="仿宋_GB2312" w:hAnsi="宋体"/>
                <w:kern w:val="0"/>
                <w:sz w:val="24"/>
              </w:rPr>
            </w:pPr>
            <w:r>
              <w:rPr>
                <w:rFonts w:hint="eastAsia" w:ascii="仿宋_GB2312" w:hAnsi="宋体" w:cs="仿宋_GB2312"/>
                <w:kern w:val="0"/>
                <w:sz w:val="24"/>
              </w:rPr>
              <w:t>　</w:t>
            </w:r>
          </w:p>
        </w:tc>
        <w:tc>
          <w:tcPr>
            <w:tcW w:w="1560"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p>
            <w:pPr>
              <w:spacing w:line="320" w:lineRule="exact"/>
              <w:jc w:val="left"/>
              <w:rPr>
                <w:rFonts w:ascii="仿宋_GB2312" w:hAnsi="宋体"/>
                <w:kern w:val="0"/>
                <w:sz w:val="24"/>
              </w:rPr>
            </w:pPr>
            <w:r>
              <w:rPr>
                <w:rFonts w:hint="eastAsia" w:ascii="仿宋_GB2312" w:hAnsi="宋体" w:cs="仿宋_GB2312"/>
                <w:kern w:val="0"/>
                <w:sz w:val="24"/>
              </w:rPr>
              <w:t>　</w:t>
            </w:r>
          </w:p>
          <w:p>
            <w:pPr>
              <w:spacing w:line="320" w:lineRule="exact"/>
              <w:jc w:val="left"/>
              <w:rPr>
                <w:rFonts w:ascii="仿宋_GB2312" w:hAnsi="宋体"/>
                <w:kern w:val="0"/>
                <w:sz w:val="24"/>
              </w:rPr>
            </w:pPr>
            <w:r>
              <w:rPr>
                <w:rFonts w:hint="eastAsia" w:ascii="仿宋_GB2312" w:hAnsi="宋体" w:cs="仿宋_GB2312"/>
                <w:kern w:val="0"/>
                <w:sz w:val="24"/>
              </w:rPr>
              <w:t>　</w:t>
            </w:r>
          </w:p>
        </w:tc>
      </w:tr>
      <w:tr>
        <w:tblPrEx>
          <w:tblCellMar>
            <w:top w:w="0" w:type="dxa"/>
            <w:left w:w="108" w:type="dxa"/>
            <w:bottom w:w="0" w:type="dxa"/>
            <w:right w:w="108" w:type="dxa"/>
          </w:tblCellMar>
        </w:tblPrEx>
        <w:trPr>
          <w:trHeight w:val="425" w:hRule="atLeast"/>
        </w:trPr>
        <w:tc>
          <w:tcPr>
            <w:tcW w:w="4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hint="eastAsia" w:ascii="仿宋_GB2312" w:hAnsi="宋体" w:cs="仿宋_GB2312"/>
                <w:kern w:val="0"/>
                <w:sz w:val="24"/>
              </w:rPr>
              <w:t>7</w:t>
            </w:r>
          </w:p>
        </w:tc>
        <w:tc>
          <w:tcPr>
            <w:tcW w:w="3476" w:type="dxa"/>
            <w:tcBorders>
              <w:top w:val="single" w:color="auto" w:sz="4" w:space="0"/>
              <w:left w:val="single" w:color="auto" w:sz="4" w:space="0"/>
              <w:bottom w:val="single" w:color="000000" w:sz="4" w:space="0"/>
              <w:right w:val="single" w:color="auto" w:sz="4" w:space="0"/>
            </w:tcBorders>
            <w:noWrap w:val="0"/>
            <w:vAlign w:val="center"/>
          </w:tcPr>
          <w:p>
            <w:pPr>
              <w:spacing w:line="320" w:lineRule="exact"/>
              <w:jc w:val="center"/>
              <w:rPr>
                <w:rFonts w:ascii="仿宋_GB2312" w:hAnsi="宋体" w:eastAsia="仿宋_GB2312" w:cs="仿宋_GB2312"/>
                <w:kern w:val="0"/>
                <w:sz w:val="24"/>
              </w:rPr>
            </w:pPr>
            <w:r>
              <w:rPr>
                <w:rFonts w:hint="eastAsia" w:ascii="仿宋_GB2312" w:hAnsi="宋体" w:eastAsia="仿宋_GB2312"/>
                <w:kern w:val="0"/>
                <w:sz w:val="24"/>
              </w:rPr>
              <w:t>微型消防站建设</w:t>
            </w:r>
          </w:p>
        </w:tc>
        <w:tc>
          <w:tcPr>
            <w:tcW w:w="5372" w:type="dxa"/>
            <w:tcBorders>
              <w:top w:val="single" w:color="auto" w:sz="4" w:space="0"/>
              <w:left w:val="nil"/>
              <w:bottom w:val="single" w:color="auto" w:sz="4" w:space="0"/>
              <w:right w:val="nil"/>
            </w:tcBorders>
            <w:noWrap w:val="0"/>
            <w:vAlign w:val="center"/>
          </w:tcPr>
          <w:p>
            <w:pPr>
              <w:spacing w:line="320" w:lineRule="exact"/>
              <w:jc w:val="left"/>
              <w:rPr>
                <w:rFonts w:ascii="仿宋_GB2312" w:hAnsi="宋体" w:eastAsia="仿宋_GB2312" w:cs="仿宋_GB2312"/>
                <w:kern w:val="0"/>
                <w:szCs w:val="21"/>
              </w:rPr>
            </w:pPr>
            <w:r>
              <w:rPr>
                <w:rFonts w:hint="eastAsia" w:ascii="仿宋_GB2312" w:hAnsi="宋体" w:eastAsia="仿宋_GB2312" w:cs="仿宋_GB2312"/>
                <w:kern w:val="0"/>
                <w:szCs w:val="21"/>
              </w:rPr>
              <w:t>人员配备情况；岗位职责明确；装备器材配备情况；</w:t>
            </w:r>
          </w:p>
        </w:tc>
        <w:tc>
          <w:tcPr>
            <w:tcW w:w="14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hint="eastAsia" w:ascii="仿宋_GB2312" w:hAnsi="宋体" w:cs="仿宋_GB2312"/>
                <w:kern w:val="0"/>
                <w:sz w:val="24"/>
              </w:rPr>
              <w:t>15</w:t>
            </w:r>
          </w:p>
        </w:tc>
        <w:tc>
          <w:tcPr>
            <w:tcW w:w="918" w:type="dxa"/>
            <w:tcBorders>
              <w:top w:val="single" w:color="auto" w:sz="4" w:space="0"/>
              <w:left w:val="nil"/>
              <w:bottom w:val="single" w:color="auto" w:sz="4" w:space="0"/>
              <w:right w:val="single" w:color="auto" w:sz="4" w:space="0"/>
            </w:tcBorders>
            <w:noWrap/>
            <w:vAlign w:val="center"/>
          </w:tcPr>
          <w:p>
            <w:pPr>
              <w:spacing w:line="320" w:lineRule="exact"/>
              <w:jc w:val="left"/>
              <w:rPr>
                <w:rFonts w:ascii="仿宋_GB2312" w:hAnsi="宋体" w:cs="仿宋_GB2312"/>
                <w:kern w:val="0"/>
                <w:sz w:val="24"/>
              </w:rPr>
            </w:pPr>
          </w:p>
        </w:tc>
        <w:tc>
          <w:tcPr>
            <w:tcW w:w="1417" w:type="dxa"/>
            <w:tcBorders>
              <w:top w:val="single" w:color="auto" w:sz="4" w:space="0"/>
              <w:left w:val="nil"/>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hint="eastAsia" w:ascii="仿宋_GB2312" w:hAnsi="宋体" w:cs="仿宋_GB2312"/>
                <w:kern w:val="0"/>
                <w:sz w:val="24"/>
              </w:rPr>
              <w:t>15</w:t>
            </w:r>
          </w:p>
        </w:tc>
        <w:tc>
          <w:tcPr>
            <w:tcW w:w="1134" w:type="dxa"/>
            <w:tcBorders>
              <w:top w:val="single" w:color="auto" w:sz="4" w:space="0"/>
              <w:left w:val="nil"/>
              <w:bottom w:val="single" w:color="auto" w:sz="4" w:space="0"/>
              <w:right w:val="single" w:color="auto" w:sz="4" w:space="0"/>
            </w:tcBorders>
            <w:noWrap/>
            <w:vAlign w:val="center"/>
          </w:tcPr>
          <w:p>
            <w:pPr>
              <w:spacing w:line="320" w:lineRule="exact"/>
              <w:jc w:val="left"/>
              <w:rPr>
                <w:rFonts w:ascii="仿宋_GB2312" w:hAnsi="宋体" w:cs="仿宋_GB2312"/>
                <w:kern w:val="0"/>
                <w:sz w:val="24"/>
              </w:rPr>
            </w:pPr>
          </w:p>
        </w:tc>
        <w:tc>
          <w:tcPr>
            <w:tcW w:w="1560" w:type="dxa"/>
            <w:tcBorders>
              <w:top w:val="single" w:color="auto" w:sz="4" w:space="0"/>
              <w:left w:val="nil"/>
              <w:bottom w:val="single" w:color="auto" w:sz="4" w:space="0"/>
              <w:right w:val="single" w:color="auto" w:sz="4" w:space="0"/>
            </w:tcBorders>
            <w:noWrap/>
            <w:vAlign w:val="center"/>
          </w:tcPr>
          <w:p>
            <w:pPr>
              <w:spacing w:line="320" w:lineRule="exact"/>
              <w:jc w:val="left"/>
              <w:rPr>
                <w:rFonts w:ascii="仿宋_GB2312" w:hAnsi="宋体" w:cs="仿宋_GB2312"/>
                <w:kern w:val="0"/>
                <w:sz w:val="24"/>
              </w:rPr>
            </w:pPr>
          </w:p>
        </w:tc>
      </w:tr>
      <w:tr>
        <w:tblPrEx>
          <w:tblCellMar>
            <w:top w:w="0" w:type="dxa"/>
            <w:left w:w="108" w:type="dxa"/>
            <w:bottom w:w="0" w:type="dxa"/>
            <w:right w:w="108" w:type="dxa"/>
          </w:tblCellMar>
        </w:tblPrEx>
        <w:trPr>
          <w:trHeight w:val="566" w:hRule="atLeast"/>
        </w:trPr>
        <w:tc>
          <w:tcPr>
            <w:tcW w:w="4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hint="eastAsia" w:ascii="仿宋_GB2312" w:hAnsi="宋体" w:cs="仿宋_GB2312"/>
                <w:kern w:val="0"/>
                <w:sz w:val="24"/>
              </w:rPr>
              <w:t>8</w:t>
            </w:r>
          </w:p>
        </w:tc>
        <w:tc>
          <w:tcPr>
            <w:tcW w:w="3476" w:type="dxa"/>
            <w:tcBorders>
              <w:top w:val="single" w:color="auto" w:sz="4" w:space="0"/>
              <w:left w:val="single" w:color="auto" w:sz="4" w:space="0"/>
              <w:bottom w:val="single" w:color="000000" w:sz="4" w:space="0"/>
              <w:right w:val="single" w:color="auto" w:sz="4" w:space="0"/>
            </w:tcBorders>
            <w:noWrap w:val="0"/>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消防安全宣传“七进工作”</w:t>
            </w:r>
          </w:p>
        </w:tc>
        <w:tc>
          <w:tcPr>
            <w:tcW w:w="5372" w:type="dxa"/>
            <w:tcBorders>
              <w:top w:val="single" w:color="auto" w:sz="4" w:space="0"/>
              <w:left w:val="nil"/>
              <w:bottom w:val="single" w:color="auto" w:sz="4" w:space="0"/>
              <w:right w:val="nil"/>
            </w:tcBorders>
            <w:noWrap w:val="0"/>
            <w:vAlign w:val="center"/>
          </w:tcPr>
          <w:p>
            <w:pPr>
              <w:spacing w:line="320" w:lineRule="exact"/>
              <w:jc w:val="left"/>
              <w:rPr>
                <w:rFonts w:ascii="仿宋_GB2312" w:hAnsi="宋体" w:eastAsia="仿宋_GB2312" w:cs="仿宋_GB2312"/>
                <w:kern w:val="0"/>
                <w:szCs w:val="21"/>
              </w:rPr>
            </w:pPr>
            <w:r>
              <w:rPr>
                <w:rFonts w:hint="eastAsia" w:ascii="仿宋_GB2312" w:hAnsi="宋体" w:eastAsia="仿宋_GB2312" w:cs="仿宋_GB2312"/>
                <w:kern w:val="0"/>
                <w:szCs w:val="21"/>
              </w:rPr>
              <w:t>基础档案完善；设置宣传标语、板块等；将消防安全纳入企业文化教育中；制定完善应急疏散预案，组织消防安全培训和逃生自救演习；在“119”消防日、安全月、安全周等重点时段，组织多形式的消防安全宣传活动</w:t>
            </w:r>
          </w:p>
        </w:tc>
        <w:tc>
          <w:tcPr>
            <w:tcW w:w="14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hint="eastAsia" w:ascii="仿宋_GB2312" w:hAnsi="宋体" w:cs="仿宋_GB2312"/>
                <w:kern w:val="0"/>
                <w:sz w:val="24"/>
              </w:rPr>
              <w:t>15</w:t>
            </w:r>
          </w:p>
        </w:tc>
        <w:tc>
          <w:tcPr>
            <w:tcW w:w="918" w:type="dxa"/>
            <w:tcBorders>
              <w:top w:val="single" w:color="auto" w:sz="4" w:space="0"/>
              <w:left w:val="nil"/>
              <w:bottom w:val="single" w:color="auto" w:sz="4" w:space="0"/>
              <w:right w:val="single" w:color="auto" w:sz="4" w:space="0"/>
            </w:tcBorders>
            <w:noWrap/>
            <w:vAlign w:val="center"/>
          </w:tcPr>
          <w:p>
            <w:pPr>
              <w:spacing w:line="320" w:lineRule="exact"/>
              <w:jc w:val="left"/>
              <w:rPr>
                <w:rFonts w:ascii="仿宋_GB2312" w:hAnsi="宋体" w:cs="仿宋_GB2312"/>
                <w:kern w:val="0"/>
                <w:sz w:val="24"/>
              </w:rPr>
            </w:pPr>
          </w:p>
        </w:tc>
        <w:tc>
          <w:tcPr>
            <w:tcW w:w="1417" w:type="dxa"/>
            <w:tcBorders>
              <w:top w:val="single" w:color="auto" w:sz="4" w:space="0"/>
              <w:left w:val="nil"/>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hint="eastAsia" w:ascii="仿宋_GB2312" w:hAnsi="宋体" w:cs="仿宋_GB2312"/>
                <w:kern w:val="0"/>
                <w:sz w:val="24"/>
              </w:rPr>
              <w:t>15</w:t>
            </w:r>
          </w:p>
        </w:tc>
        <w:tc>
          <w:tcPr>
            <w:tcW w:w="1134" w:type="dxa"/>
            <w:tcBorders>
              <w:top w:val="single" w:color="auto" w:sz="4" w:space="0"/>
              <w:left w:val="nil"/>
              <w:bottom w:val="single" w:color="auto" w:sz="4" w:space="0"/>
              <w:right w:val="single" w:color="auto" w:sz="4" w:space="0"/>
            </w:tcBorders>
            <w:noWrap/>
            <w:vAlign w:val="center"/>
          </w:tcPr>
          <w:p>
            <w:pPr>
              <w:spacing w:line="320" w:lineRule="exact"/>
              <w:jc w:val="left"/>
              <w:rPr>
                <w:rFonts w:ascii="仿宋_GB2312" w:hAnsi="宋体" w:cs="仿宋_GB2312"/>
                <w:kern w:val="0"/>
                <w:sz w:val="24"/>
              </w:rPr>
            </w:pPr>
          </w:p>
        </w:tc>
        <w:tc>
          <w:tcPr>
            <w:tcW w:w="1560" w:type="dxa"/>
            <w:tcBorders>
              <w:top w:val="single" w:color="auto" w:sz="4" w:space="0"/>
              <w:left w:val="nil"/>
              <w:bottom w:val="single" w:color="auto" w:sz="4" w:space="0"/>
              <w:right w:val="single" w:color="auto" w:sz="4" w:space="0"/>
            </w:tcBorders>
            <w:noWrap/>
            <w:vAlign w:val="center"/>
          </w:tcPr>
          <w:p>
            <w:pPr>
              <w:spacing w:line="320" w:lineRule="exact"/>
              <w:jc w:val="left"/>
              <w:rPr>
                <w:rFonts w:ascii="仿宋_GB2312" w:hAnsi="宋体" w:cs="仿宋_GB2312"/>
                <w:kern w:val="0"/>
                <w:sz w:val="24"/>
              </w:rPr>
            </w:pPr>
          </w:p>
        </w:tc>
      </w:tr>
      <w:tr>
        <w:tblPrEx>
          <w:tblCellMar>
            <w:top w:w="0" w:type="dxa"/>
            <w:left w:w="108" w:type="dxa"/>
            <w:bottom w:w="0" w:type="dxa"/>
            <w:right w:w="108" w:type="dxa"/>
          </w:tblCellMar>
        </w:tblPrEx>
        <w:trPr>
          <w:trHeight w:val="574" w:hRule="atLeast"/>
        </w:trPr>
        <w:tc>
          <w:tcPr>
            <w:tcW w:w="9344" w:type="dxa"/>
            <w:gridSpan w:val="3"/>
            <w:tcBorders>
              <w:top w:val="single" w:color="auto" w:sz="4" w:space="0"/>
              <w:left w:val="single" w:color="auto" w:sz="4" w:space="0"/>
              <w:bottom w:val="single" w:color="auto" w:sz="4" w:space="0"/>
              <w:right w:val="single" w:color="000000" w:sz="4" w:space="0"/>
            </w:tcBorders>
            <w:noWrap/>
            <w:vAlign w:val="center"/>
          </w:tcPr>
          <w:p>
            <w:pPr>
              <w:spacing w:line="320" w:lineRule="exact"/>
              <w:jc w:val="center"/>
              <w:rPr>
                <w:rFonts w:ascii="黑体" w:hAnsi="宋体" w:eastAsia="黑体"/>
                <w:kern w:val="0"/>
                <w:sz w:val="28"/>
                <w:szCs w:val="28"/>
              </w:rPr>
            </w:pPr>
            <w:r>
              <w:rPr>
                <w:rFonts w:hint="eastAsia" w:ascii="黑体" w:hAnsi="宋体" w:eastAsia="黑体" w:cs="黑体"/>
                <w:kern w:val="0"/>
                <w:sz w:val="28"/>
                <w:szCs w:val="28"/>
              </w:rPr>
              <w:t>合</w:t>
            </w:r>
            <w:r>
              <w:rPr>
                <w:rFonts w:ascii="黑体" w:hAnsi="宋体" w:eastAsia="黑体" w:cs="黑体"/>
                <w:kern w:val="0"/>
                <w:sz w:val="28"/>
                <w:szCs w:val="28"/>
              </w:rPr>
              <w:t xml:space="preserve">  </w:t>
            </w:r>
            <w:r>
              <w:rPr>
                <w:rFonts w:hint="eastAsia" w:ascii="黑体" w:hAnsi="宋体" w:eastAsia="黑体" w:cs="黑体"/>
                <w:kern w:val="0"/>
                <w:sz w:val="28"/>
                <w:szCs w:val="28"/>
              </w:rPr>
              <w:t>计</w:t>
            </w:r>
          </w:p>
        </w:tc>
        <w:tc>
          <w:tcPr>
            <w:tcW w:w="1400" w:type="dxa"/>
            <w:tcBorders>
              <w:top w:val="nil"/>
              <w:left w:val="nil"/>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ascii="仿宋_GB2312" w:hAnsi="宋体" w:cs="仿宋_GB2312"/>
                <w:kern w:val="0"/>
                <w:sz w:val="24"/>
              </w:rPr>
              <w:t>100</w:t>
            </w:r>
          </w:p>
        </w:tc>
        <w:tc>
          <w:tcPr>
            <w:tcW w:w="918"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tc>
        <w:tc>
          <w:tcPr>
            <w:tcW w:w="1417" w:type="dxa"/>
            <w:tcBorders>
              <w:top w:val="nil"/>
              <w:left w:val="nil"/>
              <w:bottom w:val="single" w:color="auto" w:sz="4" w:space="0"/>
              <w:right w:val="single" w:color="auto" w:sz="4" w:space="0"/>
            </w:tcBorders>
            <w:noWrap/>
            <w:vAlign w:val="center"/>
          </w:tcPr>
          <w:p>
            <w:pPr>
              <w:spacing w:line="320" w:lineRule="exact"/>
              <w:jc w:val="center"/>
              <w:rPr>
                <w:rFonts w:ascii="仿宋_GB2312" w:hAnsi="宋体" w:cs="仿宋_GB2312"/>
                <w:kern w:val="0"/>
                <w:sz w:val="24"/>
              </w:rPr>
            </w:pPr>
            <w:r>
              <w:rPr>
                <w:rFonts w:ascii="仿宋_GB2312" w:hAnsi="宋体" w:cs="仿宋_GB2312"/>
                <w:kern w:val="0"/>
                <w:sz w:val="24"/>
              </w:rPr>
              <w:t>100</w:t>
            </w:r>
          </w:p>
        </w:tc>
        <w:tc>
          <w:tcPr>
            <w:tcW w:w="1134"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tc>
        <w:tc>
          <w:tcPr>
            <w:tcW w:w="1560" w:type="dxa"/>
            <w:tcBorders>
              <w:top w:val="nil"/>
              <w:left w:val="nil"/>
              <w:bottom w:val="single" w:color="auto" w:sz="4" w:space="0"/>
              <w:right w:val="single" w:color="auto" w:sz="4" w:space="0"/>
            </w:tcBorders>
            <w:noWrap/>
            <w:vAlign w:val="center"/>
          </w:tcPr>
          <w:p>
            <w:pPr>
              <w:spacing w:line="320" w:lineRule="exact"/>
              <w:jc w:val="left"/>
              <w:rPr>
                <w:rFonts w:ascii="仿宋_GB2312" w:hAnsi="宋体"/>
                <w:kern w:val="0"/>
                <w:sz w:val="24"/>
              </w:rPr>
            </w:pPr>
            <w:r>
              <w:rPr>
                <w:rFonts w:hint="eastAsia" w:ascii="仿宋_GB2312" w:hAnsi="宋体" w:cs="仿宋_GB2312"/>
                <w:kern w:val="0"/>
                <w:sz w:val="24"/>
              </w:rPr>
              <w:t>　</w:t>
            </w:r>
          </w:p>
        </w:tc>
      </w:tr>
    </w:tbl>
    <w:p>
      <w:pPr>
        <w:spacing w:line="520" w:lineRule="exact"/>
        <w:ind w:right="-57" w:rightChars="-27" w:firstLine="3452" w:firstLineChars="1644"/>
        <w:rPr>
          <w:rFonts w:ascii="仿宋_GB2312"/>
        </w:rPr>
        <w:sectPr>
          <w:pgSz w:w="16838" w:h="11906" w:orient="landscape"/>
          <w:pgMar w:top="1588" w:right="2098" w:bottom="1474" w:left="1928" w:header="851" w:footer="992" w:gutter="0"/>
          <w:pgNumType w:chapStyle="1" w:chapSep="emDash"/>
          <w:cols w:space="720" w:num="1"/>
          <w:docGrid w:type="lines" w:linePitch="582" w:charSpace="-849"/>
        </w:sectPr>
      </w:pPr>
    </w:p>
    <w:p>
      <w:pPr>
        <w:spacing w:line="560" w:lineRule="exact"/>
        <w:ind w:right="-57" w:rightChars="-27"/>
        <w:rPr>
          <w:rFonts w:ascii="黑体" w:eastAsia="黑体" w:cs="黑体"/>
          <w:sz w:val="32"/>
          <w:szCs w:val="32"/>
        </w:rPr>
      </w:pPr>
      <w:r>
        <w:rPr>
          <w:rFonts w:hint="eastAsia" w:ascii="黑体" w:eastAsia="黑体"/>
          <w:sz w:val="32"/>
          <w:szCs w:val="32"/>
        </w:rPr>
        <w:t>附件4</w:t>
      </w:r>
    </w:p>
    <w:p>
      <w:pPr>
        <w:spacing w:line="560" w:lineRule="exact"/>
        <w:ind w:right="-57" w:rightChars="-27"/>
        <w:rPr>
          <w:rFonts w:ascii="黑体" w:eastAsia="黑体" w:cs="黑体"/>
        </w:rPr>
      </w:pPr>
    </w:p>
    <w:p>
      <w:pPr>
        <w:spacing w:line="64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天津港保税区、天津空港经济区</w:t>
      </w:r>
    </w:p>
    <w:p>
      <w:pPr>
        <w:spacing w:line="64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职工公寓考评标准</w:t>
      </w:r>
    </w:p>
    <w:p>
      <w:pPr>
        <w:spacing w:line="640" w:lineRule="exact"/>
        <w:jc w:val="center"/>
        <w:rPr>
          <w:rFonts w:ascii="仿宋_GB2312" w:hAnsi="华文中宋" w:eastAsia="仿宋_GB2312" w:cs="宋体"/>
          <w:kern w:val="0"/>
          <w:sz w:val="32"/>
          <w:szCs w:val="32"/>
        </w:rPr>
      </w:pPr>
      <w:r>
        <w:rPr>
          <w:rFonts w:hint="eastAsia" w:ascii="仿宋_GB2312" w:hAnsi="华文中宋" w:eastAsia="仿宋_GB2312" w:cs="宋体"/>
          <w:kern w:val="0"/>
          <w:sz w:val="32"/>
          <w:szCs w:val="32"/>
        </w:rPr>
        <w:t>（公安派出所考评项目）</w:t>
      </w:r>
    </w:p>
    <w:p>
      <w:pPr>
        <w:spacing w:line="560" w:lineRule="exact"/>
        <w:ind w:right="-57" w:rightChars="-27"/>
        <w:rPr>
          <w:rFonts w:ascii="黑体" w:eastAsia="黑体"/>
          <w:szCs w:val="32"/>
        </w:rPr>
      </w:pPr>
    </w:p>
    <w:p>
      <w:pPr>
        <w:spacing w:line="580" w:lineRule="exact"/>
        <w:ind w:firstLine="643" w:firstLineChars="200"/>
        <w:rPr>
          <w:rFonts w:ascii="黑体" w:hAnsi="黑体" w:eastAsia="黑体"/>
          <w:b/>
          <w:sz w:val="32"/>
          <w:szCs w:val="32"/>
        </w:rPr>
      </w:pPr>
      <w:r>
        <w:rPr>
          <w:rFonts w:hint="eastAsia" w:ascii="黑体" w:hAnsi="黑体" w:eastAsia="黑体"/>
          <w:b/>
          <w:sz w:val="32"/>
          <w:szCs w:val="32"/>
        </w:rPr>
        <w:t>一、人防管理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（一）公寓内部治安保卫制度、管理措施应健全；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（二）保安员实际上勤人数与签订合同人数必须保持一致；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（三）保安员上岗需要遵守治安保卫制度严格执勤；</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（四）加强重点部位安全防范，发现隐患应及时整改；</w:t>
      </w:r>
    </w:p>
    <w:p>
      <w:pPr>
        <w:spacing w:line="580" w:lineRule="exact"/>
        <w:ind w:firstLine="643" w:firstLineChars="200"/>
        <w:rPr>
          <w:rFonts w:ascii="黑体" w:hAnsi="黑体" w:eastAsia="黑体"/>
          <w:b/>
          <w:sz w:val="32"/>
          <w:szCs w:val="32"/>
        </w:rPr>
      </w:pPr>
      <w:r>
        <w:rPr>
          <w:rFonts w:hint="eastAsia" w:ascii="黑体" w:hAnsi="黑体" w:eastAsia="黑体"/>
          <w:b/>
          <w:sz w:val="32"/>
          <w:szCs w:val="32"/>
        </w:rPr>
        <w:t>二、物防管理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（一）公寓楼宇进出口门禁系统完好有效，定期检查维护；</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（二）宿舍内部的门、窗、柜等设施应完好，锁无损坏，定期检查维护。</w:t>
      </w:r>
    </w:p>
    <w:p>
      <w:pPr>
        <w:spacing w:line="580" w:lineRule="exact"/>
        <w:ind w:firstLine="643" w:firstLineChars="200"/>
        <w:rPr>
          <w:rFonts w:ascii="黑体" w:hAnsi="黑体" w:eastAsia="黑体"/>
          <w:b/>
          <w:sz w:val="32"/>
          <w:szCs w:val="32"/>
        </w:rPr>
      </w:pPr>
      <w:r>
        <w:rPr>
          <w:rFonts w:hint="eastAsia" w:ascii="黑体" w:hAnsi="黑体" w:eastAsia="黑体"/>
          <w:b/>
          <w:sz w:val="32"/>
          <w:szCs w:val="32"/>
        </w:rPr>
        <w:t>三、技防管理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（一）视频监控系统、红外对射系统正常运行，公共区域视频监控系统全面覆盖；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（二）技防设施定期进行检查与维护；</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（三）应建立技防设备档案，并保持档案完整、有效；</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（四）设立安防专项资金。</w:t>
      </w:r>
    </w:p>
    <w:p>
      <w:pPr>
        <w:spacing w:line="580" w:lineRule="exact"/>
        <w:ind w:firstLine="643" w:firstLineChars="200"/>
        <w:rPr>
          <w:rFonts w:ascii="黑体" w:hAnsi="黑体" w:eastAsia="黑体"/>
          <w:b/>
          <w:sz w:val="32"/>
          <w:szCs w:val="32"/>
        </w:rPr>
      </w:pPr>
      <w:r>
        <w:rPr>
          <w:rFonts w:hint="eastAsia" w:ascii="黑体" w:hAnsi="黑体" w:eastAsia="黑体"/>
          <w:b/>
          <w:sz w:val="32"/>
          <w:szCs w:val="32"/>
        </w:rPr>
        <w:t>四、宿舍治安管理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（一）入驻企业的员工每100人配备一名专职宿舍管理人员，100人以下的配备兼职宿管员；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（二）公寓、入住企业负责人、社区民警、宿管员每月召开一次联席会，解决协调工作中发现的问题；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（三）企业离职员工应及时清退办理退宿手续；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（四）公安机关下发整改应及时完成；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（五）公寓内部应加强治安管理。</w:t>
      </w:r>
    </w:p>
    <w:p>
      <w:pPr>
        <w:spacing w:line="640" w:lineRule="exact"/>
        <w:ind w:right="-57" w:rightChars="-27"/>
        <w:jc w:val="center"/>
        <w:rPr>
          <w:rFonts w:ascii="方正小标宋简体" w:eastAsia="方正小标宋简体"/>
          <w:sz w:val="32"/>
          <w:szCs w:val="32"/>
        </w:rPr>
        <w:sectPr>
          <w:footerReference r:id="rId14" w:type="default"/>
          <w:pgSz w:w="11906" w:h="16838"/>
          <w:pgMar w:top="2098" w:right="1474" w:bottom="1928" w:left="1588" w:header="851" w:footer="992" w:gutter="0"/>
          <w:pgNumType w:chapStyle="1" w:chapSep="emDash"/>
          <w:cols w:space="720" w:num="1"/>
          <w:docGrid w:type="lines" w:linePitch="582" w:charSpace="-849"/>
        </w:sect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天津港保税区、天津空港经济区职工公寓考评标准</w:t>
      </w:r>
    </w:p>
    <w:p>
      <w:pPr>
        <w:spacing w:line="560" w:lineRule="exact"/>
        <w:jc w:val="center"/>
        <w:rPr>
          <w:rFonts w:ascii="仿宋_GB2312" w:eastAsia="仿宋_GB2312"/>
          <w:sz w:val="32"/>
          <w:szCs w:val="32"/>
        </w:rPr>
      </w:pPr>
      <w:r>
        <w:rPr>
          <w:rFonts w:hint="eastAsia" w:ascii="仿宋_GB2312" w:eastAsia="仿宋_GB2312"/>
          <w:sz w:val="32"/>
          <w:szCs w:val="32"/>
        </w:rPr>
        <w:t>（</w:t>
      </w:r>
      <w:r>
        <w:rPr>
          <w:rFonts w:hint="eastAsia" w:ascii="仿宋_GB2312" w:hAnsi="华文中宋" w:eastAsia="仿宋_GB2312" w:cs="宋体"/>
          <w:kern w:val="0"/>
          <w:sz w:val="32"/>
          <w:szCs w:val="32"/>
        </w:rPr>
        <w:t>公安派出所</w:t>
      </w:r>
      <w:r>
        <w:rPr>
          <w:rFonts w:hint="eastAsia" w:ascii="仿宋_GB2312" w:eastAsia="仿宋_GB2312"/>
          <w:sz w:val="32"/>
          <w:szCs w:val="32"/>
        </w:rPr>
        <w:t>考评项目）</w:t>
      </w:r>
    </w:p>
    <w:tbl>
      <w:tblPr>
        <w:tblStyle w:val="18"/>
        <w:tblW w:w="0" w:type="auto"/>
        <w:tblInd w:w="-1320" w:type="dxa"/>
        <w:tblLayout w:type="fixed"/>
        <w:tblCellMar>
          <w:top w:w="0" w:type="dxa"/>
          <w:left w:w="108" w:type="dxa"/>
          <w:bottom w:w="0" w:type="dxa"/>
          <w:right w:w="108" w:type="dxa"/>
        </w:tblCellMar>
      </w:tblPr>
      <w:tblGrid>
        <w:gridCol w:w="638"/>
        <w:gridCol w:w="2582"/>
        <w:gridCol w:w="5950"/>
        <w:gridCol w:w="1422"/>
        <w:gridCol w:w="1106"/>
        <w:gridCol w:w="1422"/>
        <w:gridCol w:w="1264"/>
        <w:gridCol w:w="1422"/>
      </w:tblGrid>
      <w:tr>
        <w:tblPrEx>
          <w:tblCellMar>
            <w:top w:w="0" w:type="dxa"/>
            <w:left w:w="108" w:type="dxa"/>
            <w:bottom w:w="0" w:type="dxa"/>
            <w:right w:w="108" w:type="dxa"/>
          </w:tblCellMar>
        </w:tblPrEx>
        <w:trPr>
          <w:trHeight w:val="799"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2582"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考核标准</w:t>
            </w:r>
          </w:p>
        </w:tc>
        <w:tc>
          <w:tcPr>
            <w:tcW w:w="5950"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考核要求</w:t>
            </w:r>
          </w:p>
        </w:tc>
        <w:tc>
          <w:tcPr>
            <w:tcW w:w="1422"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公寓</w:t>
            </w:r>
          </w:p>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产权方</w:t>
            </w:r>
          </w:p>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（100分）</w:t>
            </w:r>
          </w:p>
        </w:tc>
        <w:tc>
          <w:tcPr>
            <w:tcW w:w="1106"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评分</w:t>
            </w:r>
          </w:p>
        </w:tc>
        <w:tc>
          <w:tcPr>
            <w:tcW w:w="1422"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物业服务企业</w:t>
            </w:r>
          </w:p>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（100分）</w:t>
            </w:r>
          </w:p>
        </w:tc>
        <w:tc>
          <w:tcPr>
            <w:tcW w:w="1264"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评分</w:t>
            </w:r>
          </w:p>
        </w:tc>
        <w:tc>
          <w:tcPr>
            <w:tcW w:w="1422"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考评建议</w:t>
            </w:r>
          </w:p>
        </w:tc>
      </w:tr>
      <w:tr>
        <w:tblPrEx>
          <w:tblCellMar>
            <w:top w:w="0" w:type="dxa"/>
            <w:left w:w="108" w:type="dxa"/>
            <w:bottom w:w="0" w:type="dxa"/>
            <w:right w:w="108" w:type="dxa"/>
          </w:tblCellMar>
        </w:tblPrEx>
        <w:trPr>
          <w:cantSplit/>
          <w:trHeight w:val="566" w:hRule="atLeast"/>
        </w:trPr>
        <w:tc>
          <w:tcPr>
            <w:tcW w:w="638"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w:t>
            </w:r>
          </w:p>
        </w:tc>
        <w:tc>
          <w:tcPr>
            <w:tcW w:w="2582" w:type="dxa"/>
            <w:tcBorders>
              <w:top w:val="single" w:color="auto" w:sz="4" w:space="0"/>
              <w:left w:val="nil"/>
              <w:bottom w:val="single" w:color="auto" w:sz="4" w:space="0"/>
              <w:right w:val="single" w:color="000000" w:sz="4" w:space="0"/>
            </w:tcBorders>
            <w:noWrap w:val="0"/>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人防管理</w:t>
            </w:r>
          </w:p>
        </w:tc>
        <w:tc>
          <w:tcPr>
            <w:tcW w:w="5950" w:type="dxa"/>
            <w:tcBorders>
              <w:top w:val="nil"/>
              <w:left w:val="nil"/>
              <w:bottom w:val="single" w:color="auto" w:sz="4" w:space="0"/>
              <w:right w:val="nil"/>
            </w:tcBorders>
            <w:noWrap w:val="0"/>
            <w:vAlign w:val="center"/>
          </w:tcPr>
          <w:p>
            <w:pPr>
              <w:snapToGrid w:val="0"/>
              <w:spacing w:line="440" w:lineRule="exact"/>
              <w:rPr>
                <w:rFonts w:ascii="仿宋_GB2312" w:eastAsia="仿宋_GB2312"/>
                <w:szCs w:val="21"/>
              </w:rPr>
            </w:pPr>
            <w:r>
              <w:rPr>
                <w:rFonts w:hint="eastAsia" w:ascii="仿宋_GB2312" w:eastAsia="仿宋_GB2312"/>
                <w:szCs w:val="21"/>
              </w:rPr>
              <w:t>公寓内部治安保卫制度、管理措施应健全；保安员实际上勤人数与签订合同人数必须保持一致；保安员上岗需要遵守治安保卫制度严格执勤；加强重点部位安全防范，发现隐患应及时整改；</w:t>
            </w:r>
          </w:p>
        </w:tc>
        <w:tc>
          <w:tcPr>
            <w:tcW w:w="1422"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20</w:t>
            </w:r>
          </w:p>
        </w:tc>
        <w:tc>
          <w:tcPr>
            <w:tcW w:w="1106"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20</w:t>
            </w:r>
          </w:p>
        </w:tc>
        <w:tc>
          <w:tcPr>
            <w:tcW w:w="1264"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p>
        </w:tc>
      </w:tr>
      <w:tr>
        <w:tblPrEx>
          <w:tblCellMar>
            <w:top w:w="0" w:type="dxa"/>
            <w:left w:w="108" w:type="dxa"/>
            <w:bottom w:w="0" w:type="dxa"/>
            <w:right w:w="108" w:type="dxa"/>
          </w:tblCellMar>
        </w:tblPrEx>
        <w:trPr>
          <w:trHeight w:val="571" w:hRule="atLeast"/>
        </w:trPr>
        <w:tc>
          <w:tcPr>
            <w:tcW w:w="638"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2</w:t>
            </w:r>
          </w:p>
        </w:tc>
        <w:tc>
          <w:tcPr>
            <w:tcW w:w="2582" w:type="dxa"/>
            <w:tcBorders>
              <w:top w:val="single" w:color="auto" w:sz="4" w:space="0"/>
              <w:left w:val="nil"/>
              <w:bottom w:val="single" w:color="auto" w:sz="4" w:space="0"/>
              <w:right w:val="single" w:color="000000" w:sz="4" w:space="0"/>
            </w:tcBorders>
            <w:noWrap/>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物防管理</w:t>
            </w:r>
          </w:p>
        </w:tc>
        <w:tc>
          <w:tcPr>
            <w:tcW w:w="5950" w:type="dxa"/>
            <w:tcBorders>
              <w:top w:val="nil"/>
              <w:left w:val="nil"/>
              <w:bottom w:val="single" w:color="auto" w:sz="4" w:space="0"/>
              <w:right w:val="nil"/>
            </w:tcBorders>
            <w:noWrap w:val="0"/>
            <w:vAlign w:val="center"/>
          </w:tcPr>
          <w:p>
            <w:pPr>
              <w:snapToGrid w:val="0"/>
              <w:spacing w:line="440" w:lineRule="exact"/>
              <w:rPr>
                <w:rFonts w:ascii="仿宋_GB2312" w:eastAsia="仿宋_GB2312"/>
                <w:szCs w:val="21"/>
              </w:rPr>
            </w:pPr>
            <w:r>
              <w:rPr>
                <w:rFonts w:hint="eastAsia" w:ascii="仿宋_GB2312" w:eastAsia="仿宋_GB2312"/>
                <w:szCs w:val="21"/>
              </w:rPr>
              <w:t>公寓楼宇进出口门禁系统完好有效，定期检查维护；宿舍内部的门、窗、柜等设施应完好，锁无损坏，定期检查维护。</w:t>
            </w:r>
          </w:p>
        </w:tc>
        <w:tc>
          <w:tcPr>
            <w:tcW w:w="1422"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20</w:t>
            </w:r>
          </w:p>
        </w:tc>
        <w:tc>
          <w:tcPr>
            <w:tcW w:w="1106"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20</w:t>
            </w:r>
          </w:p>
        </w:tc>
        <w:tc>
          <w:tcPr>
            <w:tcW w:w="1264"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p>
        </w:tc>
      </w:tr>
      <w:tr>
        <w:tblPrEx>
          <w:tblCellMar>
            <w:top w:w="0" w:type="dxa"/>
            <w:left w:w="108" w:type="dxa"/>
            <w:bottom w:w="0" w:type="dxa"/>
            <w:right w:w="108" w:type="dxa"/>
          </w:tblCellMar>
        </w:tblPrEx>
        <w:trPr>
          <w:trHeight w:val="567" w:hRule="atLeast"/>
        </w:trPr>
        <w:tc>
          <w:tcPr>
            <w:tcW w:w="638"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3</w:t>
            </w:r>
          </w:p>
        </w:tc>
        <w:tc>
          <w:tcPr>
            <w:tcW w:w="2582" w:type="dxa"/>
            <w:tcBorders>
              <w:top w:val="single" w:color="auto" w:sz="4" w:space="0"/>
              <w:left w:val="nil"/>
              <w:bottom w:val="single" w:color="auto" w:sz="4" w:space="0"/>
              <w:right w:val="single" w:color="000000" w:sz="4" w:space="0"/>
            </w:tcBorders>
            <w:noWrap/>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技防管理</w:t>
            </w:r>
          </w:p>
        </w:tc>
        <w:tc>
          <w:tcPr>
            <w:tcW w:w="5950" w:type="dxa"/>
            <w:tcBorders>
              <w:top w:val="nil"/>
              <w:left w:val="nil"/>
              <w:bottom w:val="single" w:color="auto" w:sz="4" w:space="0"/>
              <w:right w:val="nil"/>
            </w:tcBorders>
            <w:noWrap w:val="0"/>
            <w:vAlign w:val="center"/>
          </w:tcPr>
          <w:p>
            <w:pPr>
              <w:snapToGrid w:val="0"/>
              <w:spacing w:line="440" w:lineRule="exact"/>
              <w:rPr>
                <w:rFonts w:ascii="仿宋_GB2312" w:eastAsia="仿宋_GB2312"/>
                <w:szCs w:val="21"/>
              </w:rPr>
            </w:pPr>
            <w:r>
              <w:rPr>
                <w:rFonts w:hint="eastAsia" w:ascii="仿宋_GB2312" w:eastAsia="仿宋_GB2312"/>
                <w:szCs w:val="21"/>
              </w:rPr>
              <w:t>视频监控系统、红外对射系统正常运行，公共区域视频监控系统全面覆盖；技防设施定期进行检查与维护；应建立技防设备档案，并保持档案完整、有效；设立安防专项资金。</w:t>
            </w:r>
          </w:p>
        </w:tc>
        <w:tc>
          <w:tcPr>
            <w:tcW w:w="1422"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30</w:t>
            </w:r>
          </w:p>
        </w:tc>
        <w:tc>
          <w:tcPr>
            <w:tcW w:w="1106"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30</w:t>
            </w:r>
          </w:p>
        </w:tc>
        <w:tc>
          <w:tcPr>
            <w:tcW w:w="1264"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p>
        </w:tc>
      </w:tr>
      <w:tr>
        <w:tblPrEx>
          <w:tblCellMar>
            <w:top w:w="0" w:type="dxa"/>
            <w:left w:w="108" w:type="dxa"/>
            <w:bottom w:w="0" w:type="dxa"/>
            <w:right w:w="108" w:type="dxa"/>
          </w:tblCellMar>
        </w:tblPrEx>
        <w:trPr>
          <w:trHeight w:val="270" w:hRule="atLeast"/>
        </w:trPr>
        <w:tc>
          <w:tcPr>
            <w:tcW w:w="638"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4</w:t>
            </w:r>
          </w:p>
        </w:tc>
        <w:tc>
          <w:tcPr>
            <w:tcW w:w="2582" w:type="dxa"/>
            <w:tcBorders>
              <w:top w:val="single" w:color="auto" w:sz="4" w:space="0"/>
              <w:left w:val="nil"/>
              <w:bottom w:val="single" w:color="auto" w:sz="4" w:space="0"/>
              <w:right w:val="single" w:color="000000" w:sz="4" w:space="0"/>
            </w:tcBorders>
            <w:noWrap/>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宿舍治安管理</w:t>
            </w:r>
          </w:p>
        </w:tc>
        <w:tc>
          <w:tcPr>
            <w:tcW w:w="5950" w:type="dxa"/>
            <w:tcBorders>
              <w:top w:val="nil"/>
              <w:left w:val="nil"/>
              <w:bottom w:val="single" w:color="auto" w:sz="4" w:space="0"/>
              <w:right w:val="nil"/>
            </w:tcBorders>
            <w:noWrap w:val="0"/>
            <w:vAlign w:val="center"/>
          </w:tcPr>
          <w:p>
            <w:pPr>
              <w:snapToGrid w:val="0"/>
              <w:spacing w:line="440" w:lineRule="exact"/>
              <w:rPr>
                <w:rFonts w:ascii="仿宋_GB2312" w:eastAsia="仿宋_GB2312"/>
                <w:szCs w:val="21"/>
              </w:rPr>
            </w:pPr>
            <w:r>
              <w:rPr>
                <w:rFonts w:hint="eastAsia" w:ascii="仿宋_GB2312" w:eastAsia="仿宋_GB2312"/>
                <w:szCs w:val="21"/>
              </w:rPr>
              <w:t>入驻企业的员工每100人配备一名专职宿舍管理人员，100人以下的配备兼职宿管员；公寓、入住企业负责人、社区民警、宿管员每月召开一次联席会，解决协调工作中发现的问题；企业离职员工应及时清退办理退宿手续；公安机关下发整改应及时完成；公寓内部应加强治安管理。</w:t>
            </w:r>
          </w:p>
        </w:tc>
        <w:tc>
          <w:tcPr>
            <w:tcW w:w="1422"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30</w:t>
            </w:r>
          </w:p>
        </w:tc>
        <w:tc>
          <w:tcPr>
            <w:tcW w:w="1106"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30</w:t>
            </w:r>
          </w:p>
        </w:tc>
        <w:tc>
          <w:tcPr>
            <w:tcW w:w="1264"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p>
        </w:tc>
      </w:tr>
      <w:tr>
        <w:tblPrEx>
          <w:tblCellMar>
            <w:top w:w="0" w:type="dxa"/>
            <w:left w:w="108" w:type="dxa"/>
            <w:bottom w:w="0" w:type="dxa"/>
            <w:right w:w="108" w:type="dxa"/>
          </w:tblCellMar>
        </w:tblPrEx>
        <w:trPr>
          <w:trHeight w:val="563" w:hRule="atLeast"/>
        </w:trPr>
        <w:tc>
          <w:tcPr>
            <w:tcW w:w="9170" w:type="dxa"/>
            <w:gridSpan w:val="3"/>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rPr>
                <w:rFonts w:ascii="黑体" w:hAnsi="黑体" w:eastAsia="黑体" w:cs="宋体"/>
                <w:kern w:val="0"/>
                <w:sz w:val="24"/>
              </w:rPr>
            </w:pPr>
            <w:r>
              <w:rPr>
                <w:rFonts w:hint="eastAsia" w:ascii="黑体" w:hAnsi="黑体" w:eastAsia="黑体" w:cs="宋体"/>
                <w:kern w:val="0"/>
                <w:sz w:val="24"/>
              </w:rPr>
              <w:t>合计</w:t>
            </w:r>
          </w:p>
        </w:tc>
        <w:tc>
          <w:tcPr>
            <w:tcW w:w="1422"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100</w:t>
            </w:r>
          </w:p>
        </w:tc>
        <w:tc>
          <w:tcPr>
            <w:tcW w:w="1106"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100</w:t>
            </w:r>
          </w:p>
        </w:tc>
        <w:tc>
          <w:tcPr>
            <w:tcW w:w="1264"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p>
        </w:tc>
      </w:tr>
    </w:tbl>
    <w:p>
      <w:pPr>
        <w:spacing w:line="560" w:lineRule="exact"/>
        <w:ind w:right="-55" w:rightChars="-27"/>
        <w:rPr>
          <w:rFonts w:ascii="黑体" w:eastAsia="黑体"/>
          <w:szCs w:val="32"/>
        </w:rPr>
        <w:sectPr>
          <w:pgSz w:w="16838" w:h="11906" w:orient="landscape"/>
          <w:pgMar w:top="1474" w:right="1928" w:bottom="1588" w:left="2098" w:header="851" w:footer="992" w:gutter="0"/>
          <w:pgNumType w:chapStyle="1" w:chapSep="emDash"/>
          <w:cols w:space="720" w:num="1"/>
          <w:docGrid w:type="linesAndChars" w:linePitch="582" w:charSpace="-849"/>
        </w:sectPr>
      </w:pPr>
    </w:p>
    <w:p>
      <w:pPr>
        <w:spacing w:line="560" w:lineRule="exact"/>
        <w:ind w:right="-57" w:rightChars="-27"/>
        <w:rPr>
          <w:rFonts w:ascii="黑体" w:eastAsia="黑体" w:cs="黑体"/>
          <w:sz w:val="32"/>
          <w:szCs w:val="32"/>
        </w:rPr>
      </w:pPr>
      <w:r>
        <w:rPr>
          <w:rFonts w:hint="eastAsia" w:ascii="黑体" w:eastAsia="黑体"/>
          <w:sz w:val="32"/>
          <w:szCs w:val="32"/>
        </w:rPr>
        <w:t>附件5</w:t>
      </w:r>
    </w:p>
    <w:p>
      <w:pPr>
        <w:spacing w:line="640" w:lineRule="exact"/>
        <w:jc w:val="center"/>
        <w:rPr>
          <w:rFonts w:ascii="方正小标宋简体" w:hAnsi="华文中宋" w:eastAsia="方正小标宋简体"/>
          <w:sz w:val="44"/>
          <w:szCs w:val="44"/>
        </w:rPr>
      </w:pPr>
    </w:p>
    <w:p>
      <w:pPr>
        <w:spacing w:line="64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天津港保税区、天津空港经济区</w:t>
      </w:r>
    </w:p>
    <w:p>
      <w:pPr>
        <w:spacing w:line="64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职工公寓考评标准</w:t>
      </w:r>
    </w:p>
    <w:p>
      <w:pPr>
        <w:spacing w:line="640" w:lineRule="exact"/>
        <w:jc w:val="center"/>
        <w:rPr>
          <w:rFonts w:ascii="仿宋_GB2312" w:hAnsi="华文中宋" w:eastAsia="仿宋_GB2312" w:cs="宋体"/>
          <w:kern w:val="0"/>
          <w:sz w:val="32"/>
          <w:szCs w:val="32"/>
        </w:rPr>
      </w:pPr>
      <w:r>
        <w:rPr>
          <w:rFonts w:hint="eastAsia" w:ascii="仿宋_GB2312" w:hAnsi="华文中宋" w:eastAsia="仿宋_GB2312" w:cs="宋体"/>
          <w:kern w:val="0"/>
          <w:sz w:val="32"/>
          <w:szCs w:val="32"/>
        </w:rPr>
        <w:t>（市场监管局考评项目）</w:t>
      </w:r>
    </w:p>
    <w:p>
      <w:pPr>
        <w:spacing w:line="560" w:lineRule="exact"/>
        <w:ind w:right="-57" w:rightChars="-27"/>
        <w:rPr>
          <w:rFonts w:ascii="方正小标宋简体" w:hAnsi="华文中宋" w:eastAsia="方正小标宋简体"/>
          <w:sz w:val="44"/>
          <w:szCs w:val="44"/>
        </w:rPr>
      </w:pP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一、商业资质管理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商业经营者应积极按照有关部门要求，有照、持证、合法经营。</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二、食品安全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（一）管理并督促餐饮服务及食品销售商户严格执行《食品安全法》等相关法律法规，建立良好的食品安全管理制度，责任落实到人，确保影响食品安全的各个关键环节有效控制，避免食品安全事故发生；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（二）管理商户进行合理布局。食品加工设施设备要完善，布局流程要合理，原料、半成品、成品盛放容器要明显区分，避免生熟混放，避免交叉污染；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（三）管理商户建立健全食品采购验收台账。规范食品原料采购、验收，采购的食品及食品原料必须向供货商索取有效的资质证明及相关检验报告，做到进货索证索票齐全；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管理商户加强食品从业人员卫生。食品从业人员必须持有效的健康证，方可上岗。从业人员应保持良好的卫生习惯，穿戴整洁的工作衣帽，接触直接入口食品时还必须戴口罩，禁止直接抓取备餐食品，禁止穿戴工作衣帽进入厕所及与操作无关的场所，操作间内禁止吃食物、吸烟和随地吐痰，禁止放置与生产加工无关的个人用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（五）管理商户做好库房查验登记。严禁采购可疑的、腐败变质的、超过保质期的、来源不明的食品。严禁采购被有害物质污染、对人体健康有影响的食品原料，严格出入库手续；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（六）管理商户做好商户食品加工及储存场所环境卫生。严格食品生产加工过程、储存环境中的安全卫生。并做好防蝇、防鼠和防止各种昆虫孳生等“四害”消杀工作，定期或在必要时进行除害灭虫；</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要求餐饮服务人员具备良好的卫生习惯，饭前便后洗手，穿戴清洁的工作服，头发掖在发帽内；加工和销售食品时严禁吸烟；不留长指甲，不涂指甲油，不戴戒指等饰物加工食物；销售饭菜时候佩戴手套并使用工具夹，严禁用手拿取食品或收取现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食品采购须查验有效的证明文件；不得采购超过保质期或无标签的预包装食品；严禁采购被有害物质污染、对人体健康有影响的食品原材料；有严格的出入库手续，拒绝不符合卫生检疫标准的食品原材料入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（九）随时打扫餐厅卫生，坚持餐具消毒制度，创造整洁、干净、舒适的就餐环境，做到无打扫漏洞，分工明确；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（十）对食物中毒突发事件及时有效协调相关部门处理，确保就餐者的健康安全；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（十一）要求各饮食单位每年对从业人员进行一次健康体检，上岗前应持有效《健康证》。</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三、电梯使用安全</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（一）公寓产权单位应当履行以下职责：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1.公寓产权单位应当委托取得相应电梯维修项目许可的单位（以下简称维保单位）进行维保，并且与维保单位签订维保合同，约定维保期限、要求和双方的权利义务等；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2.公寓产权单位应当设置电梯的安全管理机构或者配备电梯安全管理人员，至少有一名取得《特种设备作业人员证》的电梯安全管理人员承担相应的管理职责；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电梯使用单位应当在使用前或者投入使用后三十日内，向负责特种设备安全监督管理的部门（以下简称登记机关）办理使用登记。维保单位变更时，使用单位应当持维保合同，在新合同生效后三十日内到原登记机关办理变更手续，并且更换电梯内维保单位相关标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4.监督并且配合电梯安装、改造、维修和维保工作；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按照相关规定定期委托特种设备检验机构对电梯进行技术性检验。在《安全检验合格》标志规定的检验有效期届满前1个月，向特种设备检验检测机构提出定期检验申请。未经定期检验或者检验不合格的电梯，不得继续使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6.监督维保单位履行以下职责：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（1）维保单位对其维保电梯的安全性能负责。维保后的电梯应当符合相应的安全技术规范，并且处于正常的运行状态；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（2）设立24h维保值班电话，保证接到故障通知后及时予以排除，接到电梯困人故障报告后，维修人员应在30分钟内抵达所维保电梯所在地实施现场救援；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（3）建立每部电梯的维保记录，对电梯发生的故障等情况，及时进行详细的记录；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（4）协助使用单位制定电梯的安全管理制度和应急救援预案；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（5）安排维保人员配合特种设备检验检测机构进行电梯的定期检验；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（6）在维保过程中，发现事故隐患及时告知电梯使用单位；发现严重事故隐患，及时上报。</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（二）物业服务企业应当履行以下职责：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1.物业服务企业应当加强对电梯的安全管理，建立以岗位责任制为核心的电梯使用和运营安全管理制度，严格执行特种设备安全技术规范（以下简称安全技术规范）的规定，对电梯的使用安全负责；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2.保持电梯紧急报警装置能够随时与使用单位安全管理机构或者值班人员实现有效联系；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3.在电梯轿厢内或者出入口的明显位置张贴有效的《安全检验合格》标志；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4.将电梯使用的安全注意事项和警示标志置于乘客易于注意的显著位置；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5.在电梯显著位置标明使用管理单位名称、应急救援电话和维保单位名称及其急修、投诉电话；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6.制定出现突发事件或者事故的应急措施与救援预案，电梯发生困人时，及时采取措施，安抚乘客，组织电梯维修作业人员实施救援；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7.在电梯出现故障或者发生异常情况时，组织对其进行全面检查，消除电梯事故隐患后，方可重新投入使用；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8.电梯发生事故时，按照应急救援预案组织应急救援、排险和抢救、保护事故现场，并立即报告区市场监管局和安监局；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9.建立电梯安全技术档案；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10.规范职工遵守以下要求，正确使用电梯：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（1）遵守电梯安全注意事项和警示标志的要求；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（2）不乘坐明示处于非正常状态下的电梯；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（3）不采用非安全手段开启电梯层门；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（4）不拆除、破坏电梯的部件及其附属设施；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（5）不乘坐超过额定载重量的电梯，运送货物时不得超载；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（6）不做其他危及电梯安全运行或者危及他人安全乘坐的行为。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11.公寓的产权单位和物业服务单位每年应至少进行一次救援演练，并做好演练记录；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12.使用单位的安全管理人员应当实施对电梯安装、改造、维修和维保工作的监督，对维保单位的维保记录签字确认。</w:t>
      </w:r>
    </w:p>
    <w:p>
      <w:pPr>
        <w:spacing w:line="560" w:lineRule="exact"/>
        <w:ind w:firstLine="640" w:firstLineChars="200"/>
        <w:rPr>
          <w:rFonts w:ascii="仿宋_GB2312" w:eastAsia="仿宋_GB2312"/>
          <w:sz w:val="32"/>
          <w:szCs w:val="32"/>
        </w:rPr>
      </w:pPr>
    </w:p>
    <w:p>
      <w:pPr>
        <w:spacing w:line="560" w:lineRule="exact"/>
        <w:ind w:right="-57" w:rightChars="-27" w:firstLine="210" w:firstLineChars="100"/>
        <w:rPr>
          <w:rFonts w:ascii="仿宋_GB2312"/>
          <w:szCs w:val="32"/>
        </w:rPr>
        <w:sectPr>
          <w:pgSz w:w="11906" w:h="16838"/>
          <w:pgMar w:top="2098" w:right="1474" w:bottom="1928" w:left="1588" w:header="851" w:footer="992" w:gutter="0"/>
          <w:pgNumType w:chapStyle="1" w:chapSep="emDash"/>
          <w:cols w:space="720" w:num="1"/>
          <w:docGrid w:type="lines" w:linePitch="582" w:charSpace="-849"/>
        </w:sect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天津港保税区、天津空港经济区职工公寓考评标准</w:t>
      </w:r>
    </w:p>
    <w:p>
      <w:pPr>
        <w:spacing w:line="560" w:lineRule="exact"/>
        <w:jc w:val="center"/>
        <w:rPr>
          <w:rFonts w:ascii="仿宋_GB2312" w:eastAsia="仿宋_GB2312"/>
          <w:sz w:val="32"/>
          <w:szCs w:val="32"/>
        </w:rPr>
      </w:pPr>
      <w:r>
        <w:rPr>
          <w:rFonts w:hint="eastAsia" w:ascii="仿宋_GB2312" w:eastAsia="仿宋_GB2312"/>
          <w:sz w:val="32"/>
          <w:szCs w:val="32"/>
        </w:rPr>
        <w:t>（市场监管局考评项目）</w:t>
      </w:r>
    </w:p>
    <w:tbl>
      <w:tblPr>
        <w:tblStyle w:val="18"/>
        <w:tblW w:w="0" w:type="auto"/>
        <w:tblInd w:w="-1320" w:type="dxa"/>
        <w:tblLayout w:type="fixed"/>
        <w:tblCellMar>
          <w:top w:w="0" w:type="dxa"/>
          <w:left w:w="108" w:type="dxa"/>
          <w:bottom w:w="0" w:type="dxa"/>
          <w:right w:w="108" w:type="dxa"/>
        </w:tblCellMar>
      </w:tblPr>
      <w:tblGrid>
        <w:gridCol w:w="719"/>
        <w:gridCol w:w="2501"/>
        <w:gridCol w:w="5950"/>
        <w:gridCol w:w="1422"/>
        <w:gridCol w:w="1106"/>
        <w:gridCol w:w="1422"/>
        <w:gridCol w:w="1264"/>
        <w:gridCol w:w="1422"/>
      </w:tblGrid>
      <w:tr>
        <w:tblPrEx>
          <w:tblCellMar>
            <w:top w:w="0" w:type="dxa"/>
            <w:left w:w="108" w:type="dxa"/>
            <w:bottom w:w="0" w:type="dxa"/>
            <w:right w:w="108" w:type="dxa"/>
          </w:tblCellMar>
        </w:tblPrEx>
        <w:trPr>
          <w:trHeight w:val="799"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2501"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考核标准</w:t>
            </w:r>
          </w:p>
        </w:tc>
        <w:tc>
          <w:tcPr>
            <w:tcW w:w="5950"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考核要求</w:t>
            </w:r>
          </w:p>
        </w:tc>
        <w:tc>
          <w:tcPr>
            <w:tcW w:w="1422"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公寓</w:t>
            </w:r>
          </w:p>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产权方</w:t>
            </w:r>
          </w:p>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（100分）</w:t>
            </w:r>
          </w:p>
        </w:tc>
        <w:tc>
          <w:tcPr>
            <w:tcW w:w="1106"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评分</w:t>
            </w:r>
          </w:p>
        </w:tc>
        <w:tc>
          <w:tcPr>
            <w:tcW w:w="1422"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物业服务企业</w:t>
            </w:r>
          </w:p>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（100分）</w:t>
            </w:r>
          </w:p>
        </w:tc>
        <w:tc>
          <w:tcPr>
            <w:tcW w:w="1264"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评分</w:t>
            </w:r>
          </w:p>
        </w:tc>
        <w:tc>
          <w:tcPr>
            <w:tcW w:w="1422"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考评建议</w:t>
            </w:r>
          </w:p>
        </w:tc>
      </w:tr>
      <w:tr>
        <w:tblPrEx>
          <w:tblCellMar>
            <w:top w:w="0" w:type="dxa"/>
            <w:left w:w="108" w:type="dxa"/>
            <w:bottom w:w="0" w:type="dxa"/>
            <w:right w:w="108" w:type="dxa"/>
          </w:tblCellMar>
        </w:tblPrEx>
        <w:trPr>
          <w:cantSplit/>
          <w:trHeight w:val="1053" w:hRule="atLeast"/>
        </w:trPr>
        <w:tc>
          <w:tcPr>
            <w:tcW w:w="719" w:type="dxa"/>
            <w:tcBorders>
              <w:top w:val="nil"/>
              <w:left w:val="single" w:color="auto" w:sz="4" w:space="0"/>
              <w:bottom w:val="single" w:color="auto" w:sz="4" w:space="0"/>
              <w:right w:val="single" w:color="auto" w:sz="4" w:space="0"/>
            </w:tcBorders>
            <w:noWrap/>
            <w:vAlign w:val="center"/>
          </w:tcPr>
          <w:p>
            <w:pPr>
              <w:spacing w:line="440" w:lineRule="exact"/>
              <w:jc w:val="center"/>
              <w:rPr>
                <w:rFonts w:ascii="仿宋_GB2312" w:hAnsi="宋体" w:cs="宋体"/>
                <w:kern w:val="0"/>
                <w:sz w:val="24"/>
              </w:rPr>
            </w:pPr>
            <w:r>
              <w:rPr>
                <w:rFonts w:hint="eastAsia" w:ascii="仿宋_GB2312" w:hAnsi="宋体" w:cs="宋体"/>
                <w:kern w:val="0"/>
                <w:sz w:val="24"/>
              </w:rPr>
              <w:t>1</w:t>
            </w:r>
          </w:p>
        </w:tc>
        <w:tc>
          <w:tcPr>
            <w:tcW w:w="2501" w:type="dxa"/>
            <w:tcBorders>
              <w:top w:val="single" w:color="auto" w:sz="4" w:space="0"/>
              <w:left w:val="nil"/>
              <w:bottom w:val="single" w:color="auto" w:sz="4" w:space="0"/>
              <w:right w:val="single" w:color="000000" w:sz="4" w:space="0"/>
            </w:tcBorders>
            <w:noWrap w:val="0"/>
            <w:vAlign w:val="center"/>
          </w:tcPr>
          <w:p>
            <w:pPr>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商业资质管理</w:t>
            </w:r>
          </w:p>
        </w:tc>
        <w:tc>
          <w:tcPr>
            <w:tcW w:w="5950" w:type="dxa"/>
            <w:tcBorders>
              <w:top w:val="nil"/>
              <w:left w:val="nil"/>
              <w:bottom w:val="single" w:color="auto" w:sz="4" w:space="0"/>
              <w:right w:val="nil"/>
            </w:tcBorders>
            <w:noWrap w:val="0"/>
            <w:vAlign w:val="center"/>
          </w:tcPr>
          <w:p>
            <w:pPr>
              <w:snapToGrid w:val="0"/>
              <w:spacing w:line="440" w:lineRule="exact"/>
              <w:ind w:right="-55" w:rightChars="-27"/>
              <w:jc w:val="left"/>
              <w:rPr>
                <w:rFonts w:ascii="仿宋_GB2312" w:eastAsia="仿宋_GB2312"/>
                <w:sz w:val="24"/>
              </w:rPr>
            </w:pPr>
            <w:r>
              <w:rPr>
                <w:rFonts w:hint="eastAsia" w:ascii="仿宋_GB2312" w:eastAsia="仿宋_GB2312"/>
                <w:sz w:val="24"/>
              </w:rPr>
              <w:t>商业经营者应积极按照有关部门要求，有照、持证、合法经营。</w:t>
            </w:r>
          </w:p>
        </w:tc>
        <w:tc>
          <w:tcPr>
            <w:tcW w:w="1422" w:type="dxa"/>
            <w:tcBorders>
              <w:top w:val="nil"/>
              <w:left w:val="single" w:color="auto" w:sz="4" w:space="0"/>
              <w:bottom w:val="single" w:color="auto" w:sz="4" w:space="0"/>
              <w:right w:val="single" w:color="auto" w:sz="4" w:space="0"/>
            </w:tcBorders>
            <w:noWrap/>
            <w:vAlign w:val="center"/>
          </w:tcPr>
          <w:p>
            <w:pPr>
              <w:spacing w:line="440" w:lineRule="exact"/>
              <w:jc w:val="center"/>
              <w:rPr>
                <w:rFonts w:ascii="仿宋_GB2312" w:hAnsi="宋体" w:cs="宋体"/>
                <w:kern w:val="0"/>
                <w:sz w:val="24"/>
              </w:rPr>
            </w:pPr>
            <w:r>
              <w:rPr>
                <w:rFonts w:hint="eastAsia" w:ascii="仿宋_GB2312" w:hAnsi="宋体" w:cs="宋体"/>
                <w:kern w:val="0"/>
                <w:sz w:val="24"/>
              </w:rPr>
              <w:t>30</w:t>
            </w:r>
          </w:p>
        </w:tc>
        <w:tc>
          <w:tcPr>
            <w:tcW w:w="1106" w:type="dxa"/>
            <w:tcBorders>
              <w:top w:val="nil"/>
              <w:left w:val="nil"/>
              <w:bottom w:val="single" w:color="auto" w:sz="4" w:space="0"/>
              <w:right w:val="single" w:color="auto" w:sz="4" w:space="0"/>
            </w:tcBorders>
            <w:noWrap/>
            <w:vAlign w:val="center"/>
          </w:tcPr>
          <w:p>
            <w:pPr>
              <w:spacing w:line="440" w:lineRule="exact"/>
              <w:jc w:val="left"/>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440" w:lineRule="exact"/>
              <w:jc w:val="center"/>
              <w:rPr>
                <w:rFonts w:ascii="仿宋_GB2312" w:hAnsi="宋体" w:cs="宋体"/>
                <w:kern w:val="0"/>
                <w:sz w:val="24"/>
              </w:rPr>
            </w:pPr>
            <w:r>
              <w:rPr>
                <w:rFonts w:hint="eastAsia" w:ascii="仿宋_GB2312" w:hAnsi="宋体" w:cs="宋体"/>
                <w:kern w:val="0"/>
                <w:sz w:val="24"/>
              </w:rPr>
              <w:t>30</w:t>
            </w:r>
          </w:p>
        </w:tc>
        <w:tc>
          <w:tcPr>
            <w:tcW w:w="1264" w:type="dxa"/>
            <w:tcBorders>
              <w:top w:val="nil"/>
              <w:left w:val="nil"/>
              <w:bottom w:val="single" w:color="auto" w:sz="4" w:space="0"/>
              <w:right w:val="single" w:color="auto" w:sz="4" w:space="0"/>
            </w:tcBorders>
            <w:noWrap/>
            <w:vAlign w:val="center"/>
          </w:tcPr>
          <w:p>
            <w:pPr>
              <w:spacing w:line="440" w:lineRule="exact"/>
              <w:jc w:val="left"/>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440" w:lineRule="exact"/>
              <w:jc w:val="left"/>
              <w:rPr>
                <w:rFonts w:ascii="仿宋_GB2312" w:hAnsi="宋体" w:cs="宋体"/>
                <w:kern w:val="0"/>
                <w:sz w:val="24"/>
              </w:rPr>
            </w:pPr>
          </w:p>
        </w:tc>
      </w:tr>
      <w:tr>
        <w:tblPrEx>
          <w:tblCellMar>
            <w:top w:w="0" w:type="dxa"/>
            <w:left w:w="108" w:type="dxa"/>
            <w:bottom w:w="0" w:type="dxa"/>
            <w:right w:w="108" w:type="dxa"/>
          </w:tblCellMar>
        </w:tblPrEx>
        <w:trPr>
          <w:trHeight w:val="1393" w:hRule="atLeast"/>
        </w:trPr>
        <w:tc>
          <w:tcPr>
            <w:tcW w:w="719" w:type="dxa"/>
            <w:tcBorders>
              <w:top w:val="nil"/>
              <w:left w:val="single" w:color="auto" w:sz="4" w:space="0"/>
              <w:bottom w:val="single" w:color="auto" w:sz="4" w:space="0"/>
              <w:right w:val="single" w:color="auto" w:sz="4" w:space="0"/>
            </w:tcBorders>
            <w:noWrap/>
            <w:vAlign w:val="center"/>
          </w:tcPr>
          <w:p>
            <w:pPr>
              <w:spacing w:line="440" w:lineRule="exact"/>
              <w:jc w:val="center"/>
              <w:rPr>
                <w:rFonts w:ascii="仿宋_GB2312" w:hAnsi="宋体" w:cs="宋体"/>
                <w:kern w:val="0"/>
                <w:sz w:val="24"/>
              </w:rPr>
            </w:pPr>
            <w:r>
              <w:rPr>
                <w:rFonts w:hint="eastAsia" w:ascii="仿宋_GB2312" w:hAnsi="宋体" w:cs="宋体"/>
                <w:kern w:val="0"/>
                <w:sz w:val="24"/>
              </w:rPr>
              <w:t>2</w:t>
            </w:r>
          </w:p>
        </w:tc>
        <w:tc>
          <w:tcPr>
            <w:tcW w:w="2501" w:type="dxa"/>
            <w:tcBorders>
              <w:top w:val="single" w:color="auto" w:sz="4" w:space="0"/>
              <w:left w:val="nil"/>
              <w:bottom w:val="single" w:color="auto" w:sz="4" w:space="0"/>
              <w:right w:val="single" w:color="000000" w:sz="4" w:space="0"/>
            </w:tcBorders>
            <w:noWrap/>
            <w:vAlign w:val="center"/>
          </w:tcPr>
          <w:p>
            <w:pPr>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食品安全</w:t>
            </w:r>
          </w:p>
        </w:tc>
        <w:tc>
          <w:tcPr>
            <w:tcW w:w="5950" w:type="dxa"/>
            <w:tcBorders>
              <w:top w:val="nil"/>
              <w:left w:val="nil"/>
              <w:bottom w:val="single" w:color="auto" w:sz="4" w:space="0"/>
              <w:right w:val="nil"/>
            </w:tcBorders>
            <w:noWrap w:val="0"/>
            <w:vAlign w:val="center"/>
          </w:tcPr>
          <w:p>
            <w:pPr>
              <w:spacing w:line="440" w:lineRule="exact"/>
              <w:jc w:val="left"/>
              <w:rPr>
                <w:rFonts w:ascii="仿宋_GB2312" w:hAnsi="宋体" w:eastAsia="仿宋_GB2312" w:cs="宋体"/>
                <w:kern w:val="0"/>
                <w:sz w:val="24"/>
              </w:rPr>
            </w:pPr>
            <w:r>
              <w:rPr>
                <w:rFonts w:hint="eastAsia" w:ascii="仿宋_GB2312" w:hAnsi="宋体" w:eastAsia="仿宋_GB2312" w:cs="宋体"/>
                <w:kern w:val="0"/>
                <w:sz w:val="24"/>
              </w:rPr>
              <w:t>建立食品安全管理制度，要求商户规范化管理、保证食品卫生质量良好、经营体制专业、严谨。</w:t>
            </w:r>
          </w:p>
        </w:tc>
        <w:tc>
          <w:tcPr>
            <w:tcW w:w="1422" w:type="dxa"/>
            <w:tcBorders>
              <w:top w:val="nil"/>
              <w:left w:val="single" w:color="auto" w:sz="4" w:space="0"/>
              <w:bottom w:val="single" w:color="auto" w:sz="4" w:space="0"/>
              <w:right w:val="single" w:color="auto" w:sz="4" w:space="0"/>
            </w:tcBorders>
            <w:noWrap/>
            <w:vAlign w:val="center"/>
          </w:tcPr>
          <w:p>
            <w:pPr>
              <w:spacing w:line="440" w:lineRule="exact"/>
              <w:jc w:val="center"/>
              <w:rPr>
                <w:rFonts w:ascii="仿宋_GB2312" w:hAnsi="宋体" w:cs="宋体"/>
                <w:kern w:val="0"/>
                <w:sz w:val="24"/>
              </w:rPr>
            </w:pPr>
            <w:r>
              <w:rPr>
                <w:rFonts w:hint="eastAsia" w:ascii="仿宋_GB2312" w:hAnsi="宋体" w:cs="宋体"/>
                <w:kern w:val="0"/>
                <w:sz w:val="24"/>
              </w:rPr>
              <w:t>35</w:t>
            </w:r>
          </w:p>
        </w:tc>
        <w:tc>
          <w:tcPr>
            <w:tcW w:w="1106" w:type="dxa"/>
            <w:tcBorders>
              <w:top w:val="nil"/>
              <w:left w:val="nil"/>
              <w:bottom w:val="single" w:color="auto" w:sz="4" w:space="0"/>
              <w:right w:val="single" w:color="auto" w:sz="4" w:space="0"/>
            </w:tcBorders>
            <w:noWrap/>
            <w:vAlign w:val="center"/>
          </w:tcPr>
          <w:p>
            <w:pPr>
              <w:spacing w:line="440" w:lineRule="exact"/>
              <w:jc w:val="center"/>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440" w:lineRule="exact"/>
              <w:jc w:val="center"/>
              <w:rPr>
                <w:rFonts w:ascii="仿宋_GB2312" w:hAnsi="宋体" w:cs="宋体"/>
                <w:kern w:val="0"/>
                <w:sz w:val="24"/>
              </w:rPr>
            </w:pPr>
            <w:r>
              <w:rPr>
                <w:rFonts w:hint="eastAsia" w:ascii="仿宋_GB2312" w:hAnsi="宋体" w:cs="宋体"/>
                <w:kern w:val="0"/>
                <w:sz w:val="24"/>
              </w:rPr>
              <w:t>35</w:t>
            </w:r>
          </w:p>
        </w:tc>
        <w:tc>
          <w:tcPr>
            <w:tcW w:w="1264" w:type="dxa"/>
            <w:tcBorders>
              <w:top w:val="nil"/>
              <w:left w:val="nil"/>
              <w:bottom w:val="single" w:color="auto" w:sz="4" w:space="0"/>
              <w:right w:val="single" w:color="auto" w:sz="4" w:space="0"/>
            </w:tcBorders>
            <w:noWrap/>
            <w:vAlign w:val="center"/>
          </w:tcPr>
          <w:p>
            <w:pPr>
              <w:spacing w:line="440" w:lineRule="exact"/>
              <w:jc w:val="center"/>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440" w:lineRule="exact"/>
              <w:jc w:val="left"/>
              <w:rPr>
                <w:rFonts w:ascii="仿宋_GB2312" w:hAnsi="宋体" w:cs="宋体"/>
                <w:kern w:val="0"/>
                <w:sz w:val="24"/>
              </w:rPr>
            </w:pPr>
          </w:p>
        </w:tc>
      </w:tr>
      <w:tr>
        <w:tblPrEx>
          <w:tblCellMar>
            <w:top w:w="0" w:type="dxa"/>
            <w:left w:w="108" w:type="dxa"/>
            <w:bottom w:w="0" w:type="dxa"/>
            <w:right w:w="108" w:type="dxa"/>
          </w:tblCellMar>
        </w:tblPrEx>
        <w:trPr>
          <w:trHeight w:val="1968" w:hRule="atLeast"/>
        </w:trPr>
        <w:tc>
          <w:tcPr>
            <w:tcW w:w="719" w:type="dxa"/>
            <w:tcBorders>
              <w:top w:val="nil"/>
              <w:left w:val="single" w:color="auto" w:sz="4" w:space="0"/>
              <w:bottom w:val="single" w:color="auto" w:sz="4" w:space="0"/>
              <w:right w:val="single" w:color="auto" w:sz="4" w:space="0"/>
            </w:tcBorders>
            <w:noWrap/>
            <w:vAlign w:val="center"/>
          </w:tcPr>
          <w:p>
            <w:pPr>
              <w:spacing w:line="440" w:lineRule="exact"/>
              <w:jc w:val="center"/>
              <w:rPr>
                <w:rFonts w:ascii="仿宋_GB2312" w:hAnsi="宋体" w:cs="宋体"/>
                <w:kern w:val="0"/>
                <w:sz w:val="24"/>
              </w:rPr>
            </w:pPr>
            <w:r>
              <w:rPr>
                <w:rFonts w:hint="eastAsia" w:ascii="仿宋_GB2312" w:hAnsi="宋体" w:cs="宋体"/>
                <w:kern w:val="0"/>
                <w:sz w:val="24"/>
              </w:rPr>
              <w:t>3</w:t>
            </w:r>
          </w:p>
        </w:tc>
        <w:tc>
          <w:tcPr>
            <w:tcW w:w="2501" w:type="dxa"/>
            <w:tcBorders>
              <w:top w:val="single" w:color="auto" w:sz="4" w:space="0"/>
              <w:left w:val="nil"/>
              <w:bottom w:val="single" w:color="auto" w:sz="4" w:space="0"/>
              <w:right w:val="single" w:color="000000" w:sz="4" w:space="0"/>
            </w:tcBorders>
            <w:noWrap/>
            <w:vAlign w:val="center"/>
          </w:tcPr>
          <w:p>
            <w:pPr>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电梯使用安全</w:t>
            </w:r>
          </w:p>
        </w:tc>
        <w:tc>
          <w:tcPr>
            <w:tcW w:w="5950" w:type="dxa"/>
            <w:tcBorders>
              <w:top w:val="nil"/>
              <w:left w:val="nil"/>
              <w:bottom w:val="single" w:color="auto" w:sz="4" w:space="0"/>
              <w:right w:val="nil"/>
            </w:tcBorders>
            <w:noWrap w:val="0"/>
            <w:vAlign w:val="center"/>
          </w:tcPr>
          <w:p>
            <w:pPr>
              <w:spacing w:line="44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公寓产权单位及物业服务企业根据各自职责分别建立和规范电梯安全管理制度，严格执行特种设备安全技术规范的规定，对电梯的使用安全负责；确保电梯正常、安全使用。 </w:t>
            </w:r>
          </w:p>
        </w:tc>
        <w:tc>
          <w:tcPr>
            <w:tcW w:w="1422" w:type="dxa"/>
            <w:tcBorders>
              <w:top w:val="nil"/>
              <w:left w:val="single" w:color="auto" w:sz="4" w:space="0"/>
              <w:bottom w:val="single" w:color="auto" w:sz="4" w:space="0"/>
              <w:right w:val="single" w:color="auto" w:sz="4" w:space="0"/>
            </w:tcBorders>
            <w:noWrap/>
            <w:vAlign w:val="center"/>
          </w:tcPr>
          <w:p>
            <w:pPr>
              <w:spacing w:line="440" w:lineRule="exact"/>
              <w:jc w:val="center"/>
              <w:rPr>
                <w:rFonts w:ascii="仿宋_GB2312" w:hAnsi="宋体" w:cs="宋体"/>
                <w:kern w:val="0"/>
                <w:sz w:val="24"/>
              </w:rPr>
            </w:pPr>
            <w:r>
              <w:rPr>
                <w:rFonts w:hint="eastAsia" w:ascii="仿宋_GB2312" w:hAnsi="宋体" w:cs="宋体"/>
                <w:kern w:val="0"/>
                <w:sz w:val="24"/>
              </w:rPr>
              <w:t>35</w:t>
            </w:r>
          </w:p>
        </w:tc>
        <w:tc>
          <w:tcPr>
            <w:tcW w:w="1106" w:type="dxa"/>
            <w:tcBorders>
              <w:top w:val="nil"/>
              <w:left w:val="nil"/>
              <w:bottom w:val="single" w:color="auto" w:sz="4" w:space="0"/>
              <w:right w:val="single" w:color="auto" w:sz="4" w:space="0"/>
            </w:tcBorders>
            <w:noWrap/>
            <w:vAlign w:val="center"/>
          </w:tcPr>
          <w:p>
            <w:pPr>
              <w:spacing w:line="440" w:lineRule="exact"/>
              <w:jc w:val="left"/>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440" w:lineRule="exact"/>
              <w:jc w:val="center"/>
              <w:rPr>
                <w:rFonts w:ascii="仿宋_GB2312" w:hAnsi="宋体" w:cs="宋体"/>
                <w:kern w:val="0"/>
                <w:sz w:val="24"/>
              </w:rPr>
            </w:pPr>
            <w:r>
              <w:rPr>
                <w:rFonts w:hint="eastAsia" w:ascii="仿宋_GB2312" w:hAnsi="宋体" w:cs="宋体"/>
                <w:kern w:val="0"/>
                <w:sz w:val="24"/>
              </w:rPr>
              <w:t>35</w:t>
            </w:r>
          </w:p>
        </w:tc>
        <w:tc>
          <w:tcPr>
            <w:tcW w:w="1264" w:type="dxa"/>
            <w:tcBorders>
              <w:top w:val="nil"/>
              <w:left w:val="nil"/>
              <w:bottom w:val="single" w:color="auto" w:sz="4" w:space="0"/>
              <w:right w:val="single" w:color="auto" w:sz="4" w:space="0"/>
            </w:tcBorders>
            <w:noWrap/>
            <w:vAlign w:val="center"/>
          </w:tcPr>
          <w:p>
            <w:pPr>
              <w:spacing w:line="440" w:lineRule="exact"/>
              <w:jc w:val="left"/>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440" w:lineRule="exact"/>
              <w:jc w:val="left"/>
              <w:rPr>
                <w:rFonts w:ascii="仿宋_GB2312" w:hAnsi="宋体" w:cs="宋体"/>
                <w:kern w:val="0"/>
                <w:sz w:val="24"/>
              </w:rPr>
            </w:pPr>
          </w:p>
        </w:tc>
      </w:tr>
      <w:tr>
        <w:tblPrEx>
          <w:tblCellMar>
            <w:top w:w="0" w:type="dxa"/>
            <w:left w:w="108" w:type="dxa"/>
            <w:bottom w:w="0" w:type="dxa"/>
            <w:right w:w="108" w:type="dxa"/>
          </w:tblCellMar>
        </w:tblPrEx>
        <w:trPr>
          <w:trHeight w:val="564" w:hRule="atLeast"/>
        </w:trPr>
        <w:tc>
          <w:tcPr>
            <w:tcW w:w="917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黑体" w:hAnsi="黑体" w:eastAsia="黑体" w:cs="宋体"/>
                <w:kern w:val="0"/>
                <w:sz w:val="24"/>
              </w:rPr>
            </w:pPr>
            <w:r>
              <w:rPr>
                <w:rFonts w:hint="eastAsia" w:ascii="黑体" w:hAnsi="黑体" w:eastAsia="黑体" w:cs="宋体"/>
                <w:kern w:val="0"/>
                <w:sz w:val="24"/>
              </w:rPr>
              <w:t>合计</w:t>
            </w:r>
          </w:p>
        </w:tc>
        <w:tc>
          <w:tcPr>
            <w:tcW w:w="1422"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100</w:t>
            </w:r>
          </w:p>
        </w:tc>
        <w:tc>
          <w:tcPr>
            <w:tcW w:w="1106"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100</w:t>
            </w:r>
          </w:p>
        </w:tc>
        <w:tc>
          <w:tcPr>
            <w:tcW w:w="1264" w:type="dxa"/>
            <w:tcBorders>
              <w:top w:val="single" w:color="auto" w:sz="4" w:space="0"/>
              <w:bottom w:val="single" w:color="auto" w:sz="4" w:space="0"/>
              <w:right w:val="single" w:color="auto" w:sz="4" w:space="0"/>
            </w:tcBorders>
            <w:noWrap/>
            <w:vAlign w:val="top"/>
          </w:tcPr>
          <w:p>
            <w:pPr>
              <w:spacing w:line="300" w:lineRule="exact"/>
              <w:jc w:val="left"/>
              <w:rPr>
                <w:rFonts w:ascii="仿宋_GB2312" w:hAnsi="宋体" w:cs="宋体"/>
                <w:kern w:val="0"/>
                <w:sz w:val="24"/>
              </w:rPr>
            </w:pPr>
          </w:p>
        </w:tc>
        <w:tc>
          <w:tcPr>
            <w:tcW w:w="1422" w:type="dxa"/>
            <w:tcBorders>
              <w:top w:val="nil"/>
              <w:left w:val="single" w:color="auto" w:sz="4" w:space="0"/>
              <w:bottom w:val="single" w:color="auto" w:sz="4" w:space="0"/>
              <w:right w:val="single" w:color="auto" w:sz="4" w:space="0"/>
            </w:tcBorders>
            <w:noWrap/>
            <w:vAlign w:val="center"/>
          </w:tcPr>
          <w:p>
            <w:pPr>
              <w:spacing w:line="300" w:lineRule="exact"/>
              <w:jc w:val="left"/>
              <w:rPr>
                <w:rFonts w:ascii="仿宋_GB2312" w:hAnsi="宋体" w:cs="宋体"/>
                <w:kern w:val="0"/>
                <w:sz w:val="24"/>
              </w:rPr>
            </w:pPr>
          </w:p>
        </w:tc>
      </w:tr>
    </w:tbl>
    <w:p>
      <w:pPr>
        <w:spacing w:line="560" w:lineRule="exact"/>
        <w:ind w:right="-55" w:rightChars="-27"/>
        <w:rPr>
          <w:rFonts w:ascii="黑体" w:eastAsia="黑体"/>
          <w:szCs w:val="32"/>
        </w:rPr>
        <w:sectPr>
          <w:pgSz w:w="16838" w:h="11906" w:orient="landscape"/>
          <w:pgMar w:top="1474" w:right="1928" w:bottom="1588" w:left="2098" w:header="851" w:footer="992" w:gutter="0"/>
          <w:pgNumType w:chapStyle="1" w:chapSep="emDash"/>
          <w:cols w:space="720" w:num="1"/>
          <w:docGrid w:type="linesAndChars" w:linePitch="582" w:charSpace="-849"/>
        </w:sectPr>
      </w:pPr>
    </w:p>
    <w:p>
      <w:pPr>
        <w:spacing w:line="560" w:lineRule="exact"/>
        <w:ind w:right="-57" w:rightChars="-27"/>
        <w:rPr>
          <w:rFonts w:ascii="黑体" w:eastAsia="黑体"/>
          <w:sz w:val="32"/>
          <w:szCs w:val="32"/>
        </w:rPr>
      </w:pPr>
      <w:r>
        <w:rPr>
          <w:rFonts w:hint="eastAsia" w:ascii="黑体" w:eastAsia="黑体"/>
          <w:sz w:val="32"/>
          <w:szCs w:val="32"/>
        </w:rPr>
        <w:t>附件6</w:t>
      </w:r>
    </w:p>
    <w:p>
      <w:pPr>
        <w:spacing w:line="560" w:lineRule="exact"/>
        <w:ind w:right="-57" w:rightChars="-27" w:firstLine="3452" w:firstLineChars="1644"/>
        <w:rPr>
          <w:rFonts w:ascii="黑体" w:eastAsia="黑体"/>
          <w:szCs w:val="32"/>
        </w:rPr>
      </w:pPr>
    </w:p>
    <w:p>
      <w:pPr>
        <w:spacing w:line="64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天津港保税区、天津空港经济区</w:t>
      </w:r>
    </w:p>
    <w:p>
      <w:pPr>
        <w:spacing w:line="64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职工公寓考评标准</w:t>
      </w:r>
    </w:p>
    <w:p>
      <w:pPr>
        <w:spacing w:line="640" w:lineRule="exact"/>
        <w:jc w:val="center"/>
        <w:rPr>
          <w:rFonts w:ascii="仿宋_GB2312" w:hAnsi="华文中宋" w:eastAsia="仿宋_GB2312" w:cs="宋体"/>
          <w:kern w:val="0"/>
          <w:sz w:val="32"/>
          <w:szCs w:val="32"/>
        </w:rPr>
      </w:pPr>
      <w:r>
        <w:rPr>
          <w:rFonts w:hint="eastAsia" w:ascii="仿宋_GB2312" w:hAnsi="华文中宋" w:eastAsia="仿宋_GB2312" w:cs="宋体"/>
          <w:kern w:val="0"/>
          <w:sz w:val="32"/>
          <w:szCs w:val="32"/>
        </w:rPr>
        <w:t>（综合服务考评项目）</w:t>
      </w:r>
    </w:p>
    <w:p>
      <w:pPr>
        <w:spacing w:line="560" w:lineRule="exact"/>
        <w:ind w:firstLine="420" w:firstLineChars="200"/>
        <w:rPr>
          <w:rFonts w:ascii="仿宋_GB2312"/>
          <w:szCs w:val="32"/>
        </w:rPr>
      </w:pPr>
    </w:p>
    <w:p>
      <w:pPr>
        <w:spacing w:line="58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一、物业规章制度</w:t>
      </w:r>
    </w:p>
    <w:p>
      <w:pPr>
        <w:pStyle w:val="51"/>
        <w:spacing w:line="580" w:lineRule="exact"/>
        <w:ind w:firstLine="640"/>
        <w:rPr>
          <w:rFonts w:ascii="仿宋_GB2312" w:hAnsi="宋体" w:eastAsia="仿宋_GB2312" w:cs="宋体"/>
          <w:b/>
          <w:kern w:val="0"/>
          <w:sz w:val="32"/>
          <w:szCs w:val="32"/>
        </w:rPr>
      </w:pPr>
      <w:r>
        <w:rPr>
          <w:rFonts w:hint="eastAsia" w:ascii="仿宋_GB2312" w:eastAsia="仿宋_GB2312"/>
          <w:sz w:val="32"/>
          <w:szCs w:val="32"/>
        </w:rPr>
        <w:t>（一）建立物业管理制度和服务质量管理体系，制定完善的物业管理方案并组织实施；</w:t>
      </w:r>
    </w:p>
    <w:p>
      <w:pPr>
        <w:pStyle w:val="51"/>
        <w:spacing w:line="580" w:lineRule="exact"/>
        <w:ind w:firstLine="640"/>
        <w:rPr>
          <w:rFonts w:ascii="仿宋_GB2312" w:hAnsi="宋体" w:eastAsia="仿宋_GB2312" w:cs="宋体"/>
          <w:b/>
          <w:kern w:val="0"/>
          <w:sz w:val="32"/>
          <w:szCs w:val="32"/>
        </w:rPr>
      </w:pPr>
      <w:r>
        <w:rPr>
          <w:rFonts w:hint="eastAsia" w:ascii="仿宋_GB2312" w:eastAsia="仿宋_GB2312"/>
          <w:sz w:val="32"/>
          <w:szCs w:val="32"/>
        </w:rPr>
        <w:t>（二）</w:t>
      </w:r>
      <w:r>
        <w:rPr>
          <w:rFonts w:hint="eastAsia" w:ascii="仿宋_GB2312" w:eastAsia="仿宋_GB2312"/>
          <w:kern w:val="0"/>
          <w:sz w:val="32"/>
          <w:szCs w:val="32"/>
        </w:rPr>
        <w:t>工作均有制度规范，有明确的物业管理分工机制，要定岗、定职、定责，责任到人；</w:t>
      </w:r>
    </w:p>
    <w:p>
      <w:pPr>
        <w:pStyle w:val="51"/>
        <w:spacing w:line="580" w:lineRule="exact"/>
        <w:ind w:firstLine="640"/>
        <w:rPr>
          <w:rFonts w:ascii="仿宋_GB2312" w:eastAsia="仿宋_GB2312"/>
          <w:sz w:val="32"/>
          <w:szCs w:val="32"/>
        </w:rPr>
      </w:pPr>
      <w:r>
        <w:rPr>
          <w:rFonts w:hint="eastAsia" w:ascii="仿宋_GB2312" w:eastAsia="仿宋_GB2312"/>
          <w:sz w:val="32"/>
          <w:szCs w:val="32"/>
        </w:rPr>
        <w:t>（三）建立物业服务企业与入住企业职工之间的双向沟通反馈档案，及时准确了解职工对安全、卫生、物业服务等方面的意见；要求物业联合企业建立公寓宿管员制度，由宿管员传达、协调、落实物业管理条例等制度及要求；</w:t>
      </w:r>
    </w:p>
    <w:p>
      <w:pPr>
        <w:pStyle w:val="51"/>
        <w:spacing w:line="580" w:lineRule="exact"/>
        <w:ind w:firstLine="640"/>
        <w:rPr>
          <w:rFonts w:ascii="仿宋_GB2312" w:eastAsia="仿宋_GB2312"/>
          <w:sz w:val="32"/>
          <w:szCs w:val="32"/>
        </w:rPr>
      </w:pPr>
      <w:r>
        <w:rPr>
          <w:rFonts w:hint="eastAsia" w:ascii="仿宋_GB2312" w:eastAsia="仿宋_GB2312"/>
          <w:sz w:val="32"/>
          <w:szCs w:val="32"/>
        </w:rPr>
        <w:t>（四）具备公寓管理相关预案，如：突发性事件应急预案、刑事案件及恶性事件应急处理预案、消防疏散应急预案、打架斗殴事件应急措施等；</w:t>
      </w:r>
    </w:p>
    <w:p>
      <w:pPr>
        <w:pStyle w:val="51"/>
        <w:spacing w:line="580" w:lineRule="exact"/>
        <w:ind w:firstLine="640"/>
        <w:rPr>
          <w:rFonts w:ascii="仿宋_GB2312" w:eastAsia="仿宋_GB2312"/>
          <w:sz w:val="32"/>
          <w:szCs w:val="32"/>
        </w:rPr>
      </w:pPr>
      <w:r>
        <w:rPr>
          <w:rFonts w:hint="eastAsia" w:ascii="仿宋_GB2312" w:eastAsia="仿宋_GB2312"/>
          <w:sz w:val="32"/>
          <w:szCs w:val="32"/>
        </w:rPr>
        <w:t>（五）要求物业客服中心环境优美整洁，各项规章制度、岗位责任制度齐全并挂在醒目的地方；物业部门建立、建全各种管理档案：如“人员入住档案”、“维修档案”、“养护绿化”、“排班考勤”、“财务管理”等内部管理计划、记录，随时供有关管理部门调阅；具备各种基础资料，如物业竣工验收资料、设备管理档案、企业活动信息、日常管理档案等，台账报表、图册健全，保存完好；</w:t>
      </w:r>
    </w:p>
    <w:p>
      <w:pPr>
        <w:pStyle w:val="51"/>
        <w:spacing w:line="580" w:lineRule="exact"/>
        <w:ind w:firstLine="640"/>
        <w:rPr>
          <w:rFonts w:ascii="仿宋_GB2312" w:eastAsia="仿宋_GB2312"/>
          <w:sz w:val="32"/>
          <w:szCs w:val="32"/>
        </w:rPr>
      </w:pPr>
      <w:r>
        <w:rPr>
          <w:rFonts w:hint="eastAsia" w:ascii="仿宋_GB2312" w:eastAsia="仿宋_GB2312"/>
          <w:sz w:val="32"/>
          <w:szCs w:val="32"/>
        </w:rPr>
        <w:t>（六）建立健全人员入住制度，有办公自动化职工公寓管理系统、电子台帐，每月更新企业租赁情况上报一份到公寓管理部门，大批量入住、退宿等特殊情况随时汇报；</w:t>
      </w:r>
    </w:p>
    <w:p>
      <w:pPr>
        <w:pStyle w:val="51"/>
        <w:spacing w:line="580" w:lineRule="exact"/>
        <w:ind w:firstLine="640"/>
        <w:rPr>
          <w:rFonts w:ascii="仿宋_GB2312" w:eastAsia="仿宋_GB2312"/>
          <w:sz w:val="32"/>
          <w:szCs w:val="32"/>
        </w:rPr>
      </w:pPr>
      <w:r>
        <w:rPr>
          <w:rFonts w:hint="eastAsia" w:ascii="仿宋_GB2312" w:eastAsia="仿宋_GB2312"/>
          <w:sz w:val="32"/>
          <w:szCs w:val="32"/>
        </w:rPr>
        <w:t>（七）建立健全维修制度，有报修、维修记录，有更换、增加设施设备情况详细记载；</w:t>
      </w:r>
    </w:p>
    <w:p>
      <w:pPr>
        <w:pStyle w:val="51"/>
        <w:spacing w:line="580" w:lineRule="exact"/>
        <w:ind w:firstLine="640"/>
        <w:rPr>
          <w:rFonts w:ascii="仿宋_GB2312" w:eastAsia="仿宋_GB2312"/>
          <w:sz w:val="32"/>
          <w:szCs w:val="32"/>
        </w:rPr>
      </w:pPr>
      <w:r>
        <w:rPr>
          <w:rFonts w:hint="eastAsia" w:ascii="仿宋_GB2312" w:eastAsia="仿宋_GB2312"/>
          <w:sz w:val="32"/>
          <w:szCs w:val="32"/>
        </w:rPr>
        <w:t>（八）完善物业职工培训考评机制，制定培训计划，定期培训服务标准、业务知识等。</w:t>
      </w:r>
    </w:p>
    <w:p>
      <w:pPr>
        <w:spacing w:line="58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二、物业服务管理</w:t>
      </w:r>
    </w:p>
    <w:p>
      <w:pPr>
        <w:pStyle w:val="51"/>
        <w:spacing w:line="580" w:lineRule="exact"/>
        <w:ind w:firstLine="640"/>
        <w:rPr>
          <w:rFonts w:ascii="仿宋_GB2312" w:eastAsia="仿宋_GB2312"/>
          <w:sz w:val="32"/>
          <w:szCs w:val="32"/>
        </w:rPr>
      </w:pPr>
      <w:r>
        <w:rPr>
          <w:rFonts w:hint="eastAsia" w:ascii="仿宋_GB2312" w:eastAsia="仿宋_GB2312"/>
          <w:sz w:val="32"/>
          <w:szCs w:val="32"/>
        </w:rPr>
        <w:t>（一）物业公司人员配备齐全，不缺勤、不脱岗，要求分工明确，有工作分配报告，建立考勤档案；</w:t>
      </w:r>
    </w:p>
    <w:p>
      <w:pPr>
        <w:pStyle w:val="51"/>
        <w:spacing w:line="580" w:lineRule="exact"/>
        <w:ind w:firstLine="640"/>
        <w:rPr>
          <w:rFonts w:ascii="仿宋_GB2312" w:eastAsia="仿宋_GB2312"/>
          <w:sz w:val="32"/>
          <w:szCs w:val="32"/>
        </w:rPr>
      </w:pPr>
      <w:r>
        <w:rPr>
          <w:rFonts w:hint="eastAsia" w:ascii="仿宋_GB2312" w:eastAsia="仿宋_GB2312"/>
          <w:sz w:val="32"/>
          <w:szCs w:val="32"/>
        </w:rPr>
        <w:t>（二）物业公司人员对待入住职工态度要谦和、服务热情，做好职工入住、退宿、续租手续办理工作；</w:t>
      </w:r>
    </w:p>
    <w:p>
      <w:pPr>
        <w:pStyle w:val="51"/>
        <w:spacing w:line="580" w:lineRule="exact"/>
        <w:ind w:firstLine="640"/>
        <w:rPr>
          <w:rFonts w:ascii="仿宋_GB2312" w:eastAsia="仿宋_GB2312"/>
          <w:sz w:val="32"/>
          <w:szCs w:val="32"/>
        </w:rPr>
      </w:pPr>
      <w:r>
        <w:rPr>
          <w:rFonts w:hint="eastAsia" w:ascii="仿宋_GB2312" w:eastAsia="仿宋_GB2312"/>
          <w:sz w:val="32"/>
          <w:szCs w:val="32"/>
        </w:rPr>
        <w:t>（三）按规范签订物业管理服务合同，并按照合同约定公布物业管理服务项目、内容及物业管理服务费标准；</w:t>
      </w:r>
    </w:p>
    <w:p>
      <w:pPr>
        <w:pStyle w:val="51"/>
        <w:spacing w:line="580" w:lineRule="exact"/>
        <w:ind w:firstLine="640"/>
        <w:rPr>
          <w:rFonts w:ascii="仿宋_GB2312" w:eastAsia="仿宋_GB2312"/>
          <w:sz w:val="32"/>
          <w:szCs w:val="32"/>
        </w:rPr>
      </w:pPr>
      <w:r>
        <w:rPr>
          <w:rFonts w:hint="eastAsia" w:ascii="仿宋_GB2312" w:eastAsia="仿宋_GB2312"/>
          <w:sz w:val="32"/>
          <w:szCs w:val="32"/>
        </w:rPr>
        <w:t>（四）服务人员统一着装、佩戴标志、语言规范、文明服务；</w:t>
      </w:r>
    </w:p>
    <w:p>
      <w:pPr>
        <w:pStyle w:val="51"/>
        <w:spacing w:line="580" w:lineRule="exact"/>
        <w:ind w:firstLine="640"/>
        <w:rPr>
          <w:rFonts w:ascii="仿宋_GB2312" w:eastAsia="仿宋_GB2312"/>
          <w:sz w:val="32"/>
          <w:szCs w:val="32"/>
        </w:rPr>
      </w:pPr>
      <w:r>
        <w:rPr>
          <w:rFonts w:hint="eastAsia" w:ascii="仿宋_GB2312" w:eastAsia="仿宋_GB2312"/>
          <w:sz w:val="32"/>
          <w:szCs w:val="32"/>
        </w:rPr>
        <w:t>（五）物业经理、专业技术及其他特定岗位人员应持有政府或专业部门颁发的有效证书上岗；广泛运用计算机对客户资料、房屋档案、设备档案、收费管理、日常办公等进行管理；</w:t>
      </w:r>
    </w:p>
    <w:p>
      <w:pPr>
        <w:pStyle w:val="51"/>
        <w:spacing w:line="580" w:lineRule="exact"/>
        <w:ind w:firstLine="640"/>
        <w:rPr>
          <w:rFonts w:ascii="仿宋_GB2312" w:eastAsia="仿宋_GB2312"/>
          <w:sz w:val="32"/>
          <w:szCs w:val="32"/>
        </w:rPr>
      </w:pPr>
      <w:r>
        <w:rPr>
          <w:rFonts w:hint="eastAsia" w:ascii="仿宋_GB2312" w:eastAsia="仿宋_GB2312"/>
          <w:sz w:val="32"/>
          <w:szCs w:val="32"/>
        </w:rPr>
        <w:t xml:space="preserve">（六）召集成立宿舍管理委员会并主动开展工作，组织丰富多彩的职工公寓文化活动；  </w:t>
      </w:r>
    </w:p>
    <w:p>
      <w:pPr>
        <w:pStyle w:val="51"/>
        <w:spacing w:line="580" w:lineRule="exact"/>
        <w:ind w:firstLine="640"/>
        <w:rPr>
          <w:rFonts w:ascii="仿宋_GB2312" w:eastAsia="仿宋_GB2312"/>
          <w:sz w:val="32"/>
          <w:szCs w:val="32"/>
        </w:rPr>
      </w:pPr>
      <w:r>
        <w:rPr>
          <w:rFonts w:hint="eastAsia" w:ascii="仿宋_GB2312" w:eastAsia="仿宋_GB2312"/>
          <w:sz w:val="32"/>
          <w:szCs w:val="32"/>
        </w:rPr>
        <w:t>（七）采取客户走访、座谈会、电话沟通、问卷调查等形式开展回访工作，回访率85%以上。每年进行一次满意度抽样测评，满意率达到85%，并对薄弱环节进行改进；</w:t>
      </w:r>
    </w:p>
    <w:p>
      <w:pPr>
        <w:pStyle w:val="51"/>
        <w:spacing w:line="580" w:lineRule="exact"/>
        <w:ind w:firstLine="640"/>
        <w:rPr>
          <w:rFonts w:ascii="仿宋_GB2312" w:eastAsia="仿宋_GB2312"/>
          <w:sz w:val="32"/>
          <w:szCs w:val="32"/>
        </w:rPr>
      </w:pPr>
      <w:r>
        <w:rPr>
          <w:rFonts w:hint="eastAsia" w:ascii="仿宋_GB2312" w:eastAsia="仿宋_GB2312"/>
          <w:sz w:val="32"/>
          <w:szCs w:val="32"/>
        </w:rPr>
        <w:t>（八）设置公寓“服务热线”，公示热线电话，24小时有管理人员接待物业使用人及来访客户，处理物业管理服务合同范围内的公共性事务，受理物业使用人及来访客户的咨询和投诉，有效投诉处理率100%，做到服务接待登记。</w:t>
      </w:r>
    </w:p>
    <w:p>
      <w:pPr>
        <w:spacing w:line="58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三、环境管理—公共区域</w:t>
      </w:r>
    </w:p>
    <w:p>
      <w:pPr>
        <w:pStyle w:val="51"/>
        <w:spacing w:line="580" w:lineRule="exact"/>
        <w:ind w:firstLine="640"/>
        <w:rPr>
          <w:rFonts w:ascii="仿宋_GB2312" w:eastAsia="仿宋_GB2312"/>
          <w:sz w:val="32"/>
          <w:szCs w:val="32"/>
        </w:rPr>
      </w:pPr>
      <w:r>
        <w:rPr>
          <w:rFonts w:hint="eastAsia" w:ascii="仿宋_GB2312" w:eastAsia="仿宋_GB2312"/>
          <w:sz w:val="32"/>
          <w:szCs w:val="32"/>
        </w:rPr>
        <w:t>（一）公寓整体卫生要求：上报公寓各项卫生维护分工明细名单并排好班次，实施责任人管理，抓好落实；</w:t>
      </w:r>
    </w:p>
    <w:p>
      <w:pPr>
        <w:pStyle w:val="51"/>
        <w:spacing w:line="580" w:lineRule="exact"/>
        <w:ind w:firstLine="640"/>
        <w:rPr>
          <w:rFonts w:ascii="仿宋_GB2312" w:eastAsia="仿宋_GB2312"/>
          <w:sz w:val="32"/>
          <w:szCs w:val="32"/>
        </w:rPr>
      </w:pPr>
      <w:r>
        <w:rPr>
          <w:rFonts w:hint="eastAsia" w:ascii="仿宋_GB2312" w:eastAsia="仿宋_GB2312"/>
          <w:sz w:val="32"/>
          <w:szCs w:val="32"/>
        </w:rPr>
        <w:t>（二）公共区域日常设专人保洁，保持公共区域干净整洁无杂物；硬化地面、主次干道每天清扫2次，干净整洁；室外标识、宣传栏、信报箱等每周擦拭2次；对区内主路、干路积水、积雪、烟花、炮屑及时进行清扫；下雪、暴雨天气及时有效清理楼内外地面公共区域玻璃每周擦洗1次；</w:t>
      </w:r>
    </w:p>
    <w:p>
      <w:pPr>
        <w:pStyle w:val="51"/>
        <w:spacing w:line="580" w:lineRule="exact"/>
        <w:ind w:firstLine="640"/>
        <w:rPr>
          <w:rFonts w:ascii="仿宋_GB2312" w:eastAsia="仿宋_GB2312"/>
          <w:sz w:val="32"/>
          <w:szCs w:val="32"/>
        </w:rPr>
      </w:pPr>
      <w:r>
        <w:rPr>
          <w:rFonts w:hint="eastAsia" w:ascii="仿宋_GB2312" w:eastAsia="仿宋_GB2312"/>
          <w:sz w:val="32"/>
          <w:szCs w:val="32"/>
        </w:rPr>
        <w:t>（三）公共区域内墙体立面，包括商铺内墙保持整洁，无污迹、无乱悬挂或搭建物、无乱张贴；</w:t>
      </w:r>
    </w:p>
    <w:p>
      <w:pPr>
        <w:pStyle w:val="51"/>
        <w:spacing w:line="580" w:lineRule="exact"/>
        <w:ind w:firstLine="640"/>
        <w:rPr>
          <w:rFonts w:ascii="仿宋_GB2312" w:eastAsia="仿宋_GB2312"/>
          <w:sz w:val="32"/>
          <w:szCs w:val="32"/>
        </w:rPr>
      </w:pPr>
      <w:r>
        <w:rPr>
          <w:rFonts w:hint="eastAsia" w:ascii="仿宋_GB2312" w:eastAsia="仿宋_GB2312"/>
          <w:sz w:val="32"/>
          <w:szCs w:val="32"/>
        </w:rPr>
        <w:t>（四）加强公寓内绿化养护、病虫害防治，杂草、死株及时清理；</w:t>
      </w:r>
    </w:p>
    <w:p>
      <w:pPr>
        <w:pStyle w:val="51"/>
        <w:spacing w:line="580" w:lineRule="exact"/>
        <w:ind w:firstLine="640"/>
        <w:rPr>
          <w:rFonts w:ascii="仿宋_GB2312" w:eastAsia="仿宋_GB2312"/>
          <w:sz w:val="32"/>
          <w:szCs w:val="32"/>
        </w:rPr>
      </w:pPr>
      <w:r>
        <w:rPr>
          <w:rFonts w:hint="eastAsia" w:ascii="仿宋_GB2312" w:eastAsia="仿宋_GB2312"/>
          <w:sz w:val="32"/>
          <w:szCs w:val="32"/>
        </w:rPr>
        <w:t>（五）做好垃圾的分类处置工作。</w:t>
      </w:r>
    </w:p>
    <w:p>
      <w:pPr>
        <w:spacing w:line="58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四、环境管理-宿舍楼内</w:t>
      </w:r>
    </w:p>
    <w:p>
      <w:pPr>
        <w:pStyle w:val="51"/>
        <w:spacing w:line="560" w:lineRule="exact"/>
        <w:ind w:firstLine="640"/>
        <w:rPr>
          <w:rFonts w:ascii="仿宋_GB2312" w:eastAsia="仿宋_GB2312"/>
          <w:sz w:val="32"/>
          <w:szCs w:val="32"/>
        </w:rPr>
      </w:pPr>
      <w:r>
        <w:rPr>
          <w:rFonts w:hint="eastAsia" w:ascii="仿宋_GB2312" w:eastAsia="仿宋_GB2312"/>
          <w:sz w:val="32"/>
          <w:szCs w:val="32"/>
        </w:rPr>
        <w:t>（一）楼内每天进行保洁巡查，无乱悬挂、乱贴乱画、乱堆乱放、饲养宠物等现象；</w:t>
      </w:r>
    </w:p>
    <w:p>
      <w:pPr>
        <w:pStyle w:val="51"/>
        <w:spacing w:line="560" w:lineRule="exact"/>
        <w:ind w:firstLine="640"/>
        <w:rPr>
          <w:rFonts w:ascii="仿宋_GB2312" w:eastAsia="仿宋_GB2312"/>
          <w:sz w:val="32"/>
          <w:szCs w:val="32"/>
        </w:rPr>
      </w:pPr>
      <w:r>
        <w:rPr>
          <w:rFonts w:hint="eastAsia" w:ascii="仿宋_GB2312" w:eastAsia="仿宋_GB2312"/>
          <w:sz w:val="32"/>
          <w:szCs w:val="32"/>
        </w:rPr>
        <w:t>（二）楼内盥洗室水池、公共卫生间、地漏、阴沟等每日清洁2次，确保无异味、无污垢，污水管及下水道排水通畅；</w:t>
      </w:r>
    </w:p>
    <w:p>
      <w:pPr>
        <w:pStyle w:val="51"/>
        <w:spacing w:line="560" w:lineRule="exact"/>
        <w:ind w:firstLine="640"/>
        <w:rPr>
          <w:rFonts w:ascii="仿宋_GB2312" w:eastAsia="仿宋_GB2312"/>
          <w:sz w:val="32"/>
          <w:szCs w:val="32"/>
        </w:rPr>
      </w:pPr>
      <w:r>
        <w:rPr>
          <w:rFonts w:hint="eastAsia" w:ascii="仿宋_GB2312" w:eastAsia="仿宋_GB2312"/>
          <w:sz w:val="32"/>
          <w:szCs w:val="32"/>
        </w:rPr>
        <w:t>（三）建立企业宿舍管理员制度、寝室宿舍长制度，督促室内卫生保洁制度质量，宿舍内有卫生保洁值班表；</w:t>
      </w:r>
    </w:p>
    <w:p>
      <w:pPr>
        <w:pStyle w:val="51"/>
        <w:spacing w:line="560" w:lineRule="exact"/>
        <w:ind w:firstLine="640"/>
        <w:rPr>
          <w:rFonts w:ascii="仿宋_GB2312" w:eastAsia="仿宋_GB2312"/>
          <w:sz w:val="32"/>
          <w:szCs w:val="32"/>
        </w:rPr>
      </w:pPr>
      <w:r>
        <w:rPr>
          <w:rFonts w:hint="eastAsia" w:ascii="仿宋_GB2312" w:eastAsia="仿宋_GB2312"/>
          <w:sz w:val="32"/>
          <w:szCs w:val="32"/>
        </w:rPr>
        <w:t>（四）寝室内物品摆放整齐，地面无污迹、纸屑等，桌面、墙面、门、窗台无污迹、无灰尘、无划痕、无乱张贴，窗户玻璃明亮；环境清洁整齐。</w:t>
      </w:r>
    </w:p>
    <w:p>
      <w:pPr>
        <w:spacing w:line="56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五、维修制度</w:t>
      </w:r>
    </w:p>
    <w:p>
      <w:pPr>
        <w:pStyle w:val="51"/>
        <w:spacing w:line="560" w:lineRule="exact"/>
        <w:ind w:firstLine="640"/>
        <w:rPr>
          <w:rFonts w:ascii="仿宋_GB2312" w:eastAsia="仿宋_GB2312"/>
          <w:sz w:val="32"/>
          <w:szCs w:val="32"/>
        </w:rPr>
      </w:pPr>
      <w:r>
        <w:rPr>
          <w:rFonts w:hint="eastAsia" w:ascii="仿宋_GB2312" w:eastAsia="仿宋_GB2312"/>
          <w:sz w:val="32"/>
          <w:szCs w:val="32"/>
        </w:rPr>
        <w:t>（一）按有关政策规定和相关约定对房屋及配套设施进行管理服务；</w:t>
      </w:r>
    </w:p>
    <w:p>
      <w:pPr>
        <w:pStyle w:val="51"/>
        <w:spacing w:line="560" w:lineRule="exact"/>
        <w:ind w:firstLine="640"/>
        <w:rPr>
          <w:rFonts w:ascii="仿宋_GB2312" w:eastAsia="仿宋_GB2312"/>
          <w:sz w:val="32"/>
          <w:szCs w:val="32"/>
        </w:rPr>
      </w:pPr>
      <w:r>
        <w:rPr>
          <w:rFonts w:hint="eastAsia" w:ascii="仿宋_GB2312" w:eastAsia="仿宋_GB2312"/>
          <w:sz w:val="32"/>
          <w:szCs w:val="32"/>
        </w:rPr>
        <w:t>（二）物业维修部门建立严格的维修制度，配备专业维修人员及设备工具，实行24小时值班制度，建立报修档案；建立维修回访制度，回访率达到100%；</w:t>
      </w:r>
    </w:p>
    <w:p>
      <w:pPr>
        <w:pStyle w:val="51"/>
        <w:spacing w:line="560" w:lineRule="exact"/>
        <w:ind w:firstLine="640"/>
        <w:rPr>
          <w:rFonts w:ascii="仿宋_GB2312" w:eastAsia="仿宋_GB2312"/>
          <w:sz w:val="32"/>
          <w:szCs w:val="32"/>
        </w:rPr>
      </w:pPr>
      <w:r>
        <w:rPr>
          <w:rFonts w:hint="eastAsia" w:ascii="仿宋_GB2312" w:eastAsia="仿宋_GB2312"/>
          <w:sz w:val="32"/>
          <w:szCs w:val="32"/>
        </w:rPr>
        <w:t>（三）制订完善的维修计划，定期对水电设施、消防器材等公用设施设备进行检查、维护、修复并做好记录；</w:t>
      </w:r>
    </w:p>
    <w:p>
      <w:pPr>
        <w:pStyle w:val="51"/>
        <w:spacing w:line="560" w:lineRule="exact"/>
        <w:ind w:firstLine="640"/>
        <w:rPr>
          <w:rFonts w:ascii="仿宋_GB2312" w:eastAsia="仿宋_GB2312"/>
          <w:sz w:val="32"/>
          <w:szCs w:val="32"/>
        </w:rPr>
      </w:pPr>
      <w:r>
        <w:rPr>
          <w:rFonts w:hint="eastAsia" w:ascii="仿宋_GB2312" w:eastAsia="仿宋_GB2312"/>
          <w:sz w:val="32"/>
          <w:szCs w:val="32"/>
        </w:rPr>
        <w:t>（四）公用设施设备按照项目配套建设及管理责任分工运转正常，维护良好，有设备台账、运行记录、检查记录、维修记录、保养记录；对设备故障及重大或突发性事件有应急方案和现场处理措施、处理记录；</w:t>
      </w:r>
    </w:p>
    <w:p>
      <w:pPr>
        <w:pStyle w:val="51"/>
        <w:spacing w:line="540" w:lineRule="exact"/>
        <w:ind w:firstLine="640"/>
        <w:rPr>
          <w:rFonts w:ascii="仿宋_GB2312" w:eastAsia="仿宋_GB2312"/>
          <w:sz w:val="32"/>
          <w:szCs w:val="32"/>
        </w:rPr>
      </w:pPr>
      <w:r>
        <w:rPr>
          <w:rFonts w:hint="eastAsia" w:ascii="仿宋_GB2312" w:eastAsia="仿宋_GB2312"/>
          <w:sz w:val="32"/>
          <w:szCs w:val="32"/>
        </w:rPr>
        <w:t>（五）水、电、电梯、监控、消防设施设备等设备运行人员技能熟练，严格遵守操作规程及保养规范；</w:t>
      </w:r>
    </w:p>
    <w:p>
      <w:pPr>
        <w:pStyle w:val="51"/>
        <w:spacing w:line="540" w:lineRule="exact"/>
        <w:ind w:firstLine="640"/>
        <w:rPr>
          <w:rFonts w:ascii="仿宋_GB2312" w:eastAsia="仿宋_GB2312"/>
          <w:sz w:val="32"/>
          <w:szCs w:val="32"/>
        </w:rPr>
      </w:pPr>
      <w:r>
        <w:rPr>
          <w:rFonts w:hint="eastAsia" w:ascii="仿宋_GB2312" w:eastAsia="仿宋_GB2312"/>
          <w:sz w:val="32"/>
          <w:szCs w:val="32"/>
        </w:rPr>
        <w:t>（六）职工公寓的零修、急修及时完成；对水、电等影响职工正常生活的报修必须在10分钟内赶到现场进行抢修，完成时间最长不得超过12小时，并做好维修记录和回访工作并上报回访报告。</w:t>
      </w:r>
    </w:p>
    <w:p>
      <w:pPr>
        <w:spacing w:line="54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六、节能降耗</w:t>
      </w:r>
    </w:p>
    <w:p>
      <w:pPr>
        <w:pStyle w:val="51"/>
        <w:spacing w:line="540" w:lineRule="exact"/>
        <w:ind w:firstLine="640"/>
        <w:rPr>
          <w:rFonts w:ascii="仿宋_GB2312" w:eastAsia="仿宋_GB2312"/>
          <w:sz w:val="32"/>
          <w:szCs w:val="32"/>
        </w:rPr>
      </w:pPr>
      <w:r>
        <w:rPr>
          <w:rFonts w:hint="eastAsia" w:ascii="仿宋_GB2312" w:eastAsia="仿宋_GB2312"/>
          <w:sz w:val="32"/>
          <w:szCs w:val="32"/>
        </w:rPr>
        <w:t>（一）公司应当开展节能教育，组织有关人员参加节能培训；</w:t>
      </w:r>
    </w:p>
    <w:p>
      <w:pPr>
        <w:pStyle w:val="51"/>
        <w:spacing w:line="540" w:lineRule="exact"/>
        <w:ind w:firstLine="640"/>
        <w:rPr>
          <w:rFonts w:ascii="仿宋_GB2312" w:eastAsia="仿宋_GB2312"/>
          <w:sz w:val="32"/>
          <w:szCs w:val="32"/>
        </w:rPr>
      </w:pPr>
      <w:r>
        <w:rPr>
          <w:rFonts w:hint="eastAsia" w:ascii="仿宋_GB2312" w:eastAsia="仿宋_GB2312"/>
          <w:sz w:val="32"/>
          <w:szCs w:val="32"/>
        </w:rPr>
        <w:t>（二）选择节能设施、设备，公共洗漱间、开水间、卫生设施完好，防止跑冒滴漏；</w:t>
      </w:r>
    </w:p>
    <w:p>
      <w:pPr>
        <w:pStyle w:val="51"/>
        <w:spacing w:line="540" w:lineRule="exact"/>
        <w:ind w:firstLine="640"/>
        <w:rPr>
          <w:rFonts w:ascii="仿宋_GB2312" w:eastAsia="仿宋_GB2312"/>
          <w:sz w:val="32"/>
          <w:szCs w:val="32"/>
        </w:rPr>
      </w:pPr>
      <w:r>
        <w:rPr>
          <w:rFonts w:hint="eastAsia" w:ascii="仿宋_GB2312" w:eastAsia="仿宋_GB2312"/>
          <w:sz w:val="32"/>
          <w:szCs w:val="32"/>
        </w:rPr>
        <w:t>（三）物业监督职工出入宿舍时关闭台灯、空调、电脑等电源，鼓励使用发热少、减少空调消耗的节能用品；</w:t>
      </w:r>
    </w:p>
    <w:p>
      <w:pPr>
        <w:pStyle w:val="51"/>
        <w:spacing w:line="540" w:lineRule="exact"/>
        <w:ind w:firstLine="640"/>
        <w:rPr>
          <w:rFonts w:ascii="仿宋_GB2312" w:eastAsia="仿宋_GB2312"/>
          <w:sz w:val="32"/>
          <w:szCs w:val="32"/>
        </w:rPr>
      </w:pPr>
      <w:r>
        <w:rPr>
          <w:rFonts w:hint="eastAsia" w:ascii="仿宋_GB2312" w:eastAsia="仿宋_GB2312"/>
          <w:sz w:val="32"/>
          <w:szCs w:val="32"/>
        </w:rPr>
        <w:t>（四）定期监督检查综合楼食堂及宿舍职工洗手、刷碗要及时关闭水龙头；宿舍楼内盥洗室用水要有节制。</w:t>
      </w:r>
    </w:p>
    <w:p>
      <w:pPr>
        <w:spacing w:line="54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七、宿舍秩序</w:t>
      </w:r>
      <w:r>
        <w:rPr>
          <w:rFonts w:hint="eastAsia" w:ascii="黑体" w:hAnsi="黑体" w:eastAsia="黑体" w:cs="宋体"/>
          <w:b/>
          <w:kern w:val="0"/>
          <w:sz w:val="32"/>
          <w:szCs w:val="32"/>
        </w:rPr>
        <w:tab/>
      </w:r>
    </w:p>
    <w:p>
      <w:pPr>
        <w:pStyle w:val="51"/>
        <w:spacing w:line="540" w:lineRule="exact"/>
        <w:ind w:firstLine="640"/>
        <w:rPr>
          <w:rFonts w:ascii="仿宋_GB2312" w:eastAsia="仿宋_GB2312"/>
          <w:sz w:val="32"/>
          <w:szCs w:val="32"/>
        </w:rPr>
      </w:pPr>
      <w:r>
        <w:rPr>
          <w:rFonts w:hint="eastAsia" w:ascii="仿宋_GB2312" w:eastAsia="仿宋_GB2312"/>
          <w:sz w:val="32"/>
          <w:szCs w:val="32"/>
        </w:rPr>
        <w:t>（一）职工住宿建立宿舍管理员机制，50人以上企业须按照职工数量配备宿管员，物业通过宿管员传达相关信息；宿管员定期向物业更新人员变动情况；</w:t>
      </w:r>
    </w:p>
    <w:p>
      <w:pPr>
        <w:pStyle w:val="51"/>
        <w:spacing w:line="540" w:lineRule="exact"/>
        <w:ind w:firstLine="640"/>
        <w:rPr>
          <w:rFonts w:ascii="仿宋_GB2312" w:eastAsia="仿宋_GB2312"/>
          <w:sz w:val="32"/>
          <w:szCs w:val="32"/>
        </w:rPr>
      </w:pPr>
      <w:r>
        <w:rPr>
          <w:rFonts w:hint="eastAsia" w:ascii="仿宋_GB2312" w:eastAsia="仿宋_GB2312"/>
          <w:sz w:val="32"/>
          <w:szCs w:val="32"/>
        </w:rPr>
        <w:t>（二）物业工作人员联合宿管员定期检查、抽查职工住宿秩序，禁止私自调换房间、床位，严查离职不离宿行为；禁止擅自留宿他人，严格把关、规范住宿秩序，确保职工文明安全入住，并做好检查记录；</w:t>
      </w:r>
    </w:p>
    <w:p>
      <w:pPr>
        <w:pStyle w:val="51"/>
        <w:spacing w:line="540" w:lineRule="exact"/>
        <w:ind w:firstLine="640"/>
        <w:rPr>
          <w:rFonts w:ascii="仿宋_GB2312" w:eastAsia="仿宋_GB2312"/>
          <w:sz w:val="32"/>
          <w:szCs w:val="32"/>
        </w:rPr>
      </w:pPr>
      <w:r>
        <w:rPr>
          <w:rFonts w:hint="eastAsia" w:ascii="仿宋_GB2312" w:eastAsia="仿宋_GB2312"/>
          <w:sz w:val="32"/>
          <w:szCs w:val="32"/>
        </w:rPr>
        <w:t>（三）物业人员要定期查公共设备使用情况，保证寝室及公共区域内设施设备，如窗户、门锁、智能化设备、监控设备、晾衣杆、电表、水房热水器、瓷砖、空调、电扇、插座等完好；</w:t>
      </w:r>
    </w:p>
    <w:p>
      <w:pPr>
        <w:pStyle w:val="51"/>
        <w:spacing w:line="540" w:lineRule="exact"/>
        <w:ind w:firstLine="640"/>
        <w:rPr>
          <w:rFonts w:ascii="仿宋_GB2312" w:eastAsia="仿宋_GB2312"/>
          <w:sz w:val="32"/>
          <w:szCs w:val="32"/>
        </w:rPr>
      </w:pPr>
      <w:r>
        <w:rPr>
          <w:rFonts w:hint="eastAsia" w:ascii="仿宋_GB2312" w:eastAsia="仿宋_GB2312"/>
          <w:sz w:val="32"/>
          <w:szCs w:val="32"/>
        </w:rPr>
        <w:t>（四）严查宿舍、楼道内大声喧哗、追跑打斗，防止打架斗殴、破坏公共秩序、偷盗他人财物现象发生；</w:t>
      </w:r>
    </w:p>
    <w:p>
      <w:pPr>
        <w:pStyle w:val="51"/>
        <w:spacing w:line="540" w:lineRule="exact"/>
        <w:ind w:firstLine="640"/>
        <w:rPr>
          <w:rFonts w:ascii="仿宋_GB2312" w:eastAsia="仿宋_GB2312"/>
          <w:sz w:val="32"/>
          <w:szCs w:val="32"/>
        </w:rPr>
      </w:pPr>
      <w:r>
        <w:rPr>
          <w:rFonts w:hint="eastAsia" w:ascii="仿宋_GB2312" w:eastAsia="仿宋_GB2312"/>
          <w:sz w:val="32"/>
          <w:szCs w:val="32"/>
        </w:rPr>
        <w:t>（五）防止乱停乱放车辆、乱摆杂物、私自晾晒衣物等影响公共秩序的现象。</w:t>
      </w:r>
    </w:p>
    <w:p>
      <w:pPr>
        <w:spacing w:line="54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八、商业管理</w:t>
      </w:r>
    </w:p>
    <w:p>
      <w:pPr>
        <w:pStyle w:val="51"/>
        <w:spacing w:line="540" w:lineRule="exact"/>
        <w:ind w:firstLine="640"/>
        <w:rPr>
          <w:rFonts w:ascii="仿宋_GB2312" w:eastAsia="仿宋_GB2312"/>
          <w:sz w:val="32"/>
          <w:szCs w:val="32"/>
        </w:rPr>
      </w:pPr>
      <w:r>
        <w:rPr>
          <w:rFonts w:hint="eastAsia" w:ascii="仿宋_GB2312" w:eastAsia="仿宋_GB2312"/>
          <w:sz w:val="32"/>
          <w:szCs w:val="32"/>
        </w:rPr>
        <w:t>（一）商业实体经营性质要求为连锁经营，产权方与租户签订的租赁合同一次不得超过两年，续组须到公寓管理部门备案；</w:t>
      </w:r>
    </w:p>
    <w:p>
      <w:pPr>
        <w:pStyle w:val="51"/>
        <w:spacing w:line="540" w:lineRule="exact"/>
        <w:ind w:firstLine="640"/>
        <w:rPr>
          <w:rFonts w:ascii="仿宋_GB2312" w:eastAsia="仿宋_GB2312"/>
          <w:sz w:val="32"/>
          <w:szCs w:val="32"/>
        </w:rPr>
      </w:pPr>
      <w:r>
        <w:rPr>
          <w:rFonts w:hint="eastAsia" w:ascii="仿宋_GB2312" w:eastAsia="仿宋_GB2312"/>
          <w:sz w:val="32"/>
          <w:szCs w:val="32"/>
        </w:rPr>
        <w:t>（二）商业的业态定位、运营企划、施工标准等须统一经过公寓管理部门书面审批，对改变业态、转租、违法违规经营的租户，公寓管理部门有权取缔其租赁权利，经营损失由租户承担；</w:t>
      </w:r>
    </w:p>
    <w:p>
      <w:pPr>
        <w:pStyle w:val="51"/>
        <w:spacing w:line="540" w:lineRule="exact"/>
        <w:ind w:firstLine="640"/>
        <w:rPr>
          <w:rFonts w:ascii="仿宋_GB2312" w:eastAsia="仿宋_GB2312"/>
          <w:sz w:val="32"/>
          <w:szCs w:val="32"/>
        </w:rPr>
      </w:pPr>
      <w:r>
        <w:rPr>
          <w:rFonts w:hint="eastAsia" w:ascii="仿宋_GB2312" w:eastAsia="仿宋_GB2312"/>
          <w:sz w:val="32"/>
          <w:szCs w:val="32"/>
        </w:rPr>
        <w:t>（三）店铺内要求经营货品摆放均在店铺内，店内消防栓区域有适当安全空间，经营有序、卫生状况良好；</w:t>
      </w:r>
    </w:p>
    <w:p>
      <w:pPr>
        <w:pStyle w:val="51"/>
        <w:spacing w:line="540" w:lineRule="exact"/>
        <w:ind w:firstLine="640"/>
        <w:rPr>
          <w:rFonts w:ascii="仿宋_GB2312" w:eastAsia="仿宋_GB2312"/>
          <w:sz w:val="32"/>
          <w:szCs w:val="32"/>
        </w:rPr>
      </w:pPr>
      <w:r>
        <w:rPr>
          <w:rFonts w:hint="eastAsia" w:ascii="仿宋_GB2312" w:eastAsia="仿宋_GB2312"/>
          <w:sz w:val="32"/>
          <w:szCs w:val="32"/>
        </w:rPr>
        <w:t>（四）公寓商业区域内要求每日保洁两次以上，地面清洁无杂物，商铺无乱贴乱挂、乱涂乱画现象；</w:t>
      </w:r>
    </w:p>
    <w:p>
      <w:pPr>
        <w:pStyle w:val="51"/>
        <w:spacing w:line="540" w:lineRule="exact"/>
        <w:ind w:firstLine="640"/>
        <w:rPr>
          <w:rFonts w:ascii="仿宋_GB2312" w:eastAsia="仿宋_GB2312"/>
          <w:sz w:val="32"/>
          <w:szCs w:val="32"/>
        </w:rPr>
      </w:pPr>
      <w:r>
        <w:rPr>
          <w:rFonts w:hint="eastAsia" w:ascii="仿宋_GB2312" w:eastAsia="仿宋_GB2312"/>
          <w:sz w:val="32"/>
          <w:szCs w:val="32"/>
        </w:rPr>
        <w:t>（五）严格巡查商铺经营秩序，及时制止违规经营等影响食品安全、人身安全的行为，文明经营，勤于管理。</w:t>
      </w:r>
    </w:p>
    <w:p>
      <w:pPr>
        <w:spacing w:line="54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九、文化阵地管理</w:t>
      </w:r>
    </w:p>
    <w:p>
      <w:pPr>
        <w:pStyle w:val="51"/>
        <w:spacing w:line="540" w:lineRule="exact"/>
        <w:ind w:firstLine="640"/>
        <w:rPr>
          <w:rFonts w:ascii="仿宋_GB2312" w:eastAsia="仿宋_GB2312"/>
          <w:sz w:val="32"/>
          <w:szCs w:val="32"/>
        </w:rPr>
      </w:pPr>
      <w:r>
        <w:rPr>
          <w:rFonts w:hint="eastAsia" w:ascii="仿宋_GB2312" w:eastAsia="仿宋_GB2312"/>
          <w:sz w:val="32"/>
          <w:szCs w:val="32"/>
        </w:rPr>
        <w:t>（一）保证文化阵地各项设施的功能完好有效。</w:t>
      </w:r>
    </w:p>
    <w:p>
      <w:pPr>
        <w:pStyle w:val="51"/>
        <w:spacing w:line="540" w:lineRule="exact"/>
        <w:ind w:firstLine="640"/>
        <w:rPr>
          <w:rFonts w:ascii="仿宋_GB2312" w:eastAsia="仿宋_GB2312"/>
          <w:sz w:val="32"/>
          <w:szCs w:val="32"/>
        </w:rPr>
      </w:pPr>
      <w:r>
        <w:rPr>
          <w:rFonts w:hint="eastAsia" w:ascii="仿宋_GB2312" w:eastAsia="仿宋_GB2312"/>
          <w:sz w:val="32"/>
          <w:szCs w:val="32"/>
        </w:rPr>
        <w:t>（二）建立公寓志愿者队伍并积极开展志愿服务活动；</w:t>
      </w:r>
    </w:p>
    <w:p>
      <w:pPr>
        <w:pStyle w:val="51"/>
        <w:spacing w:line="540" w:lineRule="exact"/>
        <w:ind w:firstLine="640"/>
        <w:rPr>
          <w:rFonts w:ascii="仿宋_GB2312" w:eastAsia="仿宋_GB2312"/>
          <w:sz w:val="32"/>
          <w:szCs w:val="32"/>
        </w:rPr>
      </w:pPr>
      <w:r>
        <w:rPr>
          <w:rFonts w:hint="eastAsia" w:ascii="仿宋_GB2312" w:eastAsia="仿宋_GB2312"/>
          <w:sz w:val="32"/>
          <w:szCs w:val="32"/>
        </w:rPr>
        <w:t>（三）保证文化阵地各项制度有效落实。</w:t>
      </w:r>
    </w:p>
    <w:p>
      <w:pPr>
        <w:spacing w:line="560" w:lineRule="exact"/>
        <w:ind w:firstLine="420" w:firstLineChars="200"/>
        <w:rPr>
          <w:rFonts w:ascii="仿宋_GB2312"/>
          <w:szCs w:val="32"/>
        </w:rPr>
        <w:sectPr>
          <w:pgSz w:w="11906" w:h="16838"/>
          <w:pgMar w:top="2098" w:right="1474" w:bottom="1928" w:left="1588" w:header="851" w:footer="992" w:gutter="0"/>
          <w:pgNumType w:chapStyle="1" w:chapSep="emDash"/>
          <w:cols w:space="720" w:num="1"/>
          <w:docGrid w:type="lines" w:linePitch="582" w:charSpace="-849"/>
        </w:sect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天津港保税区、天津空港经济区职工公寓考评标准</w:t>
      </w:r>
    </w:p>
    <w:p>
      <w:pPr>
        <w:spacing w:line="560" w:lineRule="exact"/>
        <w:jc w:val="center"/>
        <w:rPr>
          <w:rFonts w:ascii="仿宋_GB2312" w:eastAsia="仿宋_GB2312"/>
          <w:sz w:val="32"/>
          <w:szCs w:val="32"/>
        </w:rPr>
      </w:pPr>
      <w:r>
        <w:rPr>
          <w:rFonts w:hint="eastAsia" w:ascii="仿宋_GB2312" w:eastAsia="仿宋_GB2312"/>
          <w:sz w:val="32"/>
          <w:szCs w:val="32"/>
        </w:rPr>
        <w:t>（综合服务考评项目）</w:t>
      </w:r>
    </w:p>
    <w:tbl>
      <w:tblPr>
        <w:tblStyle w:val="18"/>
        <w:tblW w:w="0" w:type="auto"/>
        <w:tblInd w:w="-1320" w:type="dxa"/>
        <w:tblLayout w:type="fixed"/>
        <w:tblCellMar>
          <w:top w:w="0" w:type="dxa"/>
          <w:left w:w="108" w:type="dxa"/>
          <w:bottom w:w="0" w:type="dxa"/>
          <w:right w:w="108" w:type="dxa"/>
        </w:tblCellMar>
      </w:tblPr>
      <w:tblGrid>
        <w:gridCol w:w="638"/>
        <w:gridCol w:w="2582"/>
        <w:gridCol w:w="6288"/>
        <w:gridCol w:w="1559"/>
        <w:gridCol w:w="851"/>
        <w:gridCol w:w="1559"/>
        <w:gridCol w:w="907"/>
        <w:gridCol w:w="1422"/>
      </w:tblGrid>
      <w:tr>
        <w:tblPrEx>
          <w:tblCellMar>
            <w:top w:w="0" w:type="dxa"/>
            <w:left w:w="108" w:type="dxa"/>
            <w:bottom w:w="0" w:type="dxa"/>
            <w:right w:w="108" w:type="dxa"/>
          </w:tblCellMar>
        </w:tblPrEx>
        <w:trPr>
          <w:trHeight w:val="799"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2582"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考核标准</w:t>
            </w:r>
          </w:p>
        </w:tc>
        <w:tc>
          <w:tcPr>
            <w:tcW w:w="6288"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考核要求</w:t>
            </w:r>
          </w:p>
        </w:tc>
        <w:tc>
          <w:tcPr>
            <w:tcW w:w="1559"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公寓</w:t>
            </w:r>
          </w:p>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产权方</w:t>
            </w:r>
          </w:p>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（100分）</w:t>
            </w:r>
          </w:p>
        </w:tc>
        <w:tc>
          <w:tcPr>
            <w:tcW w:w="851"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评分</w:t>
            </w:r>
          </w:p>
        </w:tc>
        <w:tc>
          <w:tcPr>
            <w:tcW w:w="1559"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物业服务企业</w:t>
            </w:r>
          </w:p>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（100分）</w:t>
            </w:r>
          </w:p>
        </w:tc>
        <w:tc>
          <w:tcPr>
            <w:tcW w:w="907"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评分</w:t>
            </w:r>
          </w:p>
        </w:tc>
        <w:tc>
          <w:tcPr>
            <w:tcW w:w="1422" w:type="dxa"/>
            <w:tcBorders>
              <w:top w:val="single" w:color="auto" w:sz="4" w:space="0"/>
              <w:left w:val="nil"/>
              <w:bottom w:val="single" w:color="auto" w:sz="4" w:space="0"/>
              <w:right w:val="single" w:color="auto" w:sz="4" w:space="0"/>
            </w:tcBorders>
            <w:noWrap/>
            <w:vAlign w:val="center"/>
          </w:tcPr>
          <w:p>
            <w:pPr>
              <w:spacing w:line="320" w:lineRule="exact"/>
              <w:jc w:val="center"/>
              <w:rPr>
                <w:rFonts w:ascii="黑体" w:hAnsi="宋体" w:eastAsia="黑体" w:cs="宋体"/>
                <w:kern w:val="0"/>
                <w:sz w:val="28"/>
                <w:szCs w:val="28"/>
              </w:rPr>
            </w:pPr>
            <w:r>
              <w:rPr>
                <w:rFonts w:hint="eastAsia" w:ascii="黑体" w:hAnsi="宋体" w:eastAsia="黑体" w:cs="宋体"/>
                <w:kern w:val="0"/>
                <w:sz w:val="28"/>
                <w:szCs w:val="28"/>
              </w:rPr>
              <w:t>考评建议</w:t>
            </w:r>
          </w:p>
        </w:tc>
      </w:tr>
      <w:tr>
        <w:tblPrEx>
          <w:tblCellMar>
            <w:top w:w="0" w:type="dxa"/>
            <w:left w:w="108" w:type="dxa"/>
            <w:bottom w:w="0" w:type="dxa"/>
            <w:right w:w="108" w:type="dxa"/>
          </w:tblCellMar>
        </w:tblPrEx>
        <w:trPr>
          <w:trHeight w:val="612" w:hRule="atLeast"/>
        </w:trPr>
        <w:tc>
          <w:tcPr>
            <w:tcW w:w="638"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w:t>
            </w:r>
          </w:p>
        </w:tc>
        <w:tc>
          <w:tcPr>
            <w:tcW w:w="2582" w:type="dxa"/>
            <w:tcBorders>
              <w:top w:val="single" w:color="auto" w:sz="4" w:space="0"/>
              <w:left w:val="nil"/>
              <w:bottom w:val="single" w:color="auto" w:sz="4" w:space="0"/>
              <w:right w:val="single" w:color="000000" w:sz="4" w:space="0"/>
            </w:tcBorders>
            <w:noWrap w:val="0"/>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物业规章制度</w:t>
            </w:r>
          </w:p>
        </w:tc>
        <w:tc>
          <w:tcPr>
            <w:tcW w:w="6288" w:type="dxa"/>
            <w:tcBorders>
              <w:top w:val="nil"/>
              <w:left w:val="nil"/>
              <w:bottom w:val="single" w:color="auto" w:sz="4" w:space="0"/>
              <w:right w:val="nil"/>
            </w:tcBorders>
            <w:noWrap w:val="0"/>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根据国家规定的物业管理条例及保税区相关要求，逐步完善管理制度，做到规范化、制度化、系统化物业管理模式。</w:t>
            </w:r>
          </w:p>
        </w:tc>
        <w:tc>
          <w:tcPr>
            <w:tcW w:w="1559"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12</w:t>
            </w:r>
          </w:p>
        </w:tc>
        <w:tc>
          <w:tcPr>
            <w:tcW w:w="851"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c>
          <w:tcPr>
            <w:tcW w:w="1559"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12</w:t>
            </w:r>
          </w:p>
        </w:tc>
        <w:tc>
          <w:tcPr>
            <w:tcW w:w="907"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571" w:hRule="atLeast"/>
        </w:trPr>
        <w:tc>
          <w:tcPr>
            <w:tcW w:w="638"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2</w:t>
            </w:r>
          </w:p>
        </w:tc>
        <w:tc>
          <w:tcPr>
            <w:tcW w:w="2582" w:type="dxa"/>
            <w:tcBorders>
              <w:top w:val="single" w:color="auto" w:sz="4" w:space="0"/>
              <w:left w:val="nil"/>
              <w:bottom w:val="single" w:color="auto" w:sz="4" w:space="0"/>
              <w:right w:val="single" w:color="000000" w:sz="4" w:space="0"/>
            </w:tcBorders>
            <w:noWrap/>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物业管理</w:t>
            </w:r>
          </w:p>
        </w:tc>
        <w:tc>
          <w:tcPr>
            <w:tcW w:w="6288" w:type="dxa"/>
            <w:tcBorders>
              <w:top w:val="nil"/>
              <w:left w:val="nil"/>
              <w:bottom w:val="single" w:color="auto" w:sz="4" w:space="0"/>
              <w:right w:val="nil"/>
            </w:tcBorders>
            <w:noWrap w:val="0"/>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要求物业管理人员业务过硬，服务到位，形成良性管理机制。</w:t>
            </w:r>
          </w:p>
        </w:tc>
        <w:tc>
          <w:tcPr>
            <w:tcW w:w="1559"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18</w:t>
            </w:r>
          </w:p>
        </w:tc>
        <w:tc>
          <w:tcPr>
            <w:tcW w:w="851"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　</w:t>
            </w:r>
          </w:p>
        </w:tc>
        <w:tc>
          <w:tcPr>
            <w:tcW w:w="1559"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18</w:t>
            </w:r>
          </w:p>
        </w:tc>
        <w:tc>
          <w:tcPr>
            <w:tcW w:w="907"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521" w:hRule="atLeast"/>
        </w:trPr>
        <w:tc>
          <w:tcPr>
            <w:tcW w:w="638"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3</w:t>
            </w:r>
          </w:p>
        </w:tc>
        <w:tc>
          <w:tcPr>
            <w:tcW w:w="2582" w:type="dxa"/>
            <w:tcBorders>
              <w:top w:val="single" w:color="auto" w:sz="4" w:space="0"/>
              <w:left w:val="nil"/>
              <w:bottom w:val="single" w:color="auto" w:sz="4" w:space="0"/>
              <w:right w:val="single" w:color="000000" w:sz="4" w:space="0"/>
            </w:tcBorders>
            <w:noWrap w:val="0"/>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环境管理-公共区域</w:t>
            </w:r>
          </w:p>
        </w:tc>
        <w:tc>
          <w:tcPr>
            <w:tcW w:w="6288" w:type="dxa"/>
            <w:vMerge w:val="restart"/>
            <w:tcBorders>
              <w:top w:val="nil"/>
              <w:left w:val="single" w:color="auto" w:sz="4" w:space="0"/>
              <w:bottom w:val="single" w:color="000000" w:sz="4" w:space="0"/>
              <w:right w:val="single" w:color="auto" w:sz="4" w:space="0"/>
            </w:tcBorders>
            <w:noWrap w:val="0"/>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要求物业勤于管理，建立卫生保洁责任人制度，做到公寓卫生无漏洞、无死角、无拖延，为职工提供一个整洁优美的住宿环境。</w:t>
            </w:r>
          </w:p>
        </w:tc>
        <w:tc>
          <w:tcPr>
            <w:tcW w:w="1559"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w:t>
            </w:r>
          </w:p>
        </w:tc>
        <w:tc>
          <w:tcPr>
            <w:tcW w:w="851" w:type="dxa"/>
            <w:tcBorders>
              <w:top w:val="nil"/>
              <w:left w:val="single" w:color="auto" w:sz="4" w:space="0"/>
              <w:bottom w:val="single" w:color="000000"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c>
          <w:tcPr>
            <w:tcW w:w="1559"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w:t>
            </w:r>
          </w:p>
        </w:tc>
        <w:tc>
          <w:tcPr>
            <w:tcW w:w="907"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345" w:hRule="atLeast"/>
        </w:trPr>
        <w:tc>
          <w:tcPr>
            <w:tcW w:w="638"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4</w:t>
            </w:r>
          </w:p>
        </w:tc>
        <w:tc>
          <w:tcPr>
            <w:tcW w:w="2582" w:type="dxa"/>
            <w:tcBorders>
              <w:top w:val="single" w:color="auto" w:sz="4" w:space="0"/>
              <w:left w:val="nil"/>
              <w:bottom w:val="single" w:color="auto" w:sz="4" w:space="0"/>
              <w:right w:val="single" w:color="000000" w:sz="4" w:space="0"/>
            </w:tcBorders>
            <w:noWrap w:val="0"/>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环境管理-宿舍楼内</w:t>
            </w:r>
          </w:p>
        </w:tc>
        <w:tc>
          <w:tcPr>
            <w:tcW w:w="6288" w:type="dxa"/>
            <w:vMerge w:val="continue"/>
            <w:tcBorders>
              <w:top w:val="nil"/>
              <w:left w:val="single" w:color="auto" w:sz="4" w:space="0"/>
              <w:bottom w:val="single" w:color="000000" w:sz="4" w:space="0"/>
              <w:right w:val="single" w:color="auto" w:sz="4" w:space="0"/>
            </w:tcBorders>
            <w:noWrap w:val="0"/>
            <w:vAlign w:val="center"/>
          </w:tcPr>
          <w:p>
            <w:pPr>
              <w:spacing w:line="300" w:lineRule="exact"/>
              <w:rPr>
                <w:rFonts w:ascii="仿宋_GB2312" w:hAnsi="宋体" w:eastAsia="仿宋_GB2312" w:cs="宋体"/>
                <w:kern w:val="0"/>
                <w:sz w:val="24"/>
              </w:rPr>
            </w:pPr>
          </w:p>
        </w:tc>
        <w:tc>
          <w:tcPr>
            <w:tcW w:w="1559"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w:t>
            </w:r>
          </w:p>
        </w:tc>
        <w:tc>
          <w:tcPr>
            <w:tcW w:w="851" w:type="dxa"/>
            <w:tcBorders>
              <w:top w:val="nil"/>
              <w:left w:val="single" w:color="auto" w:sz="4" w:space="0"/>
              <w:bottom w:val="single" w:color="000000" w:sz="4" w:space="0"/>
              <w:right w:val="single" w:color="auto" w:sz="4" w:space="0"/>
            </w:tcBorders>
            <w:noWrap w:val="0"/>
            <w:vAlign w:val="center"/>
          </w:tcPr>
          <w:p>
            <w:pPr>
              <w:spacing w:line="300" w:lineRule="exact"/>
              <w:jc w:val="left"/>
              <w:rPr>
                <w:rFonts w:ascii="仿宋_GB2312" w:hAnsi="宋体" w:cs="宋体"/>
                <w:kern w:val="0"/>
                <w:sz w:val="24"/>
              </w:rPr>
            </w:pPr>
          </w:p>
        </w:tc>
        <w:tc>
          <w:tcPr>
            <w:tcW w:w="1559"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w:t>
            </w:r>
          </w:p>
        </w:tc>
        <w:tc>
          <w:tcPr>
            <w:tcW w:w="907"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567" w:hRule="atLeast"/>
        </w:trPr>
        <w:tc>
          <w:tcPr>
            <w:tcW w:w="638"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5</w:t>
            </w:r>
          </w:p>
        </w:tc>
        <w:tc>
          <w:tcPr>
            <w:tcW w:w="2582" w:type="dxa"/>
            <w:tcBorders>
              <w:top w:val="single" w:color="auto" w:sz="4" w:space="0"/>
              <w:left w:val="nil"/>
              <w:bottom w:val="single" w:color="auto" w:sz="4" w:space="0"/>
              <w:right w:val="single" w:color="000000" w:sz="4" w:space="0"/>
            </w:tcBorders>
            <w:noWrap/>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维修制度</w:t>
            </w:r>
          </w:p>
        </w:tc>
        <w:tc>
          <w:tcPr>
            <w:tcW w:w="6288" w:type="dxa"/>
            <w:tcBorders>
              <w:top w:val="nil"/>
              <w:left w:val="nil"/>
              <w:bottom w:val="single" w:color="auto" w:sz="4" w:space="0"/>
              <w:right w:val="nil"/>
            </w:tcBorders>
            <w:noWrap w:val="0"/>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建立合理有效的维修制度，基本保障公寓内设施设备正常使用，为职工日常生活提供便利。</w:t>
            </w:r>
          </w:p>
        </w:tc>
        <w:tc>
          <w:tcPr>
            <w:tcW w:w="1559"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w:t>
            </w:r>
          </w:p>
        </w:tc>
        <w:tc>
          <w:tcPr>
            <w:tcW w:w="851"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c>
          <w:tcPr>
            <w:tcW w:w="1559"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w:t>
            </w:r>
          </w:p>
        </w:tc>
        <w:tc>
          <w:tcPr>
            <w:tcW w:w="907"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270" w:hRule="atLeast"/>
        </w:trPr>
        <w:tc>
          <w:tcPr>
            <w:tcW w:w="638"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6</w:t>
            </w:r>
          </w:p>
        </w:tc>
        <w:tc>
          <w:tcPr>
            <w:tcW w:w="2582" w:type="dxa"/>
            <w:tcBorders>
              <w:top w:val="single" w:color="auto" w:sz="4" w:space="0"/>
              <w:left w:val="nil"/>
              <w:bottom w:val="single" w:color="auto" w:sz="4" w:space="0"/>
              <w:right w:val="single" w:color="000000" w:sz="4" w:space="0"/>
            </w:tcBorders>
            <w:noWrap/>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节能降耗</w:t>
            </w:r>
          </w:p>
        </w:tc>
        <w:tc>
          <w:tcPr>
            <w:tcW w:w="6288" w:type="dxa"/>
            <w:tcBorders>
              <w:top w:val="nil"/>
              <w:left w:val="nil"/>
              <w:bottom w:val="single" w:color="auto" w:sz="4" w:space="0"/>
              <w:right w:val="nil"/>
            </w:tcBorders>
            <w:noWrap w:val="0"/>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提倡全方位节省水、电及其他能源，注重节能意识的宣传、培养。</w:t>
            </w:r>
          </w:p>
        </w:tc>
        <w:tc>
          <w:tcPr>
            <w:tcW w:w="1559"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w:t>
            </w:r>
          </w:p>
        </w:tc>
        <w:tc>
          <w:tcPr>
            <w:tcW w:w="851"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c>
          <w:tcPr>
            <w:tcW w:w="1559"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w:t>
            </w:r>
          </w:p>
        </w:tc>
        <w:tc>
          <w:tcPr>
            <w:tcW w:w="907"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569" w:hRule="atLeast"/>
        </w:trPr>
        <w:tc>
          <w:tcPr>
            <w:tcW w:w="638"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7</w:t>
            </w:r>
          </w:p>
        </w:tc>
        <w:tc>
          <w:tcPr>
            <w:tcW w:w="2582" w:type="dxa"/>
            <w:tcBorders>
              <w:top w:val="single" w:color="auto" w:sz="4" w:space="0"/>
              <w:left w:val="nil"/>
              <w:bottom w:val="single" w:color="auto" w:sz="4" w:space="0"/>
              <w:right w:val="single" w:color="000000" w:sz="4" w:space="0"/>
            </w:tcBorders>
            <w:noWrap w:val="0"/>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宿舍秩序</w:t>
            </w:r>
          </w:p>
        </w:tc>
        <w:tc>
          <w:tcPr>
            <w:tcW w:w="6288" w:type="dxa"/>
            <w:tcBorders>
              <w:top w:val="nil"/>
              <w:left w:val="nil"/>
              <w:bottom w:val="single" w:color="auto" w:sz="4" w:space="0"/>
              <w:right w:val="nil"/>
            </w:tcBorders>
            <w:noWrap w:val="0"/>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建立宿管员和寝室长机制，形成物业、企业齐抓共管宿舍秩序的局面。</w:t>
            </w:r>
          </w:p>
        </w:tc>
        <w:tc>
          <w:tcPr>
            <w:tcW w:w="1559"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w:t>
            </w:r>
          </w:p>
        </w:tc>
        <w:tc>
          <w:tcPr>
            <w:tcW w:w="851"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c>
          <w:tcPr>
            <w:tcW w:w="1559"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w:t>
            </w:r>
          </w:p>
        </w:tc>
        <w:tc>
          <w:tcPr>
            <w:tcW w:w="907"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591" w:hRule="atLeast"/>
        </w:trPr>
        <w:tc>
          <w:tcPr>
            <w:tcW w:w="638"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8</w:t>
            </w:r>
          </w:p>
        </w:tc>
        <w:tc>
          <w:tcPr>
            <w:tcW w:w="2582" w:type="dxa"/>
            <w:tcBorders>
              <w:top w:val="single" w:color="auto" w:sz="4" w:space="0"/>
              <w:left w:val="nil"/>
              <w:bottom w:val="single" w:color="auto" w:sz="4" w:space="0"/>
              <w:right w:val="single" w:color="000000" w:sz="4" w:space="0"/>
            </w:tcBorders>
            <w:noWrap w:val="0"/>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商业管理</w:t>
            </w:r>
          </w:p>
        </w:tc>
        <w:tc>
          <w:tcPr>
            <w:tcW w:w="6288" w:type="dxa"/>
            <w:tcBorders>
              <w:top w:val="nil"/>
              <w:left w:val="nil"/>
              <w:bottom w:val="single" w:color="auto" w:sz="4" w:space="0"/>
              <w:right w:val="nil"/>
            </w:tcBorders>
            <w:noWrap w:val="0"/>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商业性质属于连锁经营店；业态及相关资质须通过相关政府部门审批；商业配套安全、正规，经营管理安全、卫生、有序，环境优美整洁。</w:t>
            </w:r>
          </w:p>
        </w:tc>
        <w:tc>
          <w:tcPr>
            <w:tcW w:w="1559"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w:t>
            </w:r>
          </w:p>
        </w:tc>
        <w:tc>
          <w:tcPr>
            <w:tcW w:w="851"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c>
          <w:tcPr>
            <w:tcW w:w="1559"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w:t>
            </w:r>
          </w:p>
        </w:tc>
        <w:tc>
          <w:tcPr>
            <w:tcW w:w="907"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r>
      <w:tr>
        <w:tblPrEx>
          <w:tblCellMar>
            <w:top w:w="0" w:type="dxa"/>
            <w:left w:w="108" w:type="dxa"/>
            <w:bottom w:w="0" w:type="dxa"/>
            <w:right w:w="108" w:type="dxa"/>
          </w:tblCellMar>
        </w:tblPrEx>
        <w:trPr>
          <w:trHeight w:val="591" w:hRule="atLeast"/>
        </w:trPr>
        <w:tc>
          <w:tcPr>
            <w:tcW w:w="638"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9</w:t>
            </w:r>
          </w:p>
        </w:tc>
        <w:tc>
          <w:tcPr>
            <w:tcW w:w="2582" w:type="dxa"/>
            <w:tcBorders>
              <w:top w:val="single" w:color="auto" w:sz="4" w:space="0"/>
              <w:left w:val="nil"/>
              <w:bottom w:val="single" w:color="auto" w:sz="4" w:space="0"/>
              <w:right w:val="single" w:color="000000" w:sz="4" w:space="0"/>
            </w:tcBorders>
            <w:noWrap w:val="0"/>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文化阵地管理</w:t>
            </w:r>
          </w:p>
        </w:tc>
        <w:tc>
          <w:tcPr>
            <w:tcW w:w="6288" w:type="dxa"/>
            <w:tcBorders>
              <w:top w:val="nil"/>
              <w:left w:val="nil"/>
              <w:bottom w:val="single" w:color="auto" w:sz="4" w:space="0"/>
              <w:right w:val="nil"/>
            </w:tcBorders>
            <w:noWrap w:val="0"/>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公寓文化阵地设施完好有效、建立志愿者队伍、开展志愿服务、各项制度落实情况等工作</w:t>
            </w:r>
          </w:p>
        </w:tc>
        <w:tc>
          <w:tcPr>
            <w:tcW w:w="1559"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w:t>
            </w:r>
          </w:p>
        </w:tc>
        <w:tc>
          <w:tcPr>
            <w:tcW w:w="851"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p>
        </w:tc>
        <w:tc>
          <w:tcPr>
            <w:tcW w:w="1559"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w:t>
            </w:r>
          </w:p>
        </w:tc>
        <w:tc>
          <w:tcPr>
            <w:tcW w:w="907"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p>
        </w:tc>
        <w:tc>
          <w:tcPr>
            <w:tcW w:w="1422"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p>
        </w:tc>
      </w:tr>
      <w:tr>
        <w:tblPrEx>
          <w:tblCellMar>
            <w:top w:w="0" w:type="dxa"/>
            <w:left w:w="108" w:type="dxa"/>
            <w:bottom w:w="0" w:type="dxa"/>
            <w:right w:w="108" w:type="dxa"/>
          </w:tblCellMar>
        </w:tblPrEx>
        <w:trPr>
          <w:trHeight w:val="563" w:hRule="atLeast"/>
        </w:trPr>
        <w:tc>
          <w:tcPr>
            <w:tcW w:w="9508" w:type="dxa"/>
            <w:gridSpan w:val="3"/>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rPr>
                <w:rFonts w:ascii="黑体" w:hAnsi="黑体" w:eastAsia="黑体" w:cs="宋体"/>
                <w:kern w:val="0"/>
                <w:sz w:val="24"/>
              </w:rPr>
            </w:pPr>
            <w:r>
              <w:rPr>
                <w:rFonts w:hint="eastAsia" w:ascii="黑体" w:hAnsi="黑体" w:eastAsia="黑体" w:cs="宋体"/>
                <w:kern w:val="0"/>
                <w:sz w:val="24"/>
              </w:rPr>
              <w:t>合计</w:t>
            </w:r>
          </w:p>
        </w:tc>
        <w:tc>
          <w:tcPr>
            <w:tcW w:w="1559"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100</w:t>
            </w:r>
          </w:p>
        </w:tc>
        <w:tc>
          <w:tcPr>
            <w:tcW w:w="851"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c>
          <w:tcPr>
            <w:tcW w:w="1559"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100</w:t>
            </w:r>
          </w:p>
        </w:tc>
        <w:tc>
          <w:tcPr>
            <w:tcW w:w="907" w:type="dxa"/>
            <w:tcBorders>
              <w:top w:val="nil"/>
              <w:left w:val="nil"/>
              <w:bottom w:val="single" w:color="auto" w:sz="4" w:space="0"/>
              <w:right w:val="single" w:color="auto" w:sz="4" w:space="0"/>
            </w:tcBorders>
            <w:noWrap/>
            <w:vAlign w:val="center"/>
          </w:tcPr>
          <w:p>
            <w:pPr>
              <w:spacing w:line="300" w:lineRule="exact"/>
              <w:jc w:val="center"/>
              <w:rPr>
                <w:rFonts w:ascii="仿宋_GB2312" w:hAnsi="宋体" w:cs="宋体"/>
                <w:kern w:val="0"/>
                <w:sz w:val="24"/>
              </w:rPr>
            </w:pPr>
            <w:r>
              <w:rPr>
                <w:rFonts w:hint="eastAsia" w:ascii="仿宋_GB2312" w:hAnsi="宋体" w:cs="宋体"/>
                <w:kern w:val="0"/>
                <w:sz w:val="24"/>
              </w:rPr>
              <w:t>　</w:t>
            </w:r>
          </w:p>
        </w:tc>
        <w:tc>
          <w:tcPr>
            <w:tcW w:w="1422" w:type="dxa"/>
            <w:tcBorders>
              <w:top w:val="nil"/>
              <w:left w:val="nil"/>
              <w:bottom w:val="single" w:color="auto" w:sz="4" w:space="0"/>
              <w:right w:val="single" w:color="auto" w:sz="4" w:space="0"/>
            </w:tcBorders>
            <w:noWrap/>
            <w:vAlign w:val="center"/>
          </w:tcPr>
          <w:p>
            <w:pPr>
              <w:spacing w:line="300" w:lineRule="exact"/>
              <w:jc w:val="left"/>
              <w:rPr>
                <w:rFonts w:ascii="仿宋_GB2312" w:hAnsi="宋体" w:cs="宋体"/>
                <w:kern w:val="0"/>
                <w:sz w:val="24"/>
              </w:rPr>
            </w:pPr>
            <w:r>
              <w:rPr>
                <w:rFonts w:hint="eastAsia" w:ascii="仿宋_GB2312" w:hAnsi="宋体" w:cs="宋体"/>
                <w:kern w:val="0"/>
                <w:sz w:val="24"/>
              </w:rPr>
              <w:t>　</w:t>
            </w:r>
          </w:p>
        </w:tc>
      </w:tr>
    </w:tbl>
    <w:p>
      <w:pPr>
        <w:spacing w:line="280" w:lineRule="exact"/>
        <w:ind w:right="-57" w:rightChars="-27"/>
        <w:rPr>
          <w:rFonts w:ascii="仿宋_GB2312"/>
          <w:szCs w:val="32"/>
        </w:rPr>
        <w:sectPr>
          <w:footerReference r:id="rId15" w:type="default"/>
          <w:footerReference r:id="rId16" w:type="even"/>
          <w:pgSz w:w="16838" w:h="11906" w:orient="landscape"/>
          <w:pgMar w:top="1588" w:right="2098" w:bottom="1474" w:left="1928" w:header="851" w:footer="992" w:gutter="0"/>
          <w:pgNumType w:chapStyle="1" w:chapSep="emDash"/>
          <w:cols w:space="720" w:num="1"/>
          <w:docGrid w:type="lines" w:linePitch="582" w:charSpace="-849"/>
        </w:sectPr>
      </w:pPr>
    </w:p>
    <w:p>
      <w:pPr>
        <w:spacing w:line="560" w:lineRule="exact"/>
        <w:ind w:right="-57" w:rightChars="-27"/>
        <w:rPr>
          <w:rFonts w:ascii="黑体" w:eastAsia="黑体" w:cs="黑体"/>
          <w:sz w:val="32"/>
          <w:szCs w:val="32"/>
        </w:rPr>
      </w:pPr>
      <w:r>
        <w:rPr>
          <w:rFonts w:hint="eastAsia" w:ascii="黑体" w:eastAsia="黑体" w:cs="黑体"/>
          <w:sz w:val="32"/>
          <w:szCs w:val="32"/>
        </w:rPr>
        <w:t>附件7</w:t>
      </w:r>
    </w:p>
    <w:p>
      <w:pPr>
        <w:spacing w:line="6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企业职工调查问卷</w:t>
      </w:r>
    </w:p>
    <w:tbl>
      <w:tblPr>
        <w:tblStyle w:val="18"/>
        <w:tblpPr w:leftFromText="180" w:rightFromText="180" w:vertAnchor="page" w:horzAnchor="margin" w:tblpXSpec="center" w:tblpY="3445"/>
        <w:tblW w:w="9840" w:type="dxa"/>
        <w:tblInd w:w="0" w:type="dxa"/>
        <w:tblLayout w:type="fixed"/>
        <w:tblCellMar>
          <w:top w:w="0" w:type="dxa"/>
          <w:left w:w="108" w:type="dxa"/>
          <w:bottom w:w="0" w:type="dxa"/>
          <w:right w:w="108" w:type="dxa"/>
        </w:tblCellMar>
      </w:tblPr>
      <w:tblGrid>
        <w:gridCol w:w="842"/>
        <w:gridCol w:w="5787"/>
        <w:gridCol w:w="795"/>
        <w:gridCol w:w="716"/>
        <w:gridCol w:w="212"/>
        <w:gridCol w:w="403"/>
        <w:gridCol w:w="525"/>
        <w:gridCol w:w="280"/>
        <w:gridCol w:w="280"/>
      </w:tblGrid>
      <w:tr>
        <w:tblPrEx>
          <w:tblCellMar>
            <w:top w:w="0" w:type="dxa"/>
            <w:left w:w="108" w:type="dxa"/>
            <w:bottom w:w="0" w:type="dxa"/>
            <w:right w:w="108" w:type="dxa"/>
          </w:tblCellMar>
        </w:tblPrEx>
        <w:trPr>
          <w:trHeight w:val="458" w:hRule="atLeast"/>
        </w:trPr>
        <w:tc>
          <w:tcPr>
            <w:tcW w:w="842" w:type="dxa"/>
            <w:vMerge w:val="restart"/>
            <w:tcBorders>
              <w:top w:val="single" w:color="auto" w:sz="4" w:space="0"/>
              <w:left w:val="single" w:color="auto" w:sz="4" w:space="0"/>
              <w:bottom w:val="single" w:color="000000" w:sz="4" w:space="0"/>
              <w:right w:val="single" w:color="auto" w:sz="4" w:space="0"/>
            </w:tcBorders>
            <w:noWrap/>
            <w:vAlign w:val="center"/>
          </w:tcPr>
          <w:p>
            <w:pPr>
              <w:snapToGrid w:val="0"/>
              <w:spacing w:line="300" w:lineRule="exact"/>
              <w:jc w:val="center"/>
              <w:rPr>
                <w:rFonts w:ascii="黑体" w:hAnsi="黑体" w:eastAsia="黑体" w:cs="宋体"/>
                <w:bCs/>
                <w:kern w:val="0"/>
                <w:sz w:val="22"/>
              </w:rPr>
            </w:pPr>
            <w:r>
              <w:rPr>
                <w:rFonts w:hint="eastAsia" w:ascii="黑体" w:hAnsi="黑体" w:eastAsia="黑体" w:cs="宋体"/>
                <w:bCs/>
                <w:kern w:val="0"/>
                <w:sz w:val="22"/>
              </w:rPr>
              <w:t>序号</w:t>
            </w:r>
          </w:p>
        </w:tc>
        <w:tc>
          <w:tcPr>
            <w:tcW w:w="5787" w:type="dxa"/>
            <w:vMerge w:val="restart"/>
            <w:tcBorders>
              <w:top w:val="single" w:color="auto" w:sz="4" w:space="0"/>
              <w:left w:val="single" w:color="auto" w:sz="4" w:space="0"/>
              <w:bottom w:val="single" w:color="000000" w:sz="4" w:space="0"/>
              <w:right w:val="single" w:color="000000" w:sz="4" w:space="0"/>
            </w:tcBorders>
            <w:noWrap/>
            <w:vAlign w:val="center"/>
          </w:tcPr>
          <w:p>
            <w:pPr>
              <w:snapToGrid w:val="0"/>
              <w:spacing w:line="300" w:lineRule="exact"/>
              <w:jc w:val="center"/>
              <w:rPr>
                <w:rFonts w:ascii="黑体" w:hAnsi="黑体" w:eastAsia="黑体" w:cs="宋体"/>
                <w:bCs/>
                <w:kern w:val="0"/>
                <w:sz w:val="22"/>
              </w:rPr>
            </w:pPr>
            <w:r>
              <w:rPr>
                <w:rFonts w:hint="eastAsia" w:ascii="黑体" w:hAnsi="黑体" w:eastAsia="黑体" w:cs="宋体"/>
                <w:bCs/>
                <w:kern w:val="0"/>
                <w:sz w:val="22"/>
              </w:rPr>
              <w:t xml:space="preserve"> 问卷内容</w:t>
            </w:r>
          </w:p>
        </w:tc>
        <w:tc>
          <w:tcPr>
            <w:tcW w:w="3211" w:type="dxa"/>
            <w:gridSpan w:val="7"/>
            <w:tcBorders>
              <w:top w:val="single" w:color="auto" w:sz="4" w:space="0"/>
              <w:left w:val="nil"/>
              <w:bottom w:val="single" w:color="auto" w:sz="4" w:space="0"/>
              <w:right w:val="single" w:color="auto" w:sz="4" w:space="0"/>
            </w:tcBorders>
            <w:noWrap w:val="0"/>
            <w:vAlign w:val="center"/>
          </w:tcPr>
          <w:p>
            <w:pPr>
              <w:snapToGrid w:val="0"/>
              <w:spacing w:line="300" w:lineRule="exact"/>
              <w:jc w:val="center"/>
              <w:rPr>
                <w:rFonts w:ascii="黑体" w:hAnsi="黑体" w:eastAsia="黑体" w:cs="宋体"/>
                <w:bCs/>
                <w:kern w:val="0"/>
                <w:sz w:val="20"/>
              </w:rPr>
            </w:pPr>
            <w:r>
              <w:rPr>
                <w:rFonts w:hint="eastAsia" w:ascii="黑体" w:hAnsi="黑体" w:eastAsia="黑体" w:cs="宋体"/>
                <w:bCs/>
                <w:kern w:val="0"/>
                <w:sz w:val="20"/>
              </w:rPr>
              <w:t>得    分</w:t>
            </w:r>
          </w:p>
        </w:tc>
      </w:tr>
      <w:tr>
        <w:tblPrEx>
          <w:tblCellMar>
            <w:top w:w="0" w:type="dxa"/>
            <w:left w:w="108" w:type="dxa"/>
            <w:bottom w:w="0" w:type="dxa"/>
            <w:right w:w="108" w:type="dxa"/>
          </w:tblCellMar>
        </w:tblPrEx>
        <w:trPr>
          <w:trHeight w:val="458" w:hRule="atLeast"/>
        </w:trPr>
        <w:tc>
          <w:tcPr>
            <w:tcW w:w="842" w:type="dxa"/>
            <w:vMerge w:val="continue"/>
            <w:tcBorders>
              <w:top w:val="single" w:color="auto" w:sz="4" w:space="0"/>
              <w:left w:val="single" w:color="auto" w:sz="4" w:space="0"/>
              <w:bottom w:val="single" w:color="000000" w:sz="4" w:space="0"/>
              <w:right w:val="single" w:color="auto" w:sz="4" w:space="0"/>
            </w:tcBorders>
            <w:noWrap w:val="0"/>
            <w:vAlign w:val="center"/>
          </w:tcPr>
          <w:p>
            <w:pPr>
              <w:snapToGrid w:val="0"/>
              <w:spacing w:line="300" w:lineRule="exact"/>
              <w:jc w:val="left"/>
              <w:rPr>
                <w:rFonts w:ascii="黑体" w:hAnsi="黑体" w:eastAsia="黑体" w:cs="宋体"/>
                <w:bCs/>
                <w:kern w:val="0"/>
                <w:sz w:val="22"/>
              </w:rPr>
            </w:pPr>
          </w:p>
        </w:tc>
        <w:tc>
          <w:tcPr>
            <w:tcW w:w="5787" w:type="dxa"/>
            <w:vMerge w:val="continue"/>
            <w:tcBorders>
              <w:top w:val="single" w:color="auto" w:sz="4" w:space="0"/>
              <w:left w:val="single" w:color="auto" w:sz="4" w:space="0"/>
              <w:bottom w:val="single" w:color="000000" w:sz="4" w:space="0"/>
              <w:right w:val="single" w:color="000000" w:sz="4" w:space="0"/>
            </w:tcBorders>
            <w:noWrap w:val="0"/>
            <w:vAlign w:val="center"/>
          </w:tcPr>
          <w:p>
            <w:pPr>
              <w:snapToGrid w:val="0"/>
              <w:spacing w:line="300" w:lineRule="exact"/>
              <w:jc w:val="left"/>
              <w:rPr>
                <w:rFonts w:ascii="黑体" w:hAnsi="黑体" w:eastAsia="黑体" w:cs="宋体"/>
                <w:bCs/>
                <w:kern w:val="0"/>
                <w:sz w:val="22"/>
              </w:rPr>
            </w:pPr>
          </w:p>
        </w:tc>
        <w:tc>
          <w:tcPr>
            <w:tcW w:w="795" w:type="dxa"/>
            <w:tcBorders>
              <w:top w:val="nil"/>
              <w:left w:val="nil"/>
              <w:bottom w:val="single" w:color="auto" w:sz="4" w:space="0"/>
              <w:right w:val="single" w:color="auto" w:sz="4" w:space="0"/>
            </w:tcBorders>
            <w:noWrap w:val="0"/>
            <w:vAlign w:val="center"/>
          </w:tcPr>
          <w:p>
            <w:pPr>
              <w:snapToGrid w:val="0"/>
              <w:spacing w:line="30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不满意</w:t>
            </w:r>
          </w:p>
        </w:tc>
        <w:tc>
          <w:tcPr>
            <w:tcW w:w="716" w:type="dxa"/>
            <w:tcBorders>
              <w:top w:val="nil"/>
              <w:left w:val="nil"/>
              <w:bottom w:val="single" w:color="auto" w:sz="4" w:space="0"/>
              <w:right w:val="single" w:color="auto" w:sz="4" w:space="0"/>
            </w:tcBorders>
            <w:noWrap w:val="0"/>
            <w:vAlign w:val="center"/>
          </w:tcPr>
          <w:p>
            <w:pPr>
              <w:snapToGrid w:val="0"/>
              <w:spacing w:line="30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一般</w:t>
            </w:r>
          </w:p>
        </w:tc>
        <w:tc>
          <w:tcPr>
            <w:tcW w:w="615" w:type="dxa"/>
            <w:gridSpan w:val="2"/>
            <w:tcBorders>
              <w:top w:val="nil"/>
              <w:left w:val="nil"/>
              <w:bottom w:val="single" w:color="auto" w:sz="4" w:space="0"/>
              <w:right w:val="single" w:color="auto" w:sz="4" w:space="0"/>
            </w:tcBorders>
            <w:noWrap w:val="0"/>
            <w:vAlign w:val="center"/>
          </w:tcPr>
          <w:p>
            <w:pPr>
              <w:snapToGrid w:val="0"/>
              <w:spacing w:line="300" w:lineRule="exact"/>
              <w:jc w:val="center"/>
              <w:rPr>
                <w:rFonts w:ascii="黑体" w:hAnsi="黑体" w:eastAsia="黑体" w:cs="宋体"/>
                <w:bCs/>
                <w:kern w:val="0"/>
                <w:sz w:val="18"/>
                <w:szCs w:val="18"/>
              </w:rPr>
            </w:pPr>
            <w:r>
              <w:rPr>
                <w:rFonts w:hint="eastAsia" w:ascii="黑体" w:hAnsi="黑体" w:eastAsia="黑体" w:cs="宋体"/>
                <w:bCs/>
                <w:kern w:val="0"/>
                <w:sz w:val="18"/>
                <w:szCs w:val="18"/>
              </w:rPr>
              <w:t>满意</w:t>
            </w:r>
          </w:p>
        </w:tc>
        <w:tc>
          <w:tcPr>
            <w:tcW w:w="1085" w:type="dxa"/>
            <w:gridSpan w:val="3"/>
            <w:tcBorders>
              <w:top w:val="single" w:color="auto" w:sz="4" w:space="0"/>
              <w:left w:val="nil"/>
              <w:bottom w:val="single" w:color="auto" w:sz="4" w:space="0"/>
              <w:right w:val="single" w:color="auto" w:sz="4" w:space="0"/>
            </w:tcBorders>
            <w:noWrap w:val="0"/>
            <w:vAlign w:val="center"/>
          </w:tcPr>
          <w:p>
            <w:pPr>
              <w:snapToGrid w:val="0"/>
              <w:spacing w:line="300" w:lineRule="exact"/>
              <w:jc w:val="center"/>
              <w:rPr>
                <w:rFonts w:ascii="黑体" w:hAnsi="黑体" w:eastAsia="黑体" w:cs="宋体"/>
                <w:bCs/>
                <w:kern w:val="0"/>
                <w:sz w:val="18"/>
                <w:szCs w:val="18"/>
              </w:rPr>
            </w:pPr>
            <w:r>
              <w:rPr>
                <w:rFonts w:hint="eastAsia" w:ascii="黑体" w:hAnsi="黑体" w:eastAsia="黑体" w:cs="宋体"/>
                <w:bCs/>
                <w:kern w:val="0"/>
                <w:sz w:val="18"/>
                <w:szCs w:val="18"/>
              </w:rPr>
              <w:t>非常满意</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能否全天受理入住、退宿手续</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办理入住、退宿手续是否迅速、顺畅</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公寓门禁制度是否严谨、执行是否严格</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公寓管理人员维护宿舍的正常秩序是否满意</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公寓内监控设施发挥安全监管作用是否满意</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公寓的治安管理是否满意</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0"/>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公寓宿舍房间配置硬件设施能否满足生活基本需求</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公寓楼内公共设施设备的配置是否满意</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5787" w:type="dxa"/>
            <w:tcBorders>
              <w:top w:val="single" w:color="auto" w:sz="4" w:space="0"/>
              <w:left w:val="nil"/>
              <w:bottom w:val="single" w:color="auto" w:sz="4" w:space="0"/>
              <w:right w:val="single" w:color="auto" w:sz="4" w:space="0"/>
            </w:tcBorders>
            <w:noWrap w:val="0"/>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对公寓楼内卫生间、晾衣间、开水房、电视房的日常维护管理及时到位、方便使用是否满意</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公寓内路灯、监控设备等公共设施配置是否满意</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公寓内公共设施维护维修是否及时有效</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公寓内消防设备是否齐全且按时更换</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公寓是否开展过消防知识、技能培训</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公寓是否组织过消防演习</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公寓公共区域是否保持干净、整洁</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公寓楼道内公共卫生是否保持干净、整洁</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17</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对公寓内餐饮的卫生状况是否满意</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公寓内商业配套业态是否满足生活需求</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19</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公寓内商业配套管理是否规范，服务是否方便、快捷</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58" w:hRule="atLeast"/>
        </w:trPr>
        <w:tc>
          <w:tcPr>
            <w:tcW w:w="842" w:type="dxa"/>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5787" w:type="dxa"/>
            <w:tcBorders>
              <w:top w:val="single" w:color="auto" w:sz="4" w:space="0"/>
              <w:left w:val="nil"/>
              <w:bottom w:val="single" w:color="auto" w:sz="4" w:space="0"/>
              <w:right w:val="single" w:color="auto" w:sz="4" w:space="0"/>
            </w:tcBorders>
            <w:noWrap/>
            <w:vAlign w:val="center"/>
          </w:tcPr>
          <w:p>
            <w:pPr>
              <w:snapToGrid w:val="0"/>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公寓组织的文化体育活动是否满足职工需求</w:t>
            </w:r>
          </w:p>
        </w:tc>
        <w:tc>
          <w:tcPr>
            <w:tcW w:w="79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16"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15"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25" w:type="dxa"/>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gridSpan w:val="2"/>
            <w:tcBorders>
              <w:top w:val="nil"/>
              <w:left w:val="nil"/>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147" w:hRule="atLeast"/>
        </w:trPr>
        <w:tc>
          <w:tcPr>
            <w:tcW w:w="6629"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3211" w:type="dxa"/>
            <w:gridSpan w:val="7"/>
            <w:tcBorders>
              <w:top w:val="single" w:color="auto" w:sz="4" w:space="0"/>
              <w:left w:val="nil"/>
              <w:bottom w:val="single" w:color="auto" w:sz="4" w:space="0"/>
              <w:right w:val="single" w:color="auto" w:sz="4" w:space="0"/>
            </w:tcBorders>
            <w:noWrap/>
            <w:vAlign w:val="center"/>
          </w:tcPr>
          <w:p>
            <w:pPr>
              <w:snapToGrid w:val="0"/>
              <w:spacing w:line="3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8" w:hRule="atLeast"/>
        </w:trPr>
        <w:tc>
          <w:tcPr>
            <w:tcW w:w="7424" w:type="dxa"/>
            <w:gridSpan w:val="3"/>
            <w:tcBorders>
              <w:top w:val="nil"/>
              <w:left w:val="nil"/>
              <w:bottom w:val="nil"/>
              <w:right w:val="nil"/>
            </w:tcBorders>
            <w:noWrap/>
            <w:vAlign w:val="center"/>
          </w:tcPr>
          <w:p>
            <w:pPr>
              <w:snapToGrid w:val="0"/>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说明：请根据满意程度评分，如出现“满分”或“O分”，此表无效。</w:t>
            </w:r>
          </w:p>
        </w:tc>
        <w:tc>
          <w:tcPr>
            <w:tcW w:w="928" w:type="dxa"/>
            <w:gridSpan w:val="2"/>
            <w:tcBorders>
              <w:top w:val="nil"/>
              <w:left w:val="nil"/>
              <w:bottom w:val="nil"/>
              <w:right w:val="nil"/>
            </w:tcBorders>
            <w:noWrap/>
            <w:vAlign w:val="center"/>
          </w:tcPr>
          <w:p>
            <w:pPr>
              <w:snapToGrid w:val="0"/>
              <w:jc w:val="center"/>
              <w:rPr>
                <w:rFonts w:ascii="仿宋_GB2312" w:hAnsi="宋体" w:eastAsia="仿宋_GB2312" w:cs="宋体"/>
                <w:kern w:val="0"/>
                <w:sz w:val="18"/>
                <w:szCs w:val="18"/>
              </w:rPr>
            </w:pPr>
          </w:p>
        </w:tc>
        <w:tc>
          <w:tcPr>
            <w:tcW w:w="928" w:type="dxa"/>
            <w:gridSpan w:val="2"/>
            <w:tcBorders>
              <w:top w:val="nil"/>
              <w:left w:val="nil"/>
              <w:bottom w:val="nil"/>
              <w:right w:val="nil"/>
            </w:tcBorders>
            <w:noWrap/>
            <w:vAlign w:val="center"/>
          </w:tcPr>
          <w:p>
            <w:pPr>
              <w:snapToGrid w:val="0"/>
              <w:jc w:val="center"/>
              <w:rPr>
                <w:rFonts w:ascii="仿宋_GB2312" w:hAnsi="宋体" w:eastAsia="仿宋_GB2312" w:cs="宋体"/>
                <w:kern w:val="0"/>
                <w:sz w:val="18"/>
                <w:szCs w:val="18"/>
              </w:rPr>
            </w:pPr>
          </w:p>
        </w:tc>
        <w:tc>
          <w:tcPr>
            <w:tcW w:w="280" w:type="dxa"/>
            <w:tcBorders>
              <w:top w:val="nil"/>
              <w:left w:val="nil"/>
              <w:bottom w:val="nil"/>
              <w:right w:val="nil"/>
            </w:tcBorders>
            <w:noWrap/>
            <w:vAlign w:val="center"/>
          </w:tcPr>
          <w:p>
            <w:pPr>
              <w:snapToGrid w:val="0"/>
              <w:jc w:val="center"/>
              <w:rPr>
                <w:rFonts w:ascii="仿宋_GB2312" w:hAnsi="宋体" w:eastAsia="仿宋_GB2312" w:cs="宋体"/>
                <w:kern w:val="0"/>
                <w:sz w:val="18"/>
                <w:szCs w:val="18"/>
              </w:rPr>
            </w:pPr>
          </w:p>
        </w:tc>
        <w:tc>
          <w:tcPr>
            <w:tcW w:w="280" w:type="dxa"/>
            <w:tcBorders>
              <w:top w:val="nil"/>
              <w:left w:val="nil"/>
              <w:bottom w:val="nil"/>
              <w:right w:val="nil"/>
            </w:tcBorders>
            <w:noWrap/>
            <w:vAlign w:val="center"/>
          </w:tcPr>
          <w:p>
            <w:pPr>
              <w:snapToGrid w:val="0"/>
              <w:jc w:val="center"/>
              <w:rPr>
                <w:rFonts w:ascii="仿宋_GB2312" w:hAnsi="宋体" w:eastAsia="仿宋_GB2312" w:cs="宋体"/>
                <w:kern w:val="0"/>
                <w:sz w:val="18"/>
                <w:szCs w:val="18"/>
              </w:rPr>
            </w:pPr>
          </w:p>
        </w:tc>
      </w:tr>
    </w:tbl>
    <w:p>
      <w:pPr>
        <w:tabs>
          <w:tab w:val="left" w:pos="142"/>
          <w:tab w:val="left" w:pos="284"/>
          <w:tab w:val="left" w:pos="426"/>
          <w:tab w:val="left" w:pos="4858"/>
          <w:tab w:val="left" w:pos="8080"/>
          <w:tab w:val="left" w:pos="8505"/>
        </w:tabs>
        <w:spacing w:line="570" w:lineRule="exact"/>
        <w:ind w:right="-2" w:rightChars="-1" w:firstLine="0" w:firstLineChars="0"/>
        <w:rPr>
          <w:rFonts w:ascii="仿宋_GB2312" w:eastAsia="仿宋_GB2312"/>
          <w:sz w:val="32"/>
          <w:szCs w:val="32"/>
        </w:rPr>
      </w:pPr>
      <w:bookmarkStart w:id="0" w:name="_GoBack"/>
      <w:bookmarkEnd w:id="0"/>
    </w:p>
    <w:sectPr>
      <w:headerReference r:id="rId18" w:type="first"/>
      <w:footerReference r:id="rId21" w:type="first"/>
      <w:headerReference r:id="rId17" w:type="default"/>
      <w:footerReference r:id="rId19" w:type="default"/>
      <w:footerReference r:id="rId20" w:type="even"/>
      <w:pgSz w:w="11906" w:h="16838"/>
      <w:pgMar w:top="2098" w:right="1474" w:bottom="1928" w:left="1588" w:header="851" w:footer="992" w:gutter="0"/>
      <w:cols w:space="720" w:num="1"/>
      <w:titlePg/>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p>
    <w:pPr>
      <w:pStyle w:val="1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p>
    <w:pPr>
      <w:pStyle w:val="11"/>
      <w:ind w:right="360"/>
    </w:pPr>
  </w:p>
  <w:p>
    <w:pPr>
      <w:pStyle w:val="1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40</w:t>
    </w:r>
    <w:r>
      <w:rPr>
        <w:rFonts w:ascii="宋体" w:hAnsi="宋体" w:eastAsia="宋体"/>
        <w:sz w:val="28"/>
        <w:szCs w:val="28"/>
      </w:rPr>
      <w:fldChar w:fldCharType="end"/>
    </w:r>
    <w:r>
      <w:rPr>
        <w:rFonts w:hint="eastAsia" w:ascii="宋体" w:hAnsi="宋体" w:eastAsia="宋体"/>
        <w:sz w:val="28"/>
        <w:szCs w:val="28"/>
      </w:rPr>
      <w:t xml:space="preserve"> —</w:t>
    </w:r>
  </w:p>
  <w:p>
    <w:pPr>
      <w:pStyle w:val="1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42</w:t>
    </w:r>
    <w:r>
      <w:rPr>
        <w:sz w:val="28"/>
        <w:szCs w:val="28"/>
      </w:rPr>
      <w:fldChar w:fldCharType="end"/>
    </w:r>
    <w:r>
      <w:rPr>
        <w:rFonts w:hint="eastAsia"/>
        <w:sz w:val="28"/>
        <w:szCs w:val="28"/>
      </w:rPr>
      <w:t xml:space="preserve"> —</w:t>
    </w:r>
  </w:p>
  <w:p>
    <w:pPr>
      <w:pStyle w:val="1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41</w:t>
    </w:r>
    <w:r>
      <w:rPr>
        <w:rFonts w:ascii="宋体" w:hAnsi="宋体" w:eastAsia="宋体"/>
        <w:sz w:val="28"/>
        <w:szCs w:val="28"/>
      </w:rPr>
      <w:fldChar w:fldCharType="end"/>
    </w:r>
    <w:r>
      <w:rPr>
        <w:rFonts w:hint="eastAsia" w:ascii="宋体" w:hAnsi="宋体" w:eastAsia="宋体"/>
        <w:sz w:val="28"/>
        <w:szCs w:val="28"/>
      </w:rPr>
      <w:t xml:space="preserve">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p>
    <w:pPr>
      <w:pStyle w:val="11"/>
      <w:tabs>
        <w:tab w:val="left" w:pos="744"/>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r>
      <w:rPr>
        <w:rFonts w:hint="eastAsia" w:ascii="宋体" w:hAnsi="宋体" w:eastAsia="宋体"/>
        <w:sz w:val="28"/>
        <w:szCs w:val="28"/>
      </w:rPr>
      <w:t xml:space="preserve"> —</w:t>
    </w:r>
  </w:p>
  <w:p>
    <w:pPr>
      <w:pStyle w:val="11"/>
      <w:ind w:right="360"/>
      <w:rPr>
        <w:rFonts w:hint="eastAsia"/>
      </w:rPr>
    </w:pPr>
  </w:p>
  <w:p>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17</w:t>
    </w:r>
    <w:r>
      <w:rPr>
        <w:rFonts w:ascii="宋体" w:hAnsi="宋体" w:eastAsia="宋体"/>
        <w:sz w:val="28"/>
        <w:szCs w:val="28"/>
      </w:rPr>
      <w:fldChar w:fldCharType="end"/>
    </w:r>
    <w:r>
      <w:rPr>
        <w:rFonts w:hint="eastAsia" w:ascii="宋体" w:hAnsi="宋体" w:eastAsia="宋体"/>
        <w:sz w:val="28"/>
        <w:szCs w:val="28"/>
      </w:rPr>
      <w:t xml:space="preserve"> —</w:t>
    </w:r>
  </w:p>
  <w:p>
    <w:pPr>
      <w:pStyle w:val="11"/>
      <w:ind w:right="360"/>
      <w:rPr>
        <w:rFonts w:hint="eastAsia"/>
      </w:rPr>
    </w:pPr>
  </w:p>
  <w:p>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16</w:t>
    </w:r>
    <w:r>
      <w:rPr>
        <w:rFonts w:ascii="宋体" w:hAnsi="宋体" w:eastAsia="宋体"/>
        <w:sz w:val="28"/>
        <w:szCs w:val="28"/>
      </w:rPr>
      <w:fldChar w:fldCharType="end"/>
    </w:r>
    <w:r>
      <w:rPr>
        <w:rFonts w:hint="eastAsia" w:ascii="宋体" w:hAnsi="宋体" w:eastAsia="宋体"/>
        <w:sz w:val="28"/>
        <w:szCs w:val="28"/>
      </w:rPr>
      <w:t xml:space="preserve"> —</w:t>
    </w:r>
  </w:p>
  <w:p>
    <w:pPr>
      <w:pStyle w:val="11"/>
      <w:spacing w:line="160" w:lineRule="exact"/>
      <w:rPr>
        <w:rFonts w:hint="eastAsia" w:ascii="宋体" w:hAnsi="宋体" w:eastAsia="宋体"/>
        <w:sz w:val="28"/>
        <w:szCs w:val="28"/>
      </w:rPr>
    </w:pPr>
  </w:p>
  <w:p>
    <w:pPr>
      <w:pStyle w:val="11"/>
      <w:tabs>
        <w:tab w:val="left" w:pos="744"/>
        <w:tab w:val="clear" w:pos="4153"/>
        <w:tab w:val="clear" w:pos="8306"/>
      </w:tabs>
      <w:spacing w:line="160"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23</w:t>
    </w:r>
    <w:r>
      <w:rPr>
        <w:rFonts w:ascii="宋体" w:hAnsi="宋体" w:eastAsia="宋体"/>
        <w:sz w:val="28"/>
        <w:szCs w:val="28"/>
      </w:rPr>
      <w:fldChar w:fldCharType="end"/>
    </w:r>
    <w:r>
      <w:rPr>
        <w:rFonts w:hint="eastAsia" w:ascii="宋体" w:hAnsi="宋体" w:eastAsia="宋体"/>
        <w:sz w:val="28"/>
        <w:szCs w:val="28"/>
      </w:rPr>
      <w:t xml:space="preserve"> —</w:t>
    </w:r>
  </w:p>
  <w:p>
    <w:pPr>
      <w:pStyle w:val="11"/>
      <w:tabs>
        <w:tab w:val="left" w:pos="3660"/>
        <w:tab w:val="clear" w:pos="4153"/>
        <w:tab w:val="clear" w:pos="8306"/>
      </w:tabs>
      <w:ind w:right="360"/>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38</w:t>
    </w:r>
    <w:r>
      <w:rPr>
        <w:rFonts w:ascii="宋体" w:hAnsi="宋体" w:eastAsia="宋体"/>
        <w:sz w:val="28"/>
        <w:szCs w:val="28"/>
      </w:rPr>
      <w:fldChar w:fldCharType="end"/>
    </w:r>
    <w:r>
      <w:rPr>
        <w:rFonts w:hint="eastAsia" w:ascii="宋体" w:hAnsi="宋体" w:eastAsia="宋体"/>
        <w:sz w:val="28"/>
        <w:szCs w:val="28"/>
      </w:rPr>
      <w:t xml:space="preserve"> —</w:t>
    </w:r>
  </w:p>
  <w:p>
    <w:pPr>
      <w:pStyle w:val="11"/>
      <w:tabs>
        <w:tab w:val="left" w:pos="744"/>
        <w:tab w:val="clear" w:pos="4153"/>
        <w:tab w:val="clear" w:pos="8306"/>
      </w:tabs>
      <w:spacing w:line="160"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39</w:t>
    </w:r>
    <w:r>
      <w:rPr>
        <w:rFonts w:ascii="宋体" w:hAnsi="宋体" w:eastAsia="宋体"/>
        <w:sz w:val="28"/>
        <w:szCs w:val="28"/>
      </w:rPr>
      <w:fldChar w:fldCharType="end"/>
    </w:r>
    <w:r>
      <w:rPr>
        <w:rFonts w:hint="eastAsia" w:ascii="宋体" w:hAnsi="宋体" w:eastAsia="宋体"/>
        <w:sz w:val="28"/>
        <w:szCs w:val="28"/>
      </w:rPr>
      <w:t xml:space="preserve"> —</w:t>
    </w:r>
  </w:p>
  <w:p>
    <w:pPr>
      <w:pStyle w:val="11"/>
      <w:tabs>
        <w:tab w:val="left" w:pos="3660"/>
        <w:tab w:val="clear" w:pos="4153"/>
        <w:tab w:val="clear" w:pos="8306"/>
      </w:tabs>
      <w:ind w:right="360"/>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evenAndOddHeaders w:val="1"/>
  <w:drawingGridHorizontalSpacing w:val="105"/>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A25A54"/>
    <w:rsid w:val="000047C5"/>
    <w:rsid w:val="00022BBD"/>
    <w:rsid w:val="000232A7"/>
    <w:rsid w:val="0002724D"/>
    <w:rsid w:val="000327EB"/>
    <w:rsid w:val="000539DE"/>
    <w:rsid w:val="00073537"/>
    <w:rsid w:val="00077F2C"/>
    <w:rsid w:val="000A5DF4"/>
    <w:rsid w:val="000A6697"/>
    <w:rsid w:val="000D04E0"/>
    <w:rsid w:val="000F50B2"/>
    <w:rsid w:val="00100F47"/>
    <w:rsid w:val="0010239D"/>
    <w:rsid w:val="00114E46"/>
    <w:rsid w:val="0012674C"/>
    <w:rsid w:val="001301B1"/>
    <w:rsid w:val="00140F29"/>
    <w:rsid w:val="0014722F"/>
    <w:rsid w:val="00164EF8"/>
    <w:rsid w:val="0017333B"/>
    <w:rsid w:val="001B1772"/>
    <w:rsid w:val="001B38AE"/>
    <w:rsid w:val="001B648B"/>
    <w:rsid w:val="001E3FF4"/>
    <w:rsid w:val="001F5A7B"/>
    <w:rsid w:val="00213C32"/>
    <w:rsid w:val="002218C5"/>
    <w:rsid w:val="00226407"/>
    <w:rsid w:val="002321EF"/>
    <w:rsid w:val="00236D67"/>
    <w:rsid w:val="00240372"/>
    <w:rsid w:val="002655AF"/>
    <w:rsid w:val="00265BF3"/>
    <w:rsid w:val="002736B6"/>
    <w:rsid w:val="00275155"/>
    <w:rsid w:val="0029383D"/>
    <w:rsid w:val="002C4F10"/>
    <w:rsid w:val="002C5877"/>
    <w:rsid w:val="002C6057"/>
    <w:rsid w:val="002F2F70"/>
    <w:rsid w:val="002F448C"/>
    <w:rsid w:val="00310307"/>
    <w:rsid w:val="00314F8C"/>
    <w:rsid w:val="00333C19"/>
    <w:rsid w:val="00337C94"/>
    <w:rsid w:val="00356F91"/>
    <w:rsid w:val="00367E9A"/>
    <w:rsid w:val="0037023C"/>
    <w:rsid w:val="00395B86"/>
    <w:rsid w:val="00397EF0"/>
    <w:rsid w:val="003A1F1A"/>
    <w:rsid w:val="003A4817"/>
    <w:rsid w:val="003A51D4"/>
    <w:rsid w:val="003B4316"/>
    <w:rsid w:val="003D28FA"/>
    <w:rsid w:val="003E6136"/>
    <w:rsid w:val="00400ABD"/>
    <w:rsid w:val="00404AC9"/>
    <w:rsid w:val="00414445"/>
    <w:rsid w:val="00426FD8"/>
    <w:rsid w:val="00431FBB"/>
    <w:rsid w:val="00455BE6"/>
    <w:rsid w:val="00462BC2"/>
    <w:rsid w:val="00483B63"/>
    <w:rsid w:val="00496524"/>
    <w:rsid w:val="00496C10"/>
    <w:rsid w:val="004C2F91"/>
    <w:rsid w:val="004D455E"/>
    <w:rsid w:val="004E6ED7"/>
    <w:rsid w:val="00503C1D"/>
    <w:rsid w:val="005058DC"/>
    <w:rsid w:val="00556320"/>
    <w:rsid w:val="005A1CF4"/>
    <w:rsid w:val="005B5C5F"/>
    <w:rsid w:val="005B68A2"/>
    <w:rsid w:val="005C3F6F"/>
    <w:rsid w:val="005D17C7"/>
    <w:rsid w:val="005D244A"/>
    <w:rsid w:val="005E470C"/>
    <w:rsid w:val="00603C08"/>
    <w:rsid w:val="006129A4"/>
    <w:rsid w:val="00624694"/>
    <w:rsid w:val="006639BC"/>
    <w:rsid w:val="00663EC2"/>
    <w:rsid w:val="006861F7"/>
    <w:rsid w:val="006877AF"/>
    <w:rsid w:val="00690B4E"/>
    <w:rsid w:val="006B07B4"/>
    <w:rsid w:val="006B776D"/>
    <w:rsid w:val="006D0227"/>
    <w:rsid w:val="006E128F"/>
    <w:rsid w:val="006E71C6"/>
    <w:rsid w:val="006F4130"/>
    <w:rsid w:val="00706AA9"/>
    <w:rsid w:val="00732937"/>
    <w:rsid w:val="00740217"/>
    <w:rsid w:val="00742C28"/>
    <w:rsid w:val="00765EC6"/>
    <w:rsid w:val="007B601F"/>
    <w:rsid w:val="007E1545"/>
    <w:rsid w:val="007F0CFB"/>
    <w:rsid w:val="007F1969"/>
    <w:rsid w:val="00805B34"/>
    <w:rsid w:val="00822D96"/>
    <w:rsid w:val="008372D5"/>
    <w:rsid w:val="008633CD"/>
    <w:rsid w:val="00886EEE"/>
    <w:rsid w:val="008B42BA"/>
    <w:rsid w:val="008B624F"/>
    <w:rsid w:val="008C0266"/>
    <w:rsid w:val="008E3787"/>
    <w:rsid w:val="008F4649"/>
    <w:rsid w:val="00902B4A"/>
    <w:rsid w:val="009117F7"/>
    <w:rsid w:val="00917EF8"/>
    <w:rsid w:val="0092520A"/>
    <w:rsid w:val="00977F93"/>
    <w:rsid w:val="009A1A75"/>
    <w:rsid w:val="009A248E"/>
    <w:rsid w:val="009A6FD9"/>
    <w:rsid w:val="009C02F2"/>
    <w:rsid w:val="009C51E0"/>
    <w:rsid w:val="009E1C84"/>
    <w:rsid w:val="00A00365"/>
    <w:rsid w:val="00A20809"/>
    <w:rsid w:val="00A25A54"/>
    <w:rsid w:val="00A41108"/>
    <w:rsid w:val="00A4694D"/>
    <w:rsid w:val="00A5522E"/>
    <w:rsid w:val="00A74810"/>
    <w:rsid w:val="00AB0E1E"/>
    <w:rsid w:val="00AC05C2"/>
    <w:rsid w:val="00AC3224"/>
    <w:rsid w:val="00AD39B9"/>
    <w:rsid w:val="00B03E0C"/>
    <w:rsid w:val="00B067DA"/>
    <w:rsid w:val="00B30916"/>
    <w:rsid w:val="00B74F29"/>
    <w:rsid w:val="00B76EEA"/>
    <w:rsid w:val="00B7715E"/>
    <w:rsid w:val="00B81720"/>
    <w:rsid w:val="00B82326"/>
    <w:rsid w:val="00BC15A5"/>
    <w:rsid w:val="00BC4A8B"/>
    <w:rsid w:val="00BE7328"/>
    <w:rsid w:val="00C66F70"/>
    <w:rsid w:val="00C80128"/>
    <w:rsid w:val="00C8194D"/>
    <w:rsid w:val="00CD41B1"/>
    <w:rsid w:val="00CE1AAC"/>
    <w:rsid w:val="00CF5130"/>
    <w:rsid w:val="00D13416"/>
    <w:rsid w:val="00D270C4"/>
    <w:rsid w:val="00D328C4"/>
    <w:rsid w:val="00D713B3"/>
    <w:rsid w:val="00DB650E"/>
    <w:rsid w:val="00DB66B7"/>
    <w:rsid w:val="00DD2549"/>
    <w:rsid w:val="00DD32EE"/>
    <w:rsid w:val="00DF3040"/>
    <w:rsid w:val="00E075CA"/>
    <w:rsid w:val="00E107C0"/>
    <w:rsid w:val="00E2302F"/>
    <w:rsid w:val="00E260B0"/>
    <w:rsid w:val="00E26999"/>
    <w:rsid w:val="00E42DBD"/>
    <w:rsid w:val="00E74100"/>
    <w:rsid w:val="00E9345B"/>
    <w:rsid w:val="00EA0813"/>
    <w:rsid w:val="00EB6757"/>
    <w:rsid w:val="00EB7A65"/>
    <w:rsid w:val="00EE61DE"/>
    <w:rsid w:val="00EE7D4D"/>
    <w:rsid w:val="00EF1F13"/>
    <w:rsid w:val="00EF5E44"/>
    <w:rsid w:val="00F47CBA"/>
    <w:rsid w:val="00F550E2"/>
    <w:rsid w:val="00F779E9"/>
    <w:rsid w:val="00F92CE4"/>
    <w:rsid w:val="00F93A1B"/>
    <w:rsid w:val="00FC68D7"/>
    <w:rsid w:val="00FD1764"/>
    <w:rsid w:val="00FE4541"/>
    <w:rsid w:val="00FE68E8"/>
    <w:rsid w:val="11626924"/>
    <w:rsid w:val="17EB4E4C"/>
    <w:rsid w:val="22AF17CC"/>
    <w:rsid w:val="6A1E59DD"/>
    <w:rsid w:val="DDF580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line="360" w:lineRule="auto"/>
      <w:ind w:firstLine="640" w:firstLineChars="200"/>
      <w:outlineLvl w:val="2"/>
    </w:pPr>
    <w:rPr>
      <w:rFonts w:ascii="Calibri" w:hAnsi="Calibri" w:eastAsia="仿宋_GB2312" w:cs="Calibri"/>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Body Text"/>
    <w:basedOn w:val="1"/>
    <w:link w:val="47"/>
    <w:qFormat/>
    <w:uiPriority w:val="0"/>
    <w:pPr>
      <w:spacing w:after="120"/>
    </w:pPr>
    <w:rPr>
      <w:rFonts w:eastAsia="仿宋_GB2312"/>
      <w:kern w:val="0"/>
      <w:sz w:val="32"/>
      <w:szCs w:val="20"/>
    </w:rPr>
  </w:style>
  <w:style w:type="paragraph" w:styleId="6">
    <w:name w:val="Body Text Indent"/>
    <w:basedOn w:val="1"/>
    <w:link w:val="42"/>
    <w:qFormat/>
    <w:uiPriority w:val="0"/>
    <w:pPr>
      <w:spacing w:line="360" w:lineRule="auto"/>
      <w:ind w:firstLine="600" w:firstLineChars="200"/>
    </w:pPr>
    <w:rPr>
      <w:rFonts w:ascii="楷体_GB2312" w:eastAsia="楷体_GB2312"/>
      <w:kern w:val="0"/>
      <w:sz w:val="30"/>
      <w:szCs w:val="30"/>
    </w:rPr>
  </w:style>
  <w:style w:type="paragraph" w:styleId="7">
    <w:name w:val="Date"/>
    <w:basedOn w:val="1"/>
    <w:next w:val="1"/>
    <w:link w:val="31"/>
    <w:qFormat/>
    <w:uiPriority w:val="0"/>
    <w:rPr>
      <w:sz w:val="32"/>
      <w:szCs w:val="20"/>
    </w:rPr>
  </w:style>
  <w:style w:type="paragraph" w:styleId="8">
    <w:name w:val="Body Text Indent 2"/>
    <w:basedOn w:val="1"/>
    <w:link w:val="45"/>
    <w:qFormat/>
    <w:uiPriority w:val="0"/>
    <w:pPr>
      <w:spacing w:after="120" w:line="480" w:lineRule="auto"/>
      <w:ind w:left="420" w:leftChars="200"/>
    </w:pPr>
    <w:rPr>
      <w:rFonts w:eastAsia="仿宋_GB2312"/>
      <w:kern w:val="0"/>
      <w:sz w:val="32"/>
      <w:szCs w:val="20"/>
    </w:rPr>
  </w:style>
  <w:style w:type="paragraph" w:styleId="9">
    <w:name w:val="endnote text"/>
    <w:basedOn w:val="1"/>
    <w:link w:val="43"/>
    <w:semiHidden/>
    <w:qFormat/>
    <w:uiPriority w:val="0"/>
    <w:pPr>
      <w:snapToGrid w:val="0"/>
      <w:jc w:val="left"/>
    </w:pPr>
    <w:rPr>
      <w:kern w:val="0"/>
      <w:sz w:val="20"/>
    </w:rPr>
  </w:style>
  <w:style w:type="paragraph" w:styleId="10">
    <w:name w:val="Balloon Text"/>
    <w:basedOn w:val="1"/>
    <w:link w:val="34"/>
    <w:semiHidden/>
    <w:qFormat/>
    <w:uiPriority w:val="0"/>
    <w:rPr>
      <w:sz w:val="18"/>
      <w:szCs w:val="18"/>
    </w:rPr>
  </w:style>
  <w:style w:type="paragraph" w:styleId="11">
    <w:name w:val="footer"/>
    <w:basedOn w:val="1"/>
    <w:link w:val="35"/>
    <w:qFormat/>
    <w:uiPriority w:val="99"/>
    <w:pPr>
      <w:tabs>
        <w:tab w:val="center" w:pos="4153"/>
        <w:tab w:val="right" w:pos="8306"/>
      </w:tabs>
      <w:snapToGrid w:val="0"/>
      <w:jc w:val="left"/>
    </w:pPr>
    <w:rPr>
      <w:sz w:val="18"/>
      <w:szCs w:val="18"/>
    </w:rPr>
  </w:style>
  <w:style w:type="paragraph" w:styleId="12">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0"/>
  </w:style>
  <w:style w:type="paragraph" w:styleId="14">
    <w:name w:val="footnote text"/>
    <w:basedOn w:val="1"/>
    <w:link w:val="46"/>
    <w:semiHidden/>
    <w:qFormat/>
    <w:uiPriority w:val="0"/>
    <w:pPr>
      <w:snapToGrid w:val="0"/>
      <w:jc w:val="left"/>
    </w:pPr>
    <w:rPr>
      <w:rFonts w:eastAsia="仿宋_GB2312"/>
      <w:kern w:val="0"/>
      <w:sz w:val="18"/>
      <w:szCs w:val="18"/>
    </w:rPr>
  </w:style>
  <w:style w:type="paragraph" w:styleId="15">
    <w:name w:val="Body Text Indent 3"/>
    <w:basedOn w:val="1"/>
    <w:link w:val="49"/>
    <w:qFormat/>
    <w:uiPriority w:val="0"/>
    <w:pPr>
      <w:spacing w:after="120"/>
      <w:ind w:left="420" w:leftChars="200"/>
    </w:pPr>
    <w:rPr>
      <w:rFonts w:eastAsia="仿宋_GB2312"/>
      <w:kern w:val="0"/>
      <w:sz w:val="16"/>
      <w:szCs w:val="16"/>
    </w:rPr>
  </w:style>
  <w:style w:type="paragraph" w:styleId="16">
    <w:name w:val="Body Text 2"/>
    <w:basedOn w:val="1"/>
    <w:link w:val="44"/>
    <w:qFormat/>
    <w:uiPriority w:val="0"/>
    <w:pPr>
      <w:spacing w:after="120" w:line="480" w:lineRule="auto"/>
    </w:pPr>
    <w:rPr>
      <w:rFonts w:eastAsia="仿宋_GB2312"/>
      <w:kern w:val="0"/>
      <w:sz w:val="32"/>
      <w:szCs w:val="20"/>
    </w:rPr>
  </w:style>
  <w:style w:type="paragraph" w:styleId="1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endnote reference"/>
    <w:basedOn w:val="20"/>
    <w:semiHidden/>
    <w:qFormat/>
    <w:uiPriority w:val="0"/>
    <w:rPr>
      <w:vertAlign w:val="superscript"/>
    </w:rPr>
  </w:style>
  <w:style w:type="character" w:styleId="23">
    <w:name w:val="page number"/>
    <w:basedOn w:val="20"/>
    <w:qFormat/>
    <w:uiPriority w:val="0"/>
  </w:style>
  <w:style w:type="character" w:styleId="24">
    <w:name w:val="Hyperlink"/>
    <w:basedOn w:val="20"/>
    <w:qFormat/>
    <w:uiPriority w:val="0"/>
    <w:rPr>
      <w:color w:val="0000FF"/>
      <w:u w:val="single"/>
    </w:rPr>
  </w:style>
  <w:style w:type="character" w:styleId="25">
    <w:name w:val="footnote reference"/>
    <w:basedOn w:val="20"/>
    <w:semiHidden/>
    <w:qFormat/>
    <w:uiPriority w:val="0"/>
    <w:rPr>
      <w:vertAlign w:val="superscript"/>
    </w:rPr>
  </w:style>
  <w:style w:type="character" w:customStyle="1" w:styleId="26">
    <w:name w:val="标题 1 Char"/>
    <w:basedOn w:val="20"/>
    <w:link w:val="2"/>
    <w:qFormat/>
    <w:uiPriority w:val="0"/>
    <w:rPr>
      <w:b/>
      <w:bCs/>
      <w:kern w:val="44"/>
      <w:sz w:val="44"/>
      <w:szCs w:val="44"/>
    </w:rPr>
  </w:style>
  <w:style w:type="character" w:customStyle="1" w:styleId="27">
    <w:name w:val="标题 2 Char"/>
    <w:basedOn w:val="20"/>
    <w:link w:val="3"/>
    <w:qFormat/>
    <w:uiPriority w:val="0"/>
    <w:rPr>
      <w:rFonts w:ascii="Arial" w:hAnsi="Arial" w:eastAsia="黑体"/>
      <w:b/>
      <w:bCs/>
      <w:kern w:val="2"/>
      <w:sz w:val="32"/>
      <w:szCs w:val="32"/>
    </w:rPr>
  </w:style>
  <w:style w:type="character" w:customStyle="1" w:styleId="28">
    <w:name w:val="标题 3 Char"/>
    <w:basedOn w:val="20"/>
    <w:link w:val="4"/>
    <w:qFormat/>
    <w:uiPriority w:val="0"/>
    <w:rPr>
      <w:rFonts w:ascii="Calibri" w:hAnsi="Calibri" w:eastAsia="仿宋_GB2312" w:cs="Calibri"/>
      <w:b/>
      <w:bCs/>
      <w:kern w:val="2"/>
      <w:sz w:val="32"/>
      <w:szCs w:val="32"/>
    </w:rPr>
  </w:style>
  <w:style w:type="character" w:customStyle="1" w:styleId="29">
    <w:name w:val="正文文本 Char1"/>
    <w:basedOn w:val="20"/>
    <w:link w:val="5"/>
    <w:semiHidden/>
    <w:qFormat/>
    <w:uiPriority w:val="0"/>
    <w:rPr>
      <w:kern w:val="2"/>
      <w:sz w:val="21"/>
      <w:szCs w:val="24"/>
    </w:rPr>
  </w:style>
  <w:style w:type="character" w:customStyle="1" w:styleId="30">
    <w:name w:val="正文文本缩进 Char1"/>
    <w:basedOn w:val="20"/>
    <w:link w:val="6"/>
    <w:semiHidden/>
    <w:qFormat/>
    <w:uiPriority w:val="99"/>
    <w:rPr>
      <w:kern w:val="2"/>
      <w:sz w:val="21"/>
      <w:szCs w:val="24"/>
    </w:rPr>
  </w:style>
  <w:style w:type="character" w:customStyle="1" w:styleId="31">
    <w:name w:val="日期 Char"/>
    <w:basedOn w:val="20"/>
    <w:link w:val="7"/>
    <w:qFormat/>
    <w:uiPriority w:val="0"/>
    <w:rPr>
      <w:kern w:val="2"/>
      <w:sz w:val="32"/>
    </w:rPr>
  </w:style>
  <w:style w:type="character" w:customStyle="1" w:styleId="32">
    <w:name w:val="正文文本缩进 2 Char1"/>
    <w:basedOn w:val="20"/>
    <w:link w:val="8"/>
    <w:semiHidden/>
    <w:qFormat/>
    <w:uiPriority w:val="0"/>
    <w:rPr>
      <w:kern w:val="2"/>
      <w:sz w:val="21"/>
      <w:szCs w:val="24"/>
    </w:rPr>
  </w:style>
  <w:style w:type="character" w:customStyle="1" w:styleId="33">
    <w:name w:val="尾注文本 Char1"/>
    <w:basedOn w:val="20"/>
    <w:link w:val="9"/>
    <w:semiHidden/>
    <w:qFormat/>
    <w:uiPriority w:val="0"/>
    <w:rPr>
      <w:kern w:val="2"/>
      <w:sz w:val="21"/>
      <w:szCs w:val="24"/>
    </w:rPr>
  </w:style>
  <w:style w:type="character" w:customStyle="1" w:styleId="34">
    <w:name w:val="批注框文本 Char"/>
    <w:basedOn w:val="20"/>
    <w:link w:val="10"/>
    <w:semiHidden/>
    <w:qFormat/>
    <w:uiPriority w:val="0"/>
    <w:rPr>
      <w:kern w:val="2"/>
      <w:sz w:val="18"/>
      <w:szCs w:val="18"/>
    </w:rPr>
  </w:style>
  <w:style w:type="character" w:customStyle="1" w:styleId="35">
    <w:name w:val="页脚 Char"/>
    <w:link w:val="11"/>
    <w:qFormat/>
    <w:uiPriority w:val="99"/>
    <w:rPr>
      <w:kern w:val="2"/>
      <w:sz w:val="18"/>
      <w:szCs w:val="18"/>
    </w:rPr>
  </w:style>
  <w:style w:type="character" w:customStyle="1" w:styleId="36">
    <w:name w:val="页眉 Char"/>
    <w:link w:val="12"/>
    <w:qFormat/>
    <w:uiPriority w:val="0"/>
    <w:rPr>
      <w:kern w:val="2"/>
      <w:sz w:val="18"/>
      <w:szCs w:val="18"/>
    </w:rPr>
  </w:style>
  <w:style w:type="character" w:customStyle="1" w:styleId="37">
    <w:name w:val="脚注文本 Char1"/>
    <w:basedOn w:val="20"/>
    <w:link w:val="14"/>
    <w:semiHidden/>
    <w:qFormat/>
    <w:uiPriority w:val="0"/>
    <w:rPr>
      <w:kern w:val="2"/>
      <w:sz w:val="18"/>
      <w:szCs w:val="18"/>
    </w:rPr>
  </w:style>
  <w:style w:type="character" w:customStyle="1" w:styleId="38">
    <w:name w:val="正文文本缩进 3 Char1"/>
    <w:basedOn w:val="20"/>
    <w:link w:val="15"/>
    <w:semiHidden/>
    <w:qFormat/>
    <w:uiPriority w:val="0"/>
    <w:rPr>
      <w:kern w:val="2"/>
      <w:sz w:val="16"/>
      <w:szCs w:val="16"/>
    </w:rPr>
  </w:style>
  <w:style w:type="character" w:customStyle="1" w:styleId="39">
    <w:name w:val="正文文本 2 Char1"/>
    <w:basedOn w:val="20"/>
    <w:link w:val="16"/>
    <w:semiHidden/>
    <w:qFormat/>
    <w:uiPriority w:val="0"/>
    <w:rPr>
      <w:kern w:val="2"/>
      <w:sz w:val="21"/>
      <w:szCs w:val="24"/>
    </w:rPr>
  </w:style>
  <w:style w:type="paragraph" w:styleId="40">
    <w:name w:val="List Paragraph"/>
    <w:basedOn w:val="1"/>
    <w:qFormat/>
    <w:uiPriority w:val="0"/>
    <w:pPr>
      <w:ind w:firstLine="420" w:firstLineChars="200"/>
    </w:pPr>
    <w:rPr>
      <w:rFonts w:ascii="Calibri" w:hAnsi="Calibri" w:eastAsia="宋体" w:cs="Times New Roman"/>
      <w:szCs w:val="22"/>
    </w:rPr>
  </w:style>
  <w:style w:type="paragraph" w:customStyle="1" w:styleId="41">
    <w:name w:val="Char"/>
    <w:basedOn w:val="1"/>
    <w:qFormat/>
    <w:uiPriority w:val="0"/>
    <w:pPr>
      <w:spacing w:line="360" w:lineRule="auto"/>
      <w:ind w:firstLine="200" w:firstLineChars="200"/>
    </w:pPr>
    <w:rPr>
      <w:rFonts w:ascii="宋体" w:hAnsi="宋体" w:eastAsia="楷体_GB2312" w:cs="宋体"/>
      <w:sz w:val="24"/>
      <w:szCs w:val="32"/>
    </w:rPr>
  </w:style>
  <w:style w:type="character" w:customStyle="1" w:styleId="42">
    <w:name w:val="正文文本缩进 Char"/>
    <w:basedOn w:val="20"/>
    <w:link w:val="6"/>
    <w:qFormat/>
    <w:uiPriority w:val="0"/>
    <w:rPr>
      <w:rFonts w:ascii="楷体_GB2312" w:eastAsia="楷体_GB2312"/>
      <w:sz w:val="30"/>
      <w:szCs w:val="30"/>
    </w:rPr>
  </w:style>
  <w:style w:type="character" w:customStyle="1" w:styleId="43">
    <w:name w:val="尾注文本 Char"/>
    <w:basedOn w:val="20"/>
    <w:link w:val="9"/>
    <w:semiHidden/>
    <w:qFormat/>
    <w:uiPriority w:val="0"/>
    <w:rPr>
      <w:szCs w:val="24"/>
    </w:rPr>
  </w:style>
  <w:style w:type="character" w:customStyle="1" w:styleId="44">
    <w:name w:val="正文文本 2 Char"/>
    <w:basedOn w:val="20"/>
    <w:link w:val="16"/>
    <w:qFormat/>
    <w:uiPriority w:val="0"/>
    <w:rPr>
      <w:rFonts w:eastAsia="仿宋_GB2312"/>
      <w:sz w:val="32"/>
    </w:rPr>
  </w:style>
  <w:style w:type="character" w:customStyle="1" w:styleId="45">
    <w:name w:val="正文文本缩进 2 Char"/>
    <w:basedOn w:val="20"/>
    <w:link w:val="8"/>
    <w:qFormat/>
    <w:uiPriority w:val="0"/>
    <w:rPr>
      <w:rFonts w:eastAsia="仿宋_GB2312"/>
      <w:sz w:val="32"/>
    </w:rPr>
  </w:style>
  <w:style w:type="character" w:customStyle="1" w:styleId="46">
    <w:name w:val="脚注文本 Char"/>
    <w:basedOn w:val="20"/>
    <w:link w:val="14"/>
    <w:semiHidden/>
    <w:qFormat/>
    <w:uiPriority w:val="0"/>
    <w:rPr>
      <w:rFonts w:eastAsia="仿宋_GB2312"/>
      <w:sz w:val="18"/>
      <w:szCs w:val="18"/>
    </w:rPr>
  </w:style>
  <w:style w:type="character" w:customStyle="1" w:styleId="47">
    <w:name w:val="正文文本 Char"/>
    <w:basedOn w:val="20"/>
    <w:link w:val="5"/>
    <w:qFormat/>
    <w:uiPriority w:val="0"/>
    <w:rPr>
      <w:rFonts w:eastAsia="仿宋_GB2312"/>
      <w:sz w:val="32"/>
    </w:rPr>
  </w:style>
  <w:style w:type="character" w:customStyle="1" w:styleId="48">
    <w:name w:val="日期 Char1"/>
    <w:basedOn w:val="20"/>
    <w:semiHidden/>
    <w:qFormat/>
    <w:uiPriority w:val="99"/>
  </w:style>
  <w:style w:type="character" w:customStyle="1" w:styleId="49">
    <w:name w:val="正文文本缩进 3 Char"/>
    <w:basedOn w:val="20"/>
    <w:link w:val="15"/>
    <w:qFormat/>
    <w:uiPriority w:val="0"/>
    <w:rPr>
      <w:rFonts w:eastAsia="仿宋_GB2312"/>
      <w:sz w:val="16"/>
      <w:szCs w:val="16"/>
    </w:rPr>
  </w:style>
  <w:style w:type="character" w:customStyle="1" w:styleId="50">
    <w:name w:val="批注框文本 Char1"/>
    <w:basedOn w:val="20"/>
    <w:semiHidden/>
    <w:qFormat/>
    <w:uiPriority w:val="99"/>
    <w:rPr>
      <w:sz w:val="18"/>
      <w:szCs w:val="18"/>
    </w:rPr>
  </w:style>
  <w:style w:type="paragraph" w:customStyle="1" w:styleId="51">
    <w:name w:val="列出段落1"/>
    <w:basedOn w:val="1"/>
    <w:qFormat/>
    <w:uiPriority w:val="0"/>
    <w:pPr>
      <w:ind w:firstLine="420" w:firstLineChars="200"/>
    </w:pPr>
    <w:rPr>
      <w:rFonts w:ascii="Calibri" w:hAnsi="Calibri"/>
      <w:szCs w:val="22"/>
    </w:rPr>
  </w:style>
  <w:style w:type="character" w:customStyle="1" w:styleId="52">
    <w:name w:val="Char Char7"/>
    <w:basedOn w:val="20"/>
    <w:qFormat/>
    <w:uiPriority w:val="0"/>
    <w:rPr>
      <w:rFonts w:ascii="Times New Roman" w:hAnsi="Times New Roman" w:eastAsia="仿宋_GB2312" w:cs="Times New Roman"/>
      <w:sz w:val="18"/>
      <w:szCs w:val="18"/>
    </w:rPr>
  </w:style>
  <w:style w:type="character" w:customStyle="1" w:styleId="53">
    <w:name w:val="页脚 Char1"/>
    <w:qFormat/>
    <w:uiPriority w:val="0"/>
    <w:rPr>
      <w:rFonts w:eastAsia="仿宋_GB2312"/>
      <w:kern w:val="2"/>
      <w:sz w:val="18"/>
      <w:szCs w:val="18"/>
      <w:lang w:val="en-US" w:eastAsia="zh-CN" w:bidi="ar-SA"/>
    </w:rPr>
  </w:style>
  <w:style w:type="character" w:customStyle="1" w:styleId="54">
    <w:name w:val="pfont"/>
    <w:basedOn w:val="20"/>
    <w:qFormat/>
    <w:uiPriority w:val="0"/>
  </w:style>
  <w:style w:type="character" w:customStyle="1" w:styleId="55">
    <w:name w:val="Char Char6"/>
    <w:qFormat/>
    <w:uiPriority w:val="0"/>
    <w:rPr>
      <w:b/>
      <w:bCs/>
      <w:kern w:val="44"/>
      <w:sz w:val="44"/>
      <w:szCs w:val="44"/>
    </w:rPr>
  </w:style>
  <w:style w:type="character" w:customStyle="1" w:styleId="56">
    <w:name w:val="Footer Char"/>
    <w:basedOn w:val="20"/>
    <w:qFormat/>
    <w:locked/>
    <w:uiPriority w:val="0"/>
    <w:rPr>
      <w:rFonts w:cs="Times New Roman"/>
      <w:sz w:val="18"/>
      <w:szCs w:val="18"/>
    </w:rPr>
  </w:style>
  <w:style w:type="paragraph" w:customStyle="1" w:styleId="57">
    <w:name w:val="Char Char1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58">
    <w:name w:val="文件标题"/>
    <w:basedOn w:val="1"/>
    <w:qFormat/>
    <w:uiPriority w:val="0"/>
    <w:rPr>
      <w:rFonts w:ascii="宋体"/>
      <w:b/>
      <w:sz w:val="44"/>
    </w:rPr>
  </w:style>
  <w:style w:type="paragraph" w:customStyle="1" w:styleId="59">
    <w:name w:val="默认段落字体 Para Char Char Char Char Char Char Char"/>
    <w:basedOn w:val="1"/>
    <w:qFormat/>
    <w:uiPriority w:val="0"/>
    <w:pPr>
      <w:spacing w:line="360" w:lineRule="auto"/>
      <w:ind w:firstLine="200" w:firstLineChars="200"/>
    </w:pPr>
    <w:rPr>
      <w:rFonts w:ascii="宋体" w:hAnsi="宋体" w:cs="宋体"/>
      <w:sz w:val="24"/>
    </w:rPr>
  </w:style>
  <w:style w:type="paragraph" w:styleId="60">
    <w:name w:val="No Spacing"/>
    <w:qFormat/>
    <w:uiPriority w:val="0"/>
    <w:pPr>
      <w:widowControl w:val="0"/>
      <w:spacing w:line="360" w:lineRule="auto"/>
      <w:ind w:left="200" w:leftChars="200"/>
      <w:textAlignment w:val="center"/>
      <w:outlineLvl w:val="2"/>
    </w:pPr>
    <w:rPr>
      <w:rFonts w:ascii="Calibri" w:hAnsi="Calibri" w:eastAsia="华文中宋" w:cs="Times New Roman"/>
      <w:b/>
      <w:kern w:val="2"/>
      <w:sz w:val="28"/>
      <w:szCs w:val="24"/>
      <w:lang w:val="en-US" w:eastAsia="zh-CN" w:bidi="ar-SA"/>
    </w:rPr>
  </w:style>
  <w:style w:type="paragraph" w:customStyle="1" w:styleId="61">
    <w:name w:val="xl25"/>
    <w:basedOn w:val="1"/>
    <w:qFormat/>
    <w:uiPriority w:val="0"/>
    <w:pPr>
      <w:widowControl/>
      <w:spacing w:before="100" w:beforeAutospacing="1" w:after="100" w:afterAutospacing="1"/>
      <w:jc w:val="center"/>
      <w:textAlignment w:val="center"/>
    </w:pPr>
    <w:rPr>
      <w:rFonts w:hint="eastAsia" w:ascii="仿宋_GB2312" w:hAnsi="宋体" w:eastAsia="仿宋_GB2312"/>
      <w:kern w:val="0"/>
      <w:sz w:val="24"/>
    </w:rPr>
  </w:style>
  <w:style w:type="paragraph" w:customStyle="1" w:styleId="62">
    <w:name w:val="Char Char Char"/>
    <w:basedOn w:val="1"/>
    <w:qFormat/>
    <w:uiPriority w:val="0"/>
    <w:pPr>
      <w:spacing w:line="360" w:lineRule="auto"/>
      <w:ind w:firstLine="200" w:firstLineChars="200"/>
    </w:pPr>
  </w:style>
  <w:style w:type="paragraph" w:customStyle="1" w:styleId="63">
    <w:name w:val="Char Char Char Char"/>
    <w:basedOn w:val="1"/>
    <w:qFormat/>
    <w:uiPriority w:val="0"/>
    <w:pPr>
      <w:spacing w:line="360" w:lineRule="auto"/>
      <w:ind w:firstLine="200" w:firstLineChars="200"/>
    </w:pPr>
    <w:rPr>
      <w:rFonts w:ascii="宋体" w:hAnsi="宋体" w:cs="宋体"/>
      <w:sz w:val="24"/>
    </w:rPr>
  </w:style>
  <w:style w:type="paragraph" w:customStyle="1" w:styleId="64">
    <w:name w:val="列出段落2"/>
    <w:basedOn w:val="1"/>
    <w:qFormat/>
    <w:uiPriority w:val="0"/>
    <w:pPr>
      <w:ind w:firstLine="420" w:firstLineChars="200"/>
    </w:pPr>
    <w:rPr>
      <w:rFonts w:ascii="Calibri" w:hAnsi="Calibri"/>
      <w:szCs w:val="22"/>
    </w:rPr>
  </w:style>
  <w:style w:type="paragraph" w:customStyle="1" w:styleId="65">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66">
    <w:name w:val="Char Char Char Char Char Char"/>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42</Pages>
  <Words>15987</Words>
  <Characters>16221</Characters>
  <Lines>169</Lines>
  <Paragraphs>47</Paragraphs>
  <TotalTime>5</TotalTime>
  <ScaleCrop>false</ScaleCrop>
  <LinksUpToDate>false</LinksUpToDate>
  <CharactersWithSpaces>19430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2020-07-01T13:10:00Z</dcterms:created>
  <dc:creator>user</dc:creator>
  <cp:lastModifiedBy>拾雲</cp:lastModifiedBy>
  <cp:lastPrinted>2015-09-18T15:46:00Z</cp:lastPrinted>
  <dcterms:modified xsi:type="dcterms:W3CDTF">2023-06-16T01:26:20Z</dcterms:modified>
  <dc:title>中共天津港保税区工作委员会文件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F492CF4F7F5E438C809FD7DAADF33FCE_13</vt:lpwstr>
  </property>
</Properties>
</file>