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utoSpaceDN w:val="0"/>
        <w:adjustRightIn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天津港保税区管理委员会《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关于印发天津港</w:t>
      </w:r>
    </w:p>
    <w:p>
      <w:pPr>
        <w:autoSpaceDN w:val="0"/>
        <w:adjustRightIn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保税区关于优化中低压等级配套</w:t>
      </w:r>
    </w:p>
    <w:p>
      <w:pPr>
        <w:autoSpaceDN w:val="0"/>
        <w:adjustRightIn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电力线性工程审批实施办法</w:t>
      </w:r>
    </w:p>
    <w:p>
      <w:pPr>
        <w:autoSpaceDN w:val="0"/>
        <w:adjustRightIn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（试行）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的通知</w:t>
      </w:r>
    </w:p>
    <w:p>
      <w:pPr>
        <w:autoSpaceDN w:val="0"/>
        <w:adjustRightInd w:val="0"/>
        <w:spacing w:line="240" w:lineRule="auto"/>
        <w:ind w:firstLine="640" w:firstLineChars="200"/>
        <w:jc w:val="left"/>
        <w:rPr>
          <w:rFonts w:hint="eastAsia"/>
          <w:color w:val="000000"/>
          <w:spacing w:val="0"/>
        </w:rPr>
      </w:pPr>
    </w:p>
    <w:p>
      <w:pPr>
        <w:autoSpaceDN w:val="0"/>
        <w:adjustRightInd w:val="0"/>
        <w:spacing w:line="620" w:lineRule="exact"/>
        <w:jc w:val="left"/>
        <w:rPr>
          <w:rFonts w:hint="eastAsia" w:ascii="仿宋_GB2312"/>
          <w:color w:val="000000"/>
          <w:spacing w:val="0"/>
        </w:rPr>
      </w:pPr>
      <w:r>
        <w:rPr>
          <w:rFonts w:hint="eastAsia" w:ascii="仿宋_GB2312"/>
          <w:color w:val="000000"/>
          <w:spacing w:val="0"/>
        </w:rPr>
        <w:t>各有关单位：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为持续优化我区营商环境，降低企业“获得电力”接入成本，减少办理环节、压缩审批时限，提高保税区管理服务水平，规建局会同城环局、政务办、发改局制定了《天津港保税区关于优化中低压等级配套电力线性工程审批实施办法（试行）》。经党委、管委会研究，同意予以印发，请照此执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tabs>
          <w:tab w:val="left" w:pos="7513"/>
        </w:tabs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 xml:space="preserve">                             2023年6月9日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（此件主动公开）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天津港保税区关于优化中低压等级配套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电力线性工程审批实施办法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（试行）</w:t>
      </w:r>
    </w:p>
    <w:p>
      <w:pPr>
        <w:jc w:val="center"/>
        <w:rPr>
          <w:rFonts w:ascii="仿宋_GB2312"/>
          <w:color w:val="000000"/>
          <w:spacing w:val="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为持续优化我区营商环境，降低企业“获得电力”接入成本，切实优化公共基础设施服务，提高保税区管理服务水平，减少办理环节、压缩审批时限，持续优化电力工程建设审批流程，结合保税区工作实际，制定了本办法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全面贯彻落实我市关于深化“放管服”改革、优化营商环境工作部署，对标先进地区经验做法，坚持以人民为中心，加快推进“一制三化”改革落地，进一步提升电力接入效率和水平，为打造一流营商环境提供高效能源支撑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二、适用范围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适用于天津港保税区范围内为建设项目进行电力新装、增容等配套服务的35千伏及以下电压等级，不占压生态保护红线范围，且不涉及跨区域实施的配套电力线性工程、电力用户外部电源接入工程（以下统称“配套电力线性工程”）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三、主要措施</w:t>
      </w:r>
    </w:p>
    <w:p>
      <w:pPr>
        <w:spacing w:line="560" w:lineRule="exact"/>
        <w:ind w:firstLine="619" w:firstLineChars="20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（一）进一步简化项目选址、核准程序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1.对于长度大于2000米的配套电力线性工程，建设单位提供的选线方案（或电力专业方案）满足保税区国土空间规划、电力专项规划要求且符合管线综合规划的，在申报选址意见书阶段，可免于提交规划方案，由规划管理部门出具的选线方案预审意见函代替。（责任部门：规建局）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2.凭选线方案预审意见函建设单位可先行办理项目核准。在配套电力线性工程正式核准后，建设单位继续开展规划选线、路由方案等深度加深工作。需承诺于60天内完成正式的选址意见书办理。（责任部门：规建局、政务办）</w:t>
      </w:r>
    </w:p>
    <w:p>
      <w:pPr>
        <w:spacing w:line="560" w:lineRule="exact"/>
        <w:ind w:firstLine="619" w:firstLineChars="20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（二）并联审批，压缩审批时间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1.对满足上位规划要求，且设计方案符合相关设计标准的配套电力线性工程，建设单位可申请选址意见书和建设工程规划许可证并联办理。（责任部门：规建局、政务办）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2.建设单位对配套电力线性工程设计方案申请预审，若涉及管线穿越的一并提交穿越协议，经预审合格的由规划管理部门就方案占绿、占路可行性征求城环局意见。建设单位可同步申请办理占路、占绿等相关审批事项。需承诺在60日内或项目竣工前完成正式的建设工程规划许可证办理。（责任部门：规建局、城环局、政务办）</w:t>
      </w:r>
    </w:p>
    <w:p>
      <w:pPr>
        <w:spacing w:line="560" w:lineRule="exact"/>
        <w:ind w:firstLine="619" w:firstLineChars="20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（三）提前谋划电网建设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1.健全管委会与电力公司项目信息互通机制。对新建、扩建和改建项目因生产用能提出新增用电或电力扩容需求的，在项目入区评估及投资立项备案之后，管委会电力能源行业主管部门牵头将项目用能信息知会给电力公司。实现项目用电信息互通机制，及时将项目信息纳入电力公司的项目储备库，管委会各部门协同电力公司合力推进项目电力接入工作。（责任部门：发改局、政务办、规建局、城环局）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2.适度超前推进电网建设，推动保税区内新建电力排管建设。对已建设电力排管区域，电力公司应配合新敷设电缆需优先穿越排管，且无需进行相关规划、涉路、涉绿手续办理。新建电网工程原则上不得采用架空杆方式建设。（责任部门：规建局、发改局、城环局）</w:t>
      </w:r>
    </w:p>
    <w:p>
      <w:pPr>
        <w:spacing w:line="560" w:lineRule="exact"/>
        <w:ind w:firstLine="619" w:firstLineChars="20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（四）加强事中事后环节管理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1.对申请承诺制办理的项目，建设单位未按承诺书内容履行承诺的，将其失信行为纳入保税区失信档案，情节特别严重的纳入政务服务诚信档案。（责任部门：政务办、规建局、城环局）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2.项目施工中，建设单位需主动做好验线、验槽及规划验收等环节报审工作，强化施工管理。对未按规划实施或未经许可施工的项目，将严格按照相关法律、法规对建设主体、勘察、设计、施工、监理等单位进行处罚，并纳入保税区失信档案。（责任部门：规建局、城环局）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四、工作要求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（一）要切实落实本市地下管线保护“八个一律”工作措施，对未进行地下管线勘察的，未制定地下管线安全保护方案的，不具备安全施工条件的一律不准开工。</w:t>
      </w:r>
    </w:p>
    <w:p>
      <w:pPr>
        <w:spacing w:line="560" w:lineRule="exact"/>
        <w:ind w:firstLine="616" w:firstLineChars="200"/>
        <w:rPr>
          <w:rFonts w:hint="eastAsia"/>
        </w:rPr>
      </w:pPr>
      <w:r>
        <w:rPr>
          <w:rFonts w:hint="eastAsia"/>
        </w:rPr>
        <w:t>（二）在工作中推进改革、探索试验、敢于担当，但末能实现预期目标或者出现偏差失误，其工作未违反法律、法规中的禁止性、义务性规定，符合国家和本市确定的改革方向，决策程序符合规定，未谋取私利且未损害公共利益的，按照有关规定对其不作负面评价，免除相关责任。</w:t>
      </w:r>
    </w:p>
    <w:p>
      <w:pPr>
        <w:spacing w:line="56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五、本办法试用期一年，由保税区规建局负责具体解释。</w:t>
      </w:r>
    </w:p>
    <w:p>
      <w:pPr>
        <w:spacing w:line="560" w:lineRule="exact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560" w:lineRule="exact"/>
        <w:ind w:firstLine="616" w:firstLineChars="200"/>
        <w:rPr>
          <w:rFonts w:hint="eastAsia" w:ascii="仿宋_GB2312"/>
        </w:rPr>
      </w:pPr>
      <w:r>
        <w:rPr>
          <w:rFonts w:hint="eastAsia" w:ascii="仿宋_GB2312"/>
        </w:rPr>
        <w:t>附件：关于xx项目选线方案预审意见函</w:t>
      </w:r>
    </w:p>
    <w:p>
      <w:pPr>
        <w:spacing w:line="560" w:lineRule="exact"/>
        <w:ind w:firstLine="616" w:firstLineChars="200"/>
        <w:rPr>
          <w:rFonts w:hint="eastAsia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pacing w:val="0"/>
          <w:szCs w:val="32"/>
        </w:rPr>
      </w:pPr>
      <w:r>
        <w:rPr>
          <w:rFonts w:hint="eastAsia" w:ascii="黑体" w:hAnsi="黑体" w:eastAsia="黑体"/>
          <w:color w:val="000000"/>
          <w:spacing w:val="0"/>
          <w:szCs w:val="32"/>
        </w:rPr>
        <w:t>附件</w:t>
      </w:r>
    </w:p>
    <w:p>
      <w:pPr>
        <w:jc w:val="left"/>
        <w:rPr>
          <w:rFonts w:hint="eastAsia" w:ascii="黑体" w:hAnsi="黑体" w:eastAsia="黑体"/>
          <w:color w:val="000000"/>
          <w:spacing w:val="0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关于xx项目选线方案预审意见函</w:t>
      </w:r>
    </w:p>
    <w:p>
      <w:pPr>
        <w:jc w:val="center"/>
        <w:rPr>
          <w:rFonts w:ascii="方正小标宋简体" w:eastAsia="方正小标宋简体"/>
          <w:color w:val="000000"/>
          <w:spacing w:val="0"/>
          <w:sz w:val="44"/>
          <w:szCs w:val="44"/>
        </w:rPr>
      </w:pPr>
    </w:p>
    <w:p>
      <w:pPr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 xml:space="preserve">____(单位)： </w:t>
      </w:r>
    </w:p>
    <w:p>
      <w:pPr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>你单位报来的《xx 项目》</w:t>
      </w:r>
      <w:r>
        <w:rPr>
          <w:rFonts w:hint="eastAsia" w:ascii="仿宋_GB2312"/>
          <w:color w:val="000000"/>
          <w:spacing w:val="0"/>
          <w:szCs w:val="32"/>
        </w:rPr>
        <w:t>选线</w:t>
      </w:r>
      <w:r>
        <w:rPr>
          <w:rFonts w:ascii="仿宋_GB2312"/>
          <w:color w:val="000000"/>
          <w:spacing w:val="0"/>
          <w:szCs w:val="32"/>
        </w:rPr>
        <w:t>方案</w:t>
      </w:r>
      <w:r>
        <w:rPr>
          <w:rFonts w:hint="eastAsia" w:ascii="仿宋_GB2312"/>
          <w:color w:val="000000"/>
          <w:spacing w:val="0"/>
          <w:szCs w:val="32"/>
        </w:rPr>
        <w:t>/电力专业方案及工程区域地下管线实测图收到</w:t>
      </w:r>
      <w:r>
        <w:rPr>
          <w:rFonts w:ascii="仿宋_GB2312"/>
          <w:color w:val="000000"/>
          <w:spacing w:val="0"/>
          <w:szCs w:val="32"/>
        </w:rPr>
        <w:t>。XX项目拟建设起点为xxx</w:t>
      </w:r>
      <w:r>
        <w:rPr>
          <w:rFonts w:hint="eastAsia" w:ascii="仿宋_GB2312"/>
          <w:color w:val="000000"/>
          <w:spacing w:val="0"/>
          <w:szCs w:val="32"/>
        </w:rPr>
        <w:t>,终点至xxx，全长约xx米，为xx电压等级，采用xx敷设方式。</w:t>
      </w:r>
    </w:p>
    <w:p>
      <w:pPr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经审核，该选线</w:t>
      </w:r>
      <w:r>
        <w:rPr>
          <w:rFonts w:ascii="仿宋_GB2312"/>
          <w:color w:val="000000"/>
          <w:spacing w:val="0"/>
          <w:szCs w:val="32"/>
        </w:rPr>
        <w:t>方案</w:t>
      </w:r>
      <w:r>
        <w:rPr>
          <w:rFonts w:hint="eastAsia" w:ascii="仿宋_GB2312"/>
          <w:color w:val="000000"/>
          <w:spacing w:val="0"/>
          <w:szCs w:val="32"/>
        </w:rPr>
        <w:t>/电力专业方案满足保税区电力专项规划要求，选线位置符合xx路段（区域）管线综合规划，请你单位按照该选线路径开展方案设计工作，</w:t>
      </w:r>
      <w:r>
        <w:rPr>
          <w:rFonts w:ascii="仿宋_GB2312"/>
          <w:color w:val="000000"/>
          <w:spacing w:val="0"/>
          <w:szCs w:val="32"/>
        </w:rPr>
        <w:t>涉及管线穿越生态红线事宜，应按照市政府批复的相关要求予以落实。本工程平行或跨越现状及规划道路、河道铁路和重要管道等市政设施的，要满足相关规范规定和相关管理部门的要求</w:t>
      </w:r>
      <w:r>
        <w:rPr>
          <w:rFonts w:hint="eastAsia" w:ascii="仿宋_GB2312"/>
          <w:color w:val="000000"/>
          <w:spacing w:val="0"/>
          <w:szCs w:val="32"/>
        </w:rPr>
        <w:t>。</w:t>
      </w:r>
    </w:p>
    <w:p>
      <w:pPr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  <w:r>
        <w:rPr>
          <w:rFonts w:ascii="仿宋_GB2312"/>
          <w:color w:val="000000"/>
          <w:spacing w:val="0"/>
          <w:szCs w:val="32"/>
        </w:rPr>
        <w:t>可凭此选线方案预审函先行办理电力工程核准事项</w:t>
      </w:r>
      <w:r>
        <w:rPr>
          <w:rFonts w:hint="eastAsia" w:ascii="仿宋_GB2312"/>
          <w:color w:val="000000"/>
          <w:spacing w:val="0"/>
          <w:szCs w:val="32"/>
        </w:rPr>
        <w:t>。</w:t>
      </w:r>
    </w:p>
    <w:p>
      <w:pPr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此函。</w:t>
      </w:r>
    </w:p>
    <w:p>
      <w:pPr>
        <w:spacing w:line="240" w:lineRule="exact"/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/>
          <w:color w:val="000000"/>
          <w:spacing w:val="0"/>
          <w:szCs w:val="32"/>
        </w:rPr>
      </w:pPr>
    </w:p>
    <w:p>
      <w:pPr>
        <w:tabs>
          <w:tab w:val="left" w:pos="7513"/>
        </w:tabs>
        <w:ind w:firstLine="4640" w:firstLineChars="1450"/>
        <w:jc w:val="left"/>
        <w:rPr>
          <w:rFonts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>天津港保税区规建局</w:t>
      </w:r>
    </w:p>
    <w:p>
      <w:pPr>
        <w:ind w:firstLine="5920" w:firstLineChars="1850"/>
        <w:jc w:val="left"/>
        <w:rPr>
          <w:rFonts w:ascii="仿宋_GB2312"/>
          <w:color w:val="000000"/>
          <w:spacing w:val="0"/>
          <w:szCs w:val="32"/>
        </w:rPr>
      </w:pPr>
      <w:r>
        <w:rPr>
          <w:rFonts w:hint="eastAsia" w:ascii="仿宋_GB2312"/>
          <w:color w:val="000000"/>
          <w:spacing w:val="0"/>
          <w:szCs w:val="32"/>
        </w:rPr>
        <w:t xml:space="preserve">年  月  日  </w:t>
      </w: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widowControl/>
        <w:ind w:firstLine="592"/>
        <w:jc w:val="left"/>
        <w:rPr>
          <w:rFonts w:hint="eastAsia" w:ascii="仿宋_GB2312"/>
          <w:color w:val="000000"/>
          <w:spacing w:val="0"/>
          <w:szCs w:val="32"/>
        </w:rPr>
      </w:pPr>
    </w:p>
    <w:p>
      <w:pPr>
        <w:tabs>
          <w:tab w:val="left" w:pos="142"/>
          <w:tab w:val="left" w:pos="284"/>
          <w:tab w:val="left" w:pos="426"/>
          <w:tab w:val="left" w:pos="4858"/>
          <w:tab w:val="left" w:pos="8080"/>
          <w:tab w:val="left" w:pos="8505"/>
        </w:tabs>
        <w:spacing w:line="540" w:lineRule="exact"/>
        <w:rPr>
          <w:color w:val="000000"/>
          <w:spacing w:val="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c0MjE4MDUzNjUwM2M0MjZkYjEwMjY1MTM2MmQifQ=="/>
  </w:docVars>
  <w:rsids>
    <w:rsidRoot w:val="16E401CC"/>
    <w:rsid w:val="0010096C"/>
    <w:rsid w:val="00104E58"/>
    <w:rsid w:val="00210CEE"/>
    <w:rsid w:val="003B62EC"/>
    <w:rsid w:val="00421D77"/>
    <w:rsid w:val="00611098"/>
    <w:rsid w:val="00974DC0"/>
    <w:rsid w:val="00F45832"/>
    <w:rsid w:val="00FA620A"/>
    <w:rsid w:val="01856881"/>
    <w:rsid w:val="064F0082"/>
    <w:rsid w:val="068F00E1"/>
    <w:rsid w:val="16E401CC"/>
    <w:rsid w:val="1AB04D0D"/>
    <w:rsid w:val="21795C77"/>
    <w:rsid w:val="22491C56"/>
    <w:rsid w:val="29907C3F"/>
    <w:rsid w:val="2BE412CA"/>
    <w:rsid w:val="2BF77F01"/>
    <w:rsid w:val="2D5FDCDC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BBD6910"/>
    <w:rsid w:val="5DDFB6BB"/>
    <w:rsid w:val="5E0F1B60"/>
    <w:rsid w:val="613E2453"/>
    <w:rsid w:val="6D717C1E"/>
    <w:rsid w:val="725F6CDA"/>
    <w:rsid w:val="759F3666"/>
    <w:rsid w:val="75DB226C"/>
    <w:rsid w:val="79AC5FC4"/>
    <w:rsid w:val="7B1240D2"/>
    <w:rsid w:val="7BF69256"/>
    <w:rsid w:val="7E7D9A55"/>
    <w:rsid w:val="7F6916AB"/>
    <w:rsid w:val="7FAF4E84"/>
    <w:rsid w:val="7FEFA51D"/>
    <w:rsid w:val="7FF80048"/>
    <w:rsid w:val="AFF73E47"/>
    <w:rsid w:val="BD8E4869"/>
    <w:rsid w:val="C7BF8263"/>
    <w:rsid w:val="D69C3E98"/>
    <w:rsid w:val="DFDE5EED"/>
    <w:rsid w:val="E675BE53"/>
    <w:rsid w:val="F38F54AC"/>
    <w:rsid w:val="F3D571F7"/>
    <w:rsid w:val="F73AF2D5"/>
    <w:rsid w:val="FABF2251"/>
    <w:rsid w:val="FD8D313B"/>
    <w:rsid w:val="FDBBB5FF"/>
    <w:rsid w:val="FDFBEBB9"/>
    <w:rsid w:val="FE8E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日期 Char"/>
    <w:basedOn w:val="6"/>
    <w:link w:val="2"/>
    <w:semiHidden/>
    <w:qFormat/>
    <w:uiPriority w:val="99"/>
    <w:rPr>
      <w:rFonts w:eastAsia="仿宋_GB2312"/>
      <w:spacing w:val="-6"/>
      <w:kern w:val="2"/>
      <w:sz w:val="32"/>
    </w:rPr>
  </w:style>
  <w:style w:type="character" w:customStyle="1" w:styleId="9">
    <w:name w:val="页脚 Char"/>
    <w:basedOn w:val="6"/>
    <w:link w:val="3"/>
    <w:qFormat/>
    <w:uiPriority w:val="99"/>
    <w:rPr>
      <w:rFonts w:eastAsia="仿宋_GB2312"/>
      <w:spacing w:val="-6"/>
      <w:kern w:val="2"/>
    </w:rPr>
  </w:style>
  <w:style w:type="character" w:customStyle="1" w:styleId="10">
    <w:name w:val="页眉 Char"/>
    <w:basedOn w:val="6"/>
    <w:link w:val="4"/>
    <w:semiHidden/>
    <w:qFormat/>
    <w:uiPriority w:val="0"/>
    <w:rPr>
      <w:rFonts w:eastAsia="仿宋_GB2312"/>
      <w:spacing w:val="-6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greatwall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</Template>
  <Pages>8</Pages>
  <Words>2126</Words>
  <Characters>2167</Characters>
  <Lines>16</Lines>
  <Paragraphs>4</Paragraphs>
  <TotalTime>12.3333333333333</TotalTime>
  <ScaleCrop>false</ScaleCrop>
  <LinksUpToDate>false</LinksUpToDate>
  <CharactersWithSpaces>2213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2016-04-20T19:31:00Z</dcterms:created>
  <dc:creator>Administrator</dc:creator>
  <cp:lastModifiedBy>拾雲</cp:lastModifiedBy>
  <cp:lastPrinted>2023-06-11T01:05:00Z</cp:lastPrinted>
  <dcterms:modified xsi:type="dcterms:W3CDTF">2023-06-19T06:11:49Z</dcterms:modified>
  <dc:title>附件n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1017134E6EEF440FA0A67461B05DAC85_13</vt:lpwstr>
  </property>
</Properties>
</file>