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pStyle w:val="8"/>
        <w:shd w:val="clear" w:color="auto" w:fill="FFFFFF"/>
        <w:spacing w:before="0" w:beforeAutospacing="0" w:after="0" w:afterAutospacing="0" w:line="640" w:lineRule="exact"/>
        <w:jc w:val="center"/>
        <w:rPr>
          <w:rFonts w:hint="eastAsia" w:ascii="方正小标宋简体" w:hAnsi="华文中宋" w:eastAsia="方正小标宋简体" w:cs="宋体"/>
          <w:color w:val="000000"/>
          <w:sz w:val="44"/>
          <w:szCs w:val="44"/>
          <w:shd w:val="clear" w:color="auto" w:fill="FFFFFF"/>
        </w:rPr>
      </w:pPr>
      <w:bookmarkStart w:id="0" w:name="_GoBack"/>
      <w:r>
        <w:rPr>
          <w:rFonts w:hint="eastAsia" w:ascii="方正小标宋简体" w:eastAsia="方正小标宋简体"/>
          <w:color w:val="000000"/>
          <w:spacing w:val="-14"/>
          <w:sz w:val="44"/>
          <w:szCs w:val="44"/>
        </w:rPr>
        <w:t>天津港保税区管理委员会</w:t>
      </w:r>
      <w:r>
        <w:rPr>
          <w:rFonts w:hint="eastAsia" w:ascii="方正小标宋简体" w:hAnsi="华文中宋" w:eastAsia="方正小标宋简体" w:cs="宋体"/>
          <w:color w:val="000000"/>
          <w:spacing w:val="-14"/>
          <w:sz w:val="44"/>
          <w:szCs w:val="44"/>
          <w:shd w:val="clear" w:color="auto" w:fill="FFFFFF"/>
        </w:rPr>
        <w:t>关于印发天津港保税区</w:t>
      </w:r>
      <w:r>
        <w:rPr>
          <w:rFonts w:hint="eastAsia" w:ascii="方正小标宋简体" w:hAnsi="华文中宋" w:eastAsia="方正小标宋简体" w:cs="宋体"/>
          <w:color w:val="000000"/>
          <w:sz w:val="44"/>
          <w:szCs w:val="44"/>
          <w:shd w:val="clear" w:color="auto" w:fill="FFFFFF"/>
        </w:rPr>
        <w:t>废弃汽车专项治理工作方案的通知</w:t>
      </w:r>
    </w:p>
    <w:p>
      <w:pPr>
        <w:pStyle w:val="8"/>
        <w:shd w:val="clear" w:color="auto" w:fill="FFFFFF"/>
        <w:spacing w:before="0" w:beforeAutospacing="0" w:after="0" w:afterAutospacing="0" w:line="640" w:lineRule="exact"/>
        <w:ind w:firstLine="640" w:firstLineChars="200"/>
        <w:jc w:val="both"/>
        <w:rPr>
          <w:rFonts w:hint="eastAsia" w:ascii="仿宋_GB2312" w:eastAsia="仿宋_GB2312" w:cs="仿宋_GB2312"/>
          <w:color w:val="000000"/>
          <w:sz w:val="32"/>
          <w:szCs w:val="32"/>
        </w:rPr>
      </w:pPr>
    </w:p>
    <w:p>
      <w:pPr>
        <w:pStyle w:val="8"/>
        <w:shd w:val="clear" w:color="auto" w:fill="FFFFFF"/>
        <w:spacing w:before="0" w:beforeAutospacing="0" w:after="0" w:afterAutospacing="0" w:line="640" w:lineRule="exact"/>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各有关部门：</w:t>
      </w:r>
    </w:p>
    <w:p>
      <w:pPr>
        <w:pStyle w:val="8"/>
        <w:shd w:val="clear" w:color="auto" w:fill="FFFFFF"/>
        <w:spacing w:before="0" w:beforeAutospacing="0" w:after="0" w:afterAutospacing="0" w:line="640" w:lineRule="exac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为扎实推进保税区废弃汽车专项治理工作，优化市容交通秩序，按照《天津市人民政府办公厅关于印发天津市废弃汽车专项治理工作方案的通知》（津政办函〔</w:t>
      </w:r>
      <w:r>
        <w:rPr>
          <w:rFonts w:hint="eastAsia" w:ascii="仿宋_GB2312" w:hAnsi="Times New Roman" w:eastAsia="仿宋_GB2312"/>
          <w:color w:val="000000"/>
          <w:sz w:val="32"/>
          <w:szCs w:val="32"/>
        </w:rPr>
        <w:t>2023</w:t>
      </w:r>
      <w:r>
        <w:rPr>
          <w:rFonts w:hint="eastAsia" w:ascii="仿宋_GB2312" w:eastAsia="仿宋_GB2312" w:cs="仿宋_GB2312"/>
          <w:color w:val="000000"/>
          <w:sz w:val="32"/>
          <w:szCs w:val="32"/>
        </w:rPr>
        <w:t>〕</w:t>
      </w:r>
      <w:r>
        <w:rPr>
          <w:rFonts w:hint="eastAsia" w:ascii="仿宋_GB2312" w:hAnsi="Times New Roman" w:eastAsia="仿宋_GB2312"/>
          <w:color w:val="000000"/>
          <w:sz w:val="32"/>
          <w:szCs w:val="32"/>
        </w:rPr>
        <w:t>3</w:t>
      </w:r>
      <w:r>
        <w:rPr>
          <w:rFonts w:hint="eastAsia" w:ascii="仿宋_GB2312" w:eastAsia="仿宋_GB2312" w:cs="仿宋_GB2312"/>
          <w:color w:val="000000"/>
          <w:sz w:val="32"/>
          <w:szCs w:val="32"/>
        </w:rPr>
        <w:t>号）、《天津市滨海新区人民政府办公室关于印发滨海新区废弃汽车专项治理工作方案的通知》（津滨政办函[2023]1号）文件要求，结合全国文明城区建设指标体系要求，现印发《天津港保税区废弃汽车专项治理工作方案》，请遵照执行。</w:t>
      </w:r>
    </w:p>
    <w:p>
      <w:pPr>
        <w:spacing w:line="640" w:lineRule="exact"/>
        <w:ind w:firstLine="640" w:firstLineChars="200"/>
        <w:rPr>
          <w:rFonts w:hint="eastAsia" w:ascii="仿宋_GB2312" w:eastAsia="仿宋_GB2312"/>
          <w:color w:val="000000"/>
          <w:sz w:val="32"/>
          <w:szCs w:val="32"/>
        </w:rPr>
      </w:pPr>
    </w:p>
    <w:p>
      <w:pPr>
        <w:pStyle w:val="2"/>
        <w:spacing w:line="640" w:lineRule="exact"/>
        <w:ind w:firstLine="640"/>
        <w:rPr>
          <w:rFonts w:hint="eastAsia" w:ascii="仿宋_GB2312" w:hAnsi="Calibri" w:eastAsia="仿宋_GB2312" w:cs="仿宋_GB2312"/>
          <w:color w:val="000000"/>
          <w:sz w:val="32"/>
          <w:szCs w:val="32"/>
          <w:lang w:bidi="ar"/>
        </w:rPr>
      </w:pPr>
    </w:p>
    <w:p>
      <w:pPr>
        <w:pStyle w:val="2"/>
        <w:spacing w:line="640" w:lineRule="exact"/>
        <w:ind w:firstLine="640"/>
        <w:rPr>
          <w:rFonts w:hint="eastAsia" w:ascii="仿宋_GB2312" w:hAnsi="Calibri" w:eastAsia="仿宋_GB2312" w:cs="仿宋_GB2312"/>
          <w:color w:val="000000"/>
          <w:sz w:val="32"/>
          <w:szCs w:val="32"/>
          <w:lang w:bidi="ar"/>
        </w:rPr>
      </w:pPr>
    </w:p>
    <w:p>
      <w:pPr>
        <w:pStyle w:val="2"/>
        <w:spacing w:line="640" w:lineRule="exact"/>
        <w:ind w:firstLine="640"/>
        <w:jc w:val="center"/>
        <w:rPr>
          <w:rFonts w:hint="default" w:ascii="仿宋_GB2312" w:hAnsi="Calibri" w:eastAsia="仿宋_GB2312" w:cs="仿宋_GB2312"/>
          <w:color w:val="000000"/>
          <w:sz w:val="32"/>
          <w:szCs w:val="32"/>
          <w:lang w:val="en-US" w:eastAsia="zh-CN" w:bidi="ar"/>
        </w:rPr>
      </w:pPr>
      <w:r>
        <w:rPr>
          <w:rFonts w:hint="eastAsia" w:ascii="仿宋_GB2312" w:hAnsi="Calibri" w:eastAsia="仿宋_GB2312" w:cs="仿宋_GB2312"/>
          <w:color w:val="000000"/>
          <w:sz w:val="32"/>
          <w:szCs w:val="32"/>
          <w:lang w:val="en-US" w:eastAsia="zh-CN" w:bidi="ar"/>
        </w:rPr>
        <w:t xml:space="preserve">                   天津港保税区管理委员会</w:t>
      </w:r>
    </w:p>
    <w:p>
      <w:pPr>
        <w:pStyle w:val="2"/>
        <w:spacing w:line="640" w:lineRule="exact"/>
        <w:ind w:firstLine="5280" w:firstLineChars="1650"/>
        <w:rPr>
          <w:rFonts w:hint="eastAsia" w:ascii="仿宋_GB2312" w:hAnsi="Calibri" w:eastAsia="仿宋_GB2312" w:cs="仿宋_GB2312"/>
          <w:color w:val="000000"/>
          <w:sz w:val="32"/>
          <w:szCs w:val="32"/>
          <w:lang w:bidi="ar"/>
        </w:rPr>
      </w:pPr>
      <w:r>
        <w:rPr>
          <w:rFonts w:hint="eastAsia" w:ascii="仿宋_GB2312" w:hAnsi="Calibri" w:eastAsia="仿宋_GB2312" w:cs="仿宋_GB2312"/>
          <w:color w:val="000000"/>
          <w:sz w:val="32"/>
          <w:szCs w:val="32"/>
          <w:lang w:bidi="ar"/>
        </w:rPr>
        <w:t>2023年5月9日</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（此件主动公开）</w:t>
      </w:r>
    </w:p>
    <w:bookmarkEnd w:id="0"/>
    <w:p>
      <w:pPr>
        <w:pStyle w:val="2"/>
        <w:ind w:firstLine="5580" w:firstLineChars="1800"/>
        <w:rPr>
          <w:rFonts w:hint="eastAsia" w:ascii="仿宋_GB2312" w:hAnsi="Calibri" w:eastAsia="仿宋_GB2312" w:cs="仿宋_GB2312"/>
          <w:color w:val="000000"/>
          <w:sz w:val="31"/>
          <w:szCs w:val="31"/>
          <w:lang w:bidi="ar"/>
        </w:rPr>
      </w:pPr>
    </w:p>
    <w:p>
      <w:pPr>
        <w:pStyle w:val="2"/>
        <w:ind w:firstLine="5580" w:firstLineChars="1800"/>
        <w:rPr>
          <w:rFonts w:hint="eastAsia" w:ascii="仿宋_GB2312" w:hAnsi="Calibri" w:eastAsia="仿宋_GB2312" w:cs="仿宋_GB2312"/>
          <w:color w:val="000000"/>
          <w:sz w:val="31"/>
          <w:szCs w:val="31"/>
          <w:lang w:bidi="ar"/>
        </w:rPr>
      </w:pPr>
    </w:p>
    <w:p>
      <w:pPr>
        <w:pStyle w:val="8"/>
        <w:shd w:val="clear" w:color="auto" w:fill="FFFFFF"/>
        <w:spacing w:before="0" w:beforeAutospacing="0" w:after="0" w:afterAutospacing="0" w:line="640" w:lineRule="exact"/>
        <w:jc w:val="center"/>
        <w:rPr>
          <w:rFonts w:hint="eastAsia" w:ascii="方正小标宋简体" w:hAnsi="华文中宋" w:eastAsia="方正小标宋简体" w:cs="宋体"/>
          <w:color w:val="000000"/>
          <w:sz w:val="44"/>
          <w:szCs w:val="44"/>
          <w:shd w:val="clear" w:color="auto" w:fill="FFFFFF"/>
        </w:rPr>
      </w:pPr>
      <w:r>
        <w:rPr>
          <w:rFonts w:hint="eastAsia" w:ascii="方正小标宋简体" w:hAnsi="华文中宋" w:eastAsia="方正小标宋简体" w:cs="宋体"/>
          <w:color w:val="000000"/>
          <w:sz w:val="44"/>
          <w:szCs w:val="44"/>
          <w:shd w:val="clear" w:color="auto" w:fill="FFFFFF"/>
        </w:rPr>
        <w:t>天津港保税区废弃汽车专项治理工作方案</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为扎实推进保税区废弃汽车专项治理工作，优化市容交通秩序，按照《天津市人民政府办公厅关于印发天津市废弃汽车专项治理工作方案的通知》（津政办函〔</w:t>
      </w:r>
      <w:r>
        <w:rPr>
          <w:rFonts w:ascii="仿宋_GB2312" w:hAnsi="Times New Roman" w:eastAsia="仿宋_GB2312"/>
          <w:color w:val="000000"/>
          <w:sz w:val="32"/>
          <w:szCs w:val="32"/>
        </w:rPr>
        <w:t>2023</w:t>
      </w:r>
      <w:r>
        <w:rPr>
          <w:rFonts w:ascii="仿宋_GB2312" w:eastAsia="仿宋_GB2312" w:cs="仿宋_GB2312"/>
          <w:color w:val="000000"/>
          <w:sz w:val="32"/>
          <w:szCs w:val="32"/>
        </w:rPr>
        <w:t>〕</w:t>
      </w:r>
      <w:r>
        <w:rPr>
          <w:rFonts w:ascii="仿宋_GB2312" w:hAnsi="Times New Roman" w:eastAsia="仿宋_GB2312"/>
          <w:color w:val="000000"/>
          <w:sz w:val="32"/>
          <w:szCs w:val="32"/>
        </w:rPr>
        <w:t>3</w:t>
      </w:r>
      <w:r>
        <w:rPr>
          <w:rFonts w:ascii="仿宋_GB2312" w:eastAsia="仿宋_GB2312" w:cs="仿宋_GB2312"/>
          <w:color w:val="000000"/>
          <w:sz w:val="32"/>
          <w:szCs w:val="32"/>
        </w:rPr>
        <w:t>号）、《天津市滨海新区人民政府办公室关于印发滨海新区废弃汽车专项治理工作方案的通知》（津滨政办函[2023]1号）文件要求，结合全国文明城区建设指标体系要求，制定本工作方案。</w:t>
      </w:r>
    </w:p>
    <w:p>
      <w:pPr>
        <w:pStyle w:val="7"/>
        <w:spacing w:line="560" w:lineRule="exact"/>
        <w:ind w:firstLine="640" w:firstLineChars="200"/>
        <w:jc w:val="both"/>
        <w:rPr>
          <w:rFonts w:ascii="黑体" w:hAnsi="黑体" w:eastAsia="黑体"/>
          <w:b w:val="0"/>
          <w:color w:val="000000"/>
          <w:sz w:val="32"/>
          <w:szCs w:val="32"/>
        </w:rPr>
      </w:pPr>
      <w:r>
        <w:rPr>
          <w:rFonts w:ascii="黑体" w:hAnsi="黑体" w:eastAsia="黑体" w:cs="黑体"/>
          <w:b w:val="0"/>
          <w:color w:val="000000"/>
          <w:sz w:val="32"/>
          <w:szCs w:val="32"/>
        </w:rPr>
        <w:t>一、整治内容</w:t>
      </w:r>
    </w:p>
    <w:p>
      <w:pPr>
        <w:pStyle w:val="7"/>
        <w:spacing w:line="560" w:lineRule="exact"/>
        <w:ind w:firstLine="643" w:firstLineChars="200"/>
        <w:jc w:val="both"/>
        <w:rPr>
          <w:rFonts w:ascii="楷体_GB2312" w:eastAsia="楷体_GB2312"/>
          <w:b/>
          <w:color w:val="000000"/>
          <w:sz w:val="32"/>
          <w:szCs w:val="32"/>
        </w:rPr>
      </w:pPr>
      <w:r>
        <w:rPr>
          <w:rFonts w:ascii="楷体_GB2312" w:eastAsia="楷体_GB2312" w:cs="楷体_GB2312"/>
          <w:b/>
          <w:color w:val="000000"/>
          <w:sz w:val="32"/>
          <w:szCs w:val="32"/>
        </w:rPr>
        <w:t>（一）整治区域</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保税区建成区内所有公共道路及周边、居民小区、公共绿地、广场、市政桥梁下、闲置空地、学校、医院周边等公共区域，确保不留死角。</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（二）整治对象</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对长期占用公共空间且无人使用和维护，具有车身灰尘遍布、外观残破、部件缺失、轮胎干瘪、轮毂锈蚀、未悬挂号牌等明显弃用特征的废弃汽车进行集中清理整治。</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（三）整治期限</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在全区范围内集中组织开展为期一年的废弃汽车专项执法整治行动。</w:t>
      </w:r>
      <w:r>
        <w:rPr>
          <w:rFonts w:ascii="仿宋_GB2312" w:hAnsi="Times New Roman" w:eastAsia="仿宋_GB2312"/>
          <w:color w:val="000000"/>
          <w:sz w:val="32"/>
          <w:szCs w:val="32"/>
        </w:rPr>
        <w:t>2023</w:t>
      </w:r>
      <w:r>
        <w:rPr>
          <w:rFonts w:ascii="仿宋_GB2312" w:eastAsia="仿宋_GB2312" w:cs="仿宋_GB2312"/>
          <w:color w:val="000000"/>
          <w:sz w:val="32"/>
          <w:szCs w:val="32"/>
        </w:rPr>
        <w:t>年</w:t>
      </w:r>
      <w:r>
        <w:rPr>
          <w:rFonts w:ascii="仿宋_GB2312" w:hAnsi="Times New Roman" w:eastAsia="仿宋_GB2312"/>
          <w:color w:val="000000"/>
          <w:sz w:val="32"/>
          <w:szCs w:val="32"/>
        </w:rPr>
        <w:t>8</w:t>
      </w:r>
      <w:r>
        <w:rPr>
          <w:rFonts w:ascii="仿宋_GB2312" w:eastAsia="仿宋_GB2312" w:cs="仿宋_GB2312"/>
          <w:color w:val="000000"/>
          <w:sz w:val="32"/>
          <w:szCs w:val="32"/>
        </w:rPr>
        <w:t>月底前完成清理处置，</w:t>
      </w:r>
      <w:r>
        <w:rPr>
          <w:rFonts w:ascii="仿宋_GB2312" w:hAnsi="Times New Roman" w:eastAsia="仿宋_GB2312"/>
          <w:color w:val="000000"/>
          <w:sz w:val="32"/>
          <w:szCs w:val="32"/>
        </w:rPr>
        <w:t>12</w:t>
      </w:r>
      <w:r>
        <w:rPr>
          <w:rFonts w:ascii="仿宋_GB2312" w:eastAsia="仿宋_GB2312" w:cs="仿宋_GB2312"/>
          <w:color w:val="000000"/>
          <w:sz w:val="32"/>
          <w:szCs w:val="32"/>
        </w:rPr>
        <w:t>月底前完成专项治理</w:t>
      </w:r>
      <w:r>
        <w:rPr>
          <w:rFonts w:ascii="仿宋_GB2312" w:hAnsi="Times New Roman" w:eastAsia="仿宋_GB2312"/>
          <w:color w:val="000000"/>
          <w:sz w:val="32"/>
          <w:szCs w:val="32"/>
        </w:rPr>
        <w:t>“</w:t>
      </w:r>
      <w:r>
        <w:rPr>
          <w:rFonts w:ascii="仿宋_GB2312" w:eastAsia="仿宋_GB2312" w:cs="仿宋_GB2312"/>
          <w:color w:val="000000"/>
          <w:sz w:val="32"/>
          <w:szCs w:val="32"/>
        </w:rPr>
        <w:t>回头看</w:t>
      </w:r>
      <w:r>
        <w:rPr>
          <w:rFonts w:ascii="仿宋_GB2312" w:hAnsi="Times New Roman" w:eastAsia="仿宋_GB2312"/>
          <w:color w:val="000000"/>
          <w:sz w:val="32"/>
          <w:szCs w:val="32"/>
        </w:rPr>
        <w:t>”</w:t>
      </w:r>
      <w:r>
        <w:rPr>
          <w:rFonts w:ascii="仿宋_GB2312" w:eastAsia="仿宋_GB2312" w:cs="仿宋_GB2312"/>
          <w:color w:val="000000"/>
          <w:sz w:val="32"/>
          <w:szCs w:val="32"/>
        </w:rPr>
        <w:t>工作，查找解决遗留问题，建立长效管理机制。</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（四）整治步骤</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1.</w:t>
      </w:r>
      <w:r>
        <w:rPr>
          <w:rFonts w:ascii="仿宋_GB2312" w:eastAsia="仿宋_GB2312" w:cs="仿宋_GB2312"/>
          <w:bCs/>
          <w:color w:val="000000"/>
          <w:sz w:val="32"/>
          <w:szCs w:val="32"/>
        </w:rPr>
        <w:t>宣传发动自行清理阶段（</w:t>
      </w:r>
      <w:r>
        <w:rPr>
          <w:rFonts w:ascii="仿宋_GB2312" w:hAnsi="Times New Roman" w:eastAsia="仿宋_GB2312"/>
          <w:bCs/>
          <w:color w:val="000000"/>
          <w:sz w:val="32"/>
          <w:szCs w:val="32"/>
        </w:rPr>
        <w:t>2023</w:t>
      </w:r>
      <w:r>
        <w:rPr>
          <w:rFonts w:ascii="仿宋_GB2312" w:eastAsia="仿宋_GB2312" w:cs="仿宋_GB2312"/>
          <w:bCs/>
          <w:color w:val="000000"/>
          <w:sz w:val="32"/>
          <w:szCs w:val="32"/>
        </w:rPr>
        <w:t>年</w:t>
      </w:r>
      <w:r>
        <w:rPr>
          <w:rFonts w:ascii="仿宋_GB2312" w:hAnsi="Times New Roman" w:eastAsia="仿宋_GB2312"/>
          <w:bCs/>
          <w:color w:val="000000"/>
          <w:sz w:val="32"/>
          <w:szCs w:val="32"/>
        </w:rPr>
        <w:t>3</w:t>
      </w:r>
      <w:r>
        <w:rPr>
          <w:rFonts w:ascii="仿宋_GB2312" w:eastAsia="仿宋_GB2312" w:cs="仿宋_GB2312"/>
          <w:bCs/>
          <w:color w:val="000000"/>
          <w:sz w:val="32"/>
          <w:szCs w:val="32"/>
        </w:rPr>
        <w:t>月</w:t>
      </w:r>
      <w:r>
        <w:rPr>
          <w:rFonts w:ascii="仿宋_GB2312" w:hAnsi="Times New Roman" w:eastAsia="仿宋_GB2312"/>
          <w:bCs/>
          <w:color w:val="000000"/>
          <w:sz w:val="32"/>
          <w:szCs w:val="32"/>
        </w:rPr>
        <w:t>15</w:t>
      </w:r>
      <w:r>
        <w:rPr>
          <w:rFonts w:ascii="仿宋_GB2312" w:eastAsia="仿宋_GB2312" w:cs="仿宋_GB2312"/>
          <w:bCs/>
          <w:color w:val="000000"/>
          <w:sz w:val="32"/>
          <w:szCs w:val="32"/>
        </w:rPr>
        <w:t>日起）</w:t>
      </w:r>
    </w:p>
    <w:p>
      <w:pPr>
        <w:pStyle w:val="7"/>
        <w:spacing w:line="560" w:lineRule="exact"/>
        <w:ind w:firstLine="640" w:firstLineChars="200"/>
        <w:jc w:val="both"/>
        <w:rPr>
          <w:rFonts w:ascii="仿宋_GB2312" w:eastAsia="仿宋_GB2312" w:cs="仿宋_GB2312"/>
          <w:color w:val="000000"/>
          <w:sz w:val="32"/>
          <w:szCs w:val="32"/>
        </w:rPr>
      </w:pPr>
      <w:r>
        <w:rPr>
          <w:rFonts w:ascii="仿宋_GB2312" w:hAnsi="Times New Roman" w:eastAsia="仿宋_GB2312"/>
          <w:color w:val="000000"/>
          <w:sz w:val="32"/>
          <w:szCs w:val="32"/>
        </w:rPr>
        <w:t>3</w:t>
      </w:r>
      <w:r>
        <w:rPr>
          <w:rFonts w:ascii="仿宋_GB2312" w:eastAsia="仿宋_GB2312" w:cs="仿宋_GB2312"/>
          <w:color w:val="000000"/>
          <w:sz w:val="32"/>
          <w:szCs w:val="32"/>
        </w:rPr>
        <w:t>月</w:t>
      </w:r>
      <w:r>
        <w:rPr>
          <w:rFonts w:ascii="仿宋_GB2312" w:hAnsi="Times New Roman" w:eastAsia="仿宋_GB2312"/>
          <w:color w:val="000000"/>
          <w:sz w:val="32"/>
          <w:szCs w:val="32"/>
        </w:rPr>
        <w:t>15</w:t>
      </w:r>
      <w:r>
        <w:rPr>
          <w:rFonts w:ascii="仿宋_GB2312" w:eastAsia="仿宋_GB2312" w:cs="仿宋_GB2312"/>
          <w:color w:val="000000"/>
          <w:sz w:val="32"/>
          <w:szCs w:val="32"/>
        </w:rPr>
        <w:t>日至</w:t>
      </w:r>
      <w:r>
        <w:rPr>
          <w:rFonts w:ascii="仿宋_GB2312" w:hAnsi="Times New Roman" w:eastAsia="仿宋_GB2312"/>
          <w:color w:val="000000"/>
          <w:sz w:val="32"/>
          <w:szCs w:val="32"/>
        </w:rPr>
        <w:t>5</w:t>
      </w:r>
      <w:r>
        <w:rPr>
          <w:rFonts w:ascii="仿宋_GB2312" w:eastAsia="仿宋_GB2312" w:cs="仿宋_GB2312"/>
          <w:color w:val="000000"/>
          <w:sz w:val="32"/>
          <w:szCs w:val="32"/>
        </w:rPr>
        <w:t>月</w:t>
      </w:r>
      <w:r>
        <w:rPr>
          <w:rFonts w:ascii="仿宋_GB2312" w:hAnsi="Times New Roman" w:eastAsia="仿宋_GB2312"/>
          <w:color w:val="000000"/>
          <w:sz w:val="32"/>
          <w:szCs w:val="32"/>
        </w:rPr>
        <w:t>14</w:t>
      </w:r>
      <w:r>
        <w:rPr>
          <w:rFonts w:ascii="仿宋_GB2312" w:eastAsia="仿宋_GB2312" w:cs="仿宋_GB2312"/>
          <w:color w:val="000000"/>
          <w:sz w:val="32"/>
          <w:szCs w:val="32"/>
        </w:rPr>
        <w:t>日为全面摸底排查、自行清理阶段。滨海新区级媒体、保税区官方微信公众号发布专项治理行动公告后，各责任部门通过多渠道、多形式宣传，寻找责任区域内的废弃汽车车主，营造</w:t>
      </w:r>
      <w:r>
        <w:rPr>
          <w:rFonts w:ascii="仿宋_GB2312" w:hAnsi="Times New Roman" w:eastAsia="仿宋_GB2312"/>
          <w:color w:val="000000"/>
          <w:sz w:val="32"/>
          <w:szCs w:val="32"/>
        </w:rPr>
        <w:t>“</w:t>
      </w:r>
      <w:r>
        <w:rPr>
          <w:rFonts w:ascii="仿宋_GB2312" w:eastAsia="仿宋_GB2312" w:cs="仿宋_GB2312"/>
          <w:color w:val="000000"/>
          <w:sz w:val="32"/>
          <w:szCs w:val="32"/>
        </w:rPr>
        <w:t>人人皆知，全民参与</w:t>
      </w:r>
      <w:r>
        <w:rPr>
          <w:rFonts w:ascii="仿宋_GB2312" w:hAnsi="Times New Roman" w:eastAsia="仿宋_GB2312"/>
          <w:color w:val="000000"/>
          <w:sz w:val="32"/>
          <w:szCs w:val="32"/>
        </w:rPr>
        <w:t>”</w:t>
      </w:r>
      <w:r>
        <w:rPr>
          <w:rFonts w:ascii="仿宋_GB2312" w:eastAsia="仿宋_GB2312" w:cs="仿宋_GB2312"/>
          <w:color w:val="000000"/>
          <w:sz w:val="32"/>
          <w:szCs w:val="32"/>
        </w:rPr>
        <w:t>的舆论氛围。(责任单位：城环局、社发局、规建局、党建部、各交警大队）</w:t>
      </w:r>
    </w:p>
    <w:p>
      <w:pPr>
        <w:pStyle w:val="7"/>
        <w:spacing w:line="560" w:lineRule="exact"/>
        <w:ind w:firstLine="640" w:firstLineChars="200"/>
        <w:jc w:val="both"/>
        <w:rPr>
          <w:rFonts w:ascii="仿宋_GB2312" w:eastAsia="仿宋_GB2312" w:cs="仿宋_GB2312"/>
          <w:color w:val="000000"/>
          <w:sz w:val="32"/>
          <w:szCs w:val="32"/>
        </w:rPr>
      </w:pPr>
      <w:r>
        <w:rPr>
          <w:rFonts w:ascii="仿宋_GB2312" w:eastAsia="仿宋_GB2312" w:cs="仿宋_GB2312"/>
          <w:color w:val="000000"/>
          <w:sz w:val="32"/>
          <w:szCs w:val="32"/>
        </w:rPr>
        <w:t>滨海新区开通专门举报电话（022-65574366），认真及时梳理群众对废弃汽车的投诉举报线索，动员居民群众主动参与清整行动。同步在废弃的车辆上张贴治理告知书，统一明确日期，规定处置时限（确实无法联系到车主的，以初次张贴时间累计，确保粘贴的告知书三个月内持续存在）。（责任单位：办公室、城环局、社发局、规建局、各交警大队）</w:t>
      </w:r>
    </w:p>
    <w:p>
      <w:pPr>
        <w:pStyle w:val="7"/>
        <w:spacing w:line="560" w:lineRule="exact"/>
        <w:ind w:firstLine="640" w:firstLineChars="200"/>
        <w:jc w:val="both"/>
        <w:rPr>
          <w:rFonts w:ascii="仿宋_GB2312" w:eastAsia="仿宋_GB2312" w:cs="仿宋_GB2312"/>
          <w:color w:val="000000"/>
          <w:sz w:val="32"/>
          <w:szCs w:val="32"/>
        </w:rPr>
      </w:pPr>
      <w:r>
        <w:rPr>
          <w:rFonts w:ascii="仿宋_GB2312" w:eastAsia="仿宋_GB2312" w:cs="仿宋_GB2312"/>
          <w:color w:val="000000"/>
          <w:sz w:val="32"/>
          <w:szCs w:val="32"/>
        </w:rPr>
        <w:t>落实网格化管理机制，对所辖区域废弃汽车的底数进行全面排查，摸清分布情况及车辆基本信息，对车辆进行拍照，固定车辆形态、车牌号、发动机号、车架号和停车地点等基本信息证据，建立工作台账。精准施策，最大化完成自行清理任务。（责任单位：城环局、社发局、规建局、各交警大队）</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交警大队负责城市道路及周边区域；城环局负责城市公园、公共绿地和广场、闲置空地、桥下空间及路内停车泊位、机动车停车场等区域；规建局负责公路用地范围、未移交道路（协同建设单位）和汽车维修企业内等公共区域；社发局负责社区、居民小区、无名道路等公共区域。</w:t>
      </w:r>
    </w:p>
    <w:p>
      <w:pPr>
        <w:spacing w:line="560" w:lineRule="exact"/>
        <w:ind w:firstLine="640" w:firstLineChars="200"/>
        <w:rPr>
          <w:rFonts w:hint="eastAsia" w:ascii="仿宋_GB2312" w:eastAsia="仿宋_GB2312"/>
          <w:color w:val="000000"/>
          <w:sz w:val="32"/>
          <w:szCs w:val="32"/>
        </w:rPr>
      </w:pPr>
      <w:r>
        <w:rPr>
          <w:rFonts w:hint="eastAsia" w:ascii="仿宋_GB2312" w:hAnsi="Times New Roman" w:eastAsia="仿宋_GB2312"/>
          <w:bCs/>
          <w:color w:val="000000"/>
          <w:sz w:val="32"/>
          <w:szCs w:val="32"/>
        </w:rPr>
        <w:t>2.</w:t>
      </w:r>
      <w:r>
        <w:rPr>
          <w:rFonts w:hint="eastAsia" w:ascii="仿宋_GB2312" w:eastAsia="仿宋_GB2312" w:cs="仿宋_GB2312"/>
          <w:bCs/>
          <w:color w:val="000000"/>
          <w:sz w:val="32"/>
          <w:szCs w:val="32"/>
        </w:rPr>
        <w:t>同步实施集中清理阶段（</w:t>
      </w:r>
      <w:r>
        <w:rPr>
          <w:rFonts w:hint="eastAsia" w:ascii="仿宋_GB2312" w:hAnsi="Times New Roman" w:eastAsia="仿宋_GB2312"/>
          <w:bCs/>
          <w:color w:val="000000"/>
          <w:sz w:val="32"/>
          <w:szCs w:val="32"/>
        </w:rPr>
        <w:t>2023</w:t>
      </w:r>
      <w:r>
        <w:rPr>
          <w:rFonts w:hint="eastAsia" w:ascii="仿宋_GB2312" w:eastAsia="仿宋_GB2312" w:cs="仿宋_GB2312"/>
          <w:bCs/>
          <w:color w:val="000000"/>
          <w:sz w:val="32"/>
          <w:szCs w:val="32"/>
        </w:rPr>
        <w:t>年</w:t>
      </w:r>
      <w:r>
        <w:rPr>
          <w:rFonts w:hint="eastAsia" w:ascii="仿宋_GB2312" w:hAnsi="Times New Roman" w:eastAsia="仿宋_GB2312"/>
          <w:bCs/>
          <w:color w:val="000000"/>
          <w:sz w:val="32"/>
          <w:szCs w:val="32"/>
        </w:rPr>
        <w:t>6</w:t>
      </w:r>
      <w:r>
        <w:rPr>
          <w:rFonts w:hint="eastAsia" w:ascii="仿宋_GB2312" w:eastAsia="仿宋_GB2312" w:cs="仿宋_GB2312"/>
          <w:bCs/>
          <w:color w:val="000000"/>
          <w:sz w:val="32"/>
          <w:szCs w:val="32"/>
        </w:rPr>
        <w:t>月</w:t>
      </w:r>
      <w:r>
        <w:rPr>
          <w:rFonts w:hint="eastAsia" w:ascii="仿宋_GB2312" w:hAnsi="Times New Roman" w:eastAsia="仿宋_GB2312"/>
          <w:bCs/>
          <w:color w:val="000000"/>
          <w:sz w:val="32"/>
          <w:szCs w:val="32"/>
        </w:rPr>
        <w:t>15</w:t>
      </w:r>
      <w:r>
        <w:rPr>
          <w:rFonts w:hint="eastAsia" w:ascii="仿宋_GB2312" w:eastAsia="仿宋_GB2312" w:cs="仿宋_GB2312"/>
          <w:bCs/>
          <w:color w:val="000000"/>
          <w:sz w:val="32"/>
          <w:szCs w:val="32"/>
        </w:rPr>
        <w:t>日前）</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color w:val="000000"/>
          <w:sz w:val="32"/>
          <w:szCs w:val="32"/>
        </w:rPr>
        <w:t>5</w:t>
      </w:r>
      <w:r>
        <w:rPr>
          <w:rFonts w:ascii="仿宋_GB2312" w:eastAsia="仿宋_GB2312" w:cs="仿宋_GB2312"/>
          <w:color w:val="000000"/>
          <w:sz w:val="32"/>
          <w:szCs w:val="32"/>
        </w:rPr>
        <w:t>月</w:t>
      </w:r>
      <w:r>
        <w:rPr>
          <w:rFonts w:ascii="仿宋_GB2312" w:hAnsi="Times New Roman" w:eastAsia="仿宋_GB2312"/>
          <w:color w:val="000000"/>
          <w:sz w:val="32"/>
          <w:szCs w:val="32"/>
        </w:rPr>
        <w:t>15</w:t>
      </w:r>
      <w:r>
        <w:rPr>
          <w:rFonts w:ascii="仿宋_GB2312" w:eastAsia="仿宋_GB2312" w:cs="仿宋_GB2312"/>
          <w:color w:val="000000"/>
          <w:sz w:val="32"/>
          <w:szCs w:val="32"/>
        </w:rPr>
        <w:t>日至</w:t>
      </w:r>
      <w:r>
        <w:rPr>
          <w:rFonts w:ascii="仿宋_GB2312" w:hAnsi="Times New Roman" w:eastAsia="仿宋_GB2312"/>
          <w:color w:val="000000"/>
          <w:sz w:val="32"/>
          <w:szCs w:val="32"/>
        </w:rPr>
        <w:t>6</w:t>
      </w:r>
      <w:r>
        <w:rPr>
          <w:rFonts w:ascii="仿宋_GB2312" w:eastAsia="仿宋_GB2312" w:cs="仿宋_GB2312"/>
          <w:color w:val="000000"/>
          <w:sz w:val="32"/>
          <w:szCs w:val="32"/>
        </w:rPr>
        <w:t>月</w:t>
      </w:r>
      <w:r>
        <w:rPr>
          <w:rFonts w:ascii="仿宋_GB2312" w:hAnsi="Times New Roman" w:eastAsia="仿宋_GB2312"/>
          <w:color w:val="000000"/>
          <w:sz w:val="32"/>
          <w:szCs w:val="32"/>
        </w:rPr>
        <w:t>14</w:t>
      </w:r>
      <w:r>
        <w:rPr>
          <w:rFonts w:ascii="仿宋_GB2312" w:eastAsia="仿宋_GB2312" w:cs="仿宋_GB2312"/>
          <w:color w:val="000000"/>
          <w:sz w:val="32"/>
          <w:szCs w:val="32"/>
        </w:rPr>
        <w:t>日为集中清理阶段。告知书张贴期满后仍无人认领的废弃汽车，牵头责任单位在车辆所在区域对应的企业、业委会、居委会、派出所和交警大队等单位的协助下，录制视频、拍照登记留存，整理统计后上报城环局，在媒体进行公告。对相关工作人员进行专门培训后展开清理行动。行动结束仍未移走车辆由牵头责任单位拖至其指定地点集中停放，对无法确认或者无法联系车辆所有人的废弃汽车，按照《中华人民共和国民法典》、《中华人民共和国民事诉讼法》等有关规定，依法进行处置。（责任单位：城环局、社发局、规建局、各交警大队）</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3.</w:t>
      </w:r>
      <w:r>
        <w:rPr>
          <w:rFonts w:ascii="仿宋_GB2312" w:eastAsia="仿宋_GB2312" w:cs="仿宋_GB2312"/>
          <w:bCs/>
          <w:color w:val="000000"/>
          <w:sz w:val="32"/>
          <w:szCs w:val="32"/>
        </w:rPr>
        <w:t>总结完善建章立制阶段（</w:t>
      </w:r>
      <w:r>
        <w:rPr>
          <w:rFonts w:ascii="仿宋_GB2312" w:hAnsi="Times New Roman" w:eastAsia="仿宋_GB2312"/>
          <w:bCs/>
          <w:color w:val="000000"/>
          <w:sz w:val="32"/>
          <w:szCs w:val="32"/>
        </w:rPr>
        <w:t>2023</w:t>
      </w:r>
      <w:r>
        <w:rPr>
          <w:rFonts w:ascii="仿宋_GB2312" w:eastAsia="仿宋_GB2312" w:cs="仿宋_GB2312"/>
          <w:bCs/>
          <w:color w:val="000000"/>
          <w:sz w:val="32"/>
          <w:szCs w:val="32"/>
        </w:rPr>
        <w:t>年</w:t>
      </w:r>
      <w:r>
        <w:rPr>
          <w:rFonts w:ascii="仿宋_GB2312" w:hAnsi="Times New Roman" w:eastAsia="仿宋_GB2312"/>
          <w:bCs/>
          <w:color w:val="000000"/>
          <w:sz w:val="32"/>
          <w:szCs w:val="32"/>
        </w:rPr>
        <w:t>8</w:t>
      </w:r>
      <w:r>
        <w:rPr>
          <w:rFonts w:ascii="仿宋_GB2312" w:eastAsia="仿宋_GB2312" w:cs="仿宋_GB2312"/>
          <w:bCs/>
          <w:color w:val="000000"/>
          <w:sz w:val="32"/>
          <w:szCs w:val="32"/>
        </w:rPr>
        <w:t>月</w:t>
      </w:r>
      <w:r>
        <w:rPr>
          <w:rFonts w:ascii="仿宋_GB2312" w:hAnsi="Times New Roman" w:eastAsia="仿宋_GB2312"/>
          <w:bCs/>
          <w:color w:val="000000"/>
          <w:sz w:val="32"/>
          <w:szCs w:val="32"/>
        </w:rPr>
        <w:t>31</w:t>
      </w:r>
      <w:r>
        <w:rPr>
          <w:rFonts w:ascii="仿宋_GB2312" w:eastAsia="仿宋_GB2312" w:cs="仿宋_GB2312"/>
          <w:bCs/>
          <w:color w:val="000000"/>
          <w:sz w:val="32"/>
          <w:szCs w:val="32"/>
        </w:rPr>
        <w:t>日前）</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color w:val="000000"/>
          <w:sz w:val="32"/>
          <w:szCs w:val="32"/>
        </w:rPr>
        <w:t>6</w:t>
      </w:r>
      <w:r>
        <w:rPr>
          <w:rFonts w:ascii="仿宋_GB2312" w:eastAsia="仿宋_GB2312" w:cs="仿宋_GB2312"/>
          <w:color w:val="000000"/>
          <w:sz w:val="32"/>
          <w:szCs w:val="32"/>
        </w:rPr>
        <w:t>月</w:t>
      </w:r>
      <w:r>
        <w:rPr>
          <w:rFonts w:ascii="仿宋_GB2312" w:hAnsi="Times New Roman" w:eastAsia="仿宋_GB2312"/>
          <w:color w:val="000000"/>
          <w:sz w:val="32"/>
          <w:szCs w:val="32"/>
        </w:rPr>
        <w:t>15</w:t>
      </w:r>
      <w:r>
        <w:rPr>
          <w:rFonts w:ascii="仿宋_GB2312" w:eastAsia="仿宋_GB2312" w:cs="仿宋_GB2312"/>
          <w:color w:val="000000"/>
          <w:sz w:val="32"/>
          <w:szCs w:val="32"/>
        </w:rPr>
        <w:t>日至</w:t>
      </w:r>
      <w:r>
        <w:rPr>
          <w:rFonts w:ascii="仿宋_GB2312" w:hAnsi="Times New Roman" w:eastAsia="仿宋_GB2312"/>
          <w:color w:val="000000"/>
          <w:sz w:val="32"/>
          <w:szCs w:val="32"/>
        </w:rPr>
        <w:t>8</w:t>
      </w:r>
      <w:r>
        <w:rPr>
          <w:rFonts w:ascii="仿宋_GB2312" w:eastAsia="仿宋_GB2312" w:cs="仿宋_GB2312"/>
          <w:color w:val="000000"/>
          <w:sz w:val="32"/>
          <w:szCs w:val="32"/>
        </w:rPr>
        <w:t>月</w:t>
      </w:r>
      <w:r>
        <w:rPr>
          <w:rFonts w:ascii="仿宋_GB2312" w:hAnsi="Times New Roman" w:eastAsia="仿宋_GB2312"/>
          <w:color w:val="000000"/>
          <w:sz w:val="32"/>
          <w:szCs w:val="32"/>
        </w:rPr>
        <w:t>31</w:t>
      </w:r>
      <w:r>
        <w:rPr>
          <w:rFonts w:ascii="仿宋_GB2312" w:eastAsia="仿宋_GB2312" w:cs="仿宋_GB2312"/>
          <w:color w:val="000000"/>
          <w:sz w:val="32"/>
          <w:szCs w:val="32"/>
        </w:rPr>
        <w:t>日为总结完善阶段。做好集中专项治理废弃汽车的后续工作，完善工作台账和记录，总结工作中存在的问题，依照法律法规和有关程序规定形成制度成果。（责任单位：城环局、社发局、规建局、各交警大队）</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4.</w:t>
      </w:r>
      <w:r>
        <w:rPr>
          <w:rFonts w:ascii="仿宋_GB2312" w:eastAsia="仿宋_GB2312" w:cs="仿宋_GB2312"/>
          <w:bCs/>
          <w:color w:val="000000"/>
          <w:sz w:val="32"/>
          <w:szCs w:val="32"/>
        </w:rPr>
        <w:t>查漏补缺</w:t>
      </w:r>
      <w:r>
        <w:rPr>
          <w:rFonts w:ascii="仿宋_GB2312" w:hAnsi="Times New Roman" w:eastAsia="仿宋_GB2312"/>
          <w:bCs/>
          <w:color w:val="000000"/>
          <w:sz w:val="32"/>
          <w:szCs w:val="32"/>
        </w:rPr>
        <w:t>“</w:t>
      </w:r>
      <w:r>
        <w:rPr>
          <w:rFonts w:ascii="仿宋_GB2312" w:eastAsia="仿宋_GB2312" w:cs="仿宋_GB2312"/>
          <w:bCs/>
          <w:color w:val="000000"/>
          <w:sz w:val="32"/>
          <w:szCs w:val="32"/>
        </w:rPr>
        <w:t>回头看</w:t>
      </w:r>
      <w:r>
        <w:rPr>
          <w:rFonts w:ascii="仿宋_GB2312" w:hAnsi="Times New Roman" w:eastAsia="仿宋_GB2312"/>
          <w:bCs/>
          <w:color w:val="000000"/>
          <w:sz w:val="32"/>
          <w:szCs w:val="32"/>
        </w:rPr>
        <w:t>”</w:t>
      </w:r>
      <w:r>
        <w:rPr>
          <w:rFonts w:ascii="仿宋_GB2312" w:eastAsia="仿宋_GB2312" w:cs="仿宋_GB2312"/>
          <w:bCs/>
          <w:color w:val="000000"/>
          <w:sz w:val="32"/>
          <w:szCs w:val="32"/>
        </w:rPr>
        <w:t>阶段（</w:t>
      </w:r>
      <w:r>
        <w:rPr>
          <w:rFonts w:ascii="仿宋_GB2312" w:hAnsi="Times New Roman" w:eastAsia="仿宋_GB2312"/>
          <w:bCs/>
          <w:color w:val="000000"/>
          <w:sz w:val="32"/>
          <w:szCs w:val="32"/>
        </w:rPr>
        <w:t>2023</w:t>
      </w:r>
      <w:r>
        <w:rPr>
          <w:rFonts w:ascii="仿宋_GB2312" w:eastAsia="仿宋_GB2312" w:cs="仿宋_GB2312"/>
          <w:bCs/>
          <w:color w:val="000000"/>
          <w:sz w:val="32"/>
          <w:szCs w:val="32"/>
        </w:rPr>
        <w:t>年</w:t>
      </w:r>
      <w:r>
        <w:rPr>
          <w:rFonts w:ascii="仿宋_GB2312" w:hAnsi="Times New Roman" w:eastAsia="仿宋_GB2312"/>
          <w:bCs/>
          <w:color w:val="000000"/>
          <w:sz w:val="32"/>
          <w:szCs w:val="32"/>
        </w:rPr>
        <w:t>12</w:t>
      </w:r>
      <w:r>
        <w:rPr>
          <w:rFonts w:ascii="仿宋_GB2312" w:eastAsia="仿宋_GB2312" w:cs="仿宋_GB2312"/>
          <w:bCs/>
          <w:color w:val="000000"/>
          <w:sz w:val="32"/>
          <w:szCs w:val="32"/>
        </w:rPr>
        <w:t>月</w:t>
      </w:r>
      <w:r>
        <w:rPr>
          <w:rFonts w:ascii="仿宋_GB2312" w:hAnsi="Times New Roman" w:eastAsia="仿宋_GB2312"/>
          <w:bCs/>
          <w:color w:val="000000"/>
          <w:sz w:val="32"/>
          <w:szCs w:val="32"/>
        </w:rPr>
        <w:t>31</w:t>
      </w:r>
      <w:r>
        <w:rPr>
          <w:rFonts w:ascii="仿宋_GB2312" w:eastAsia="仿宋_GB2312" w:cs="仿宋_GB2312"/>
          <w:bCs/>
          <w:color w:val="000000"/>
          <w:sz w:val="32"/>
          <w:szCs w:val="32"/>
        </w:rPr>
        <w:t>日前）</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color w:val="000000"/>
          <w:sz w:val="32"/>
          <w:szCs w:val="32"/>
        </w:rPr>
        <w:t>9</w:t>
      </w:r>
      <w:r>
        <w:rPr>
          <w:rFonts w:ascii="仿宋_GB2312" w:eastAsia="仿宋_GB2312" w:cs="仿宋_GB2312"/>
          <w:color w:val="000000"/>
          <w:sz w:val="32"/>
          <w:szCs w:val="32"/>
        </w:rPr>
        <w:t>月</w:t>
      </w:r>
      <w:r>
        <w:rPr>
          <w:rFonts w:ascii="仿宋_GB2312" w:hAnsi="Times New Roman" w:eastAsia="仿宋_GB2312"/>
          <w:color w:val="000000"/>
          <w:sz w:val="32"/>
          <w:szCs w:val="32"/>
        </w:rPr>
        <w:t>1</w:t>
      </w:r>
      <w:r>
        <w:rPr>
          <w:rFonts w:ascii="仿宋_GB2312" w:eastAsia="仿宋_GB2312" w:cs="仿宋_GB2312"/>
          <w:color w:val="000000"/>
          <w:sz w:val="32"/>
          <w:szCs w:val="32"/>
        </w:rPr>
        <w:t>日至</w:t>
      </w:r>
      <w:r>
        <w:rPr>
          <w:rFonts w:ascii="仿宋_GB2312" w:hAnsi="Times New Roman" w:eastAsia="仿宋_GB2312"/>
          <w:color w:val="000000"/>
          <w:sz w:val="32"/>
          <w:szCs w:val="32"/>
        </w:rPr>
        <w:t>12</w:t>
      </w:r>
      <w:r>
        <w:rPr>
          <w:rFonts w:ascii="仿宋_GB2312" w:eastAsia="仿宋_GB2312" w:cs="仿宋_GB2312"/>
          <w:color w:val="000000"/>
          <w:sz w:val="32"/>
          <w:szCs w:val="32"/>
        </w:rPr>
        <w:t>月</w:t>
      </w:r>
      <w:r>
        <w:rPr>
          <w:rFonts w:ascii="仿宋_GB2312" w:hAnsi="Times New Roman" w:eastAsia="仿宋_GB2312"/>
          <w:color w:val="000000"/>
          <w:sz w:val="32"/>
          <w:szCs w:val="32"/>
        </w:rPr>
        <w:t>31</w:t>
      </w:r>
      <w:r>
        <w:rPr>
          <w:rFonts w:ascii="仿宋_GB2312" w:eastAsia="仿宋_GB2312" w:cs="仿宋_GB2312"/>
          <w:color w:val="000000"/>
          <w:sz w:val="32"/>
          <w:szCs w:val="32"/>
        </w:rPr>
        <w:t>日为查漏补缺</w:t>
      </w:r>
      <w:r>
        <w:rPr>
          <w:rFonts w:ascii="仿宋_GB2312" w:hAnsi="Times New Roman" w:eastAsia="仿宋_GB2312"/>
          <w:color w:val="000000"/>
          <w:sz w:val="32"/>
          <w:szCs w:val="32"/>
        </w:rPr>
        <w:t>“</w:t>
      </w:r>
      <w:r>
        <w:rPr>
          <w:rFonts w:ascii="仿宋_GB2312" w:eastAsia="仿宋_GB2312" w:cs="仿宋_GB2312"/>
          <w:color w:val="000000"/>
          <w:sz w:val="32"/>
          <w:szCs w:val="32"/>
        </w:rPr>
        <w:t>回头看</w:t>
      </w:r>
      <w:r>
        <w:rPr>
          <w:rFonts w:ascii="仿宋_GB2312" w:hAnsi="Times New Roman" w:eastAsia="仿宋_GB2312"/>
          <w:color w:val="000000"/>
          <w:sz w:val="32"/>
          <w:szCs w:val="32"/>
        </w:rPr>
        <w:t>”</w:t>
      </w:r>
      <w:r>
        <w:rPr>
          <w:rFonts w:ascii="仿宋_GB2312" w:eastAsia="仿宋_GB2312" w:cs="仿宋_GB2312"/>
          <w:color w:val="000000"/>
          <w:sz w:val="32"/>
          <w:szCs w:val="32"/>
        </w:rPr>
        <w:t>阶段。各相关单位组织查找解决遗留问题，建立长效管理机制</w:t>
      </w:r>
      <w:r>
        <w:rPr>
          <w:rFonts w:ascii="仿宋_GB2312" w:hAnsi="Times New Roman" w:eastAsia="仿宋_GB2312"/>
          <w:color w:val="000000"/>
          <w:sz w:val="32"/>
          <w:szCs w:val="32"/>
        </w:rPr>
        <w:t>,</w:t>
      </w:r>
      <w:r>
        <w:rPr>
          <w:rFonts w:ascii="仿宋_GB2312" w:eastAsia="仿宋_GB2312" w:cs="仿宋_GB2312"/>
          <w:color w:val="000000"/>
          <w:sz w:val="32"/>
          <w:szCs w:val="32"/>
        </w:rPr>
        <w:t>加强日常监管和举报受理，发现问题，及时处理。（责任单位：城环局、发改局、规建局、交警大队、社发局、办公室、党建部、商务局、财政局、市场局）</w:t>
      </w:r>
    </w:p>
    <w:p>
      <w:pPr>
        <w:pStyle w:val="7"/>
        <w:spacing w:line="560" w:lineRule="exact"/>
        <w:ind w:firstLine="640" w:firstLineChars="200"/>
        <w:jc w:val="both"/>
        <w:rPr>
          <w:rFonts w:ascii="黑体" w:hAnsi="黑体" w:eastAsia="黑体"/>
          <w:b w:val="0"/>
          <w:color w:val="000000"/>
          <w:sz w:val="32"/>
          <w:szCs w:val="32"/>
        </w:rPr>
      </w:pPr>
      <w:r>
        <w:rPr>
          <w:rFonts w:ascii="黑体" w:hAnsi="黑体" w:eastAsia="黑体" w:cs="黑体"/>
          <w:b w:val="0"/>
          <w:color w:val="000000"/>
          <w:sz w:val="32"/>
          <w:szCs w:val="32"/>
        </w:rPr>
        <w:t>二、工作措施</w:t>
      </w:r>
    </w:p>
    <w:p>
      <w:pPr>
        <w:pStyle w:val="7"/>
        <w:spacing w:line="560" w:lineRule="exact"/>
        <w:ind w:firstLine="643" w:firstLineChars="200"/>
        <w:jc w:val="both"/>
        <w:rPr>
          <w:rFonts w:ascii="楷体_GB2312" w:eastAsia="楷体_GB2312"/>
          <w:b/>
          <w:color w:val="000000"/>
          <w:sz w:val="32"/>
          <w:szCs w:val="32"/>
        </w:rPr>
      </w:pPr>
      <w:r>
        <w:rPr>
          <w:rFonts w:ascii="楷体_GB2312" w:eastAsia="楷体_GB2312" w:cs="楷体_GB2312"/>
          <w:b/>
          <w:color w:val="000000"/>
          <w:sz w:val="32"/>
          <w:szCs w:val="32"/>
        </w:rPr>
        <w:t>（一）建立废弃汽车治理工作协调机制</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由城环局、发改局、交警大队、派出所、办公室、党建部、财政局、规建局、</w:t>
      </w:r>
      <w:r>
        <w:rPr>
          <w:rFonts w:ascii="仿宋_GB2312" w:eastAsia="仿宋_GB2312" w:cs="仿宋_GB2312"/>
          <w:color w:val="000000"/>
          <w:sz w:val="32"/>
          <w:szCs w:val="32"/>
          <w:lang w:bidi="ar"/>
        </w:rPr>
        <w:t>商务局</w:t>
      </w:r>
      <w:r>
        <w:rPr>
          <w:rFonts w:ascii="仿宋_GB2312" w:eastAsia="仿宋_GB2312" w:cs="仿宋_GB2312"/>
          <w:color w:val="000000"/>
          <w:sz w:val="32"/>
          <w:szCs w:val="32"/>
        </w:rPr>
        <w:t>组成，城环局、发改局为牵头单位。城环局、发改局主要负责同志为召集人，其他成员单位有关负责同志为成员。主要负责组织全区废弃汽车专项执法治理工作，统筹协调全区各有关部门落实相关工作，协调解决专项执法治理中的重大问题。协调机制办公室设在城环局，承担废弃汽车专项治理日常工作。</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（二）明确职责分工</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各成员单位要按照各自职责强化对废弃汽车专项执法治理工作的指导和监管，形成工作合力，共同推进专项执法治理行动。</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城环局负责指导对城市公园、公共绿地、闲置空地等城市道路范围外影响市容环境的废弃汽车，以及机动车停车场、路内停车泊位内的废弃汽车进行排查治理。负责依法依规对废弃汽车回收拆解企业回收拆解活动的环境污染防治工作进行监督管理，配合做好健全报废汽车回收利用体系工作。</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发改局负责协调推动汽车生产、进口、销售、登记、维修、二手车交易、报废回收管理部门与执法监管部门间沟通协作，及时共享相关车辆信息。负责推动落实新能源汽车废旧动力蓄电池综合利用，配合做好健全报废汽车回收利用体系工作。</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交警大队负责对城市道路范围内违法违规停放的废弃汽车、对上道路行驶的拼装车辆及达到报废标准的车辆依据道路交通安全法规定进行处置；做好排查车辆信息比对工作及废弃汽车登记造册工作。</w:t>
      </w:r>
    </w:p>
    <w:p>
      <w:pPr>
        <w:shd w:val="clear" w:color="auto" w:fill="FFFFFF"/>
        <w:spacing w:line="5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办公室负责做好废弃汽车专项治理相关规范性文件的法律审核、备案审查工作，指导做好相关信访维稳工作。</w:t>
      </w:r>
    </w:p>
    <w:p>
      <w:pPr>
        <w:shd w:val="clear" w:color="auto" w:fill="FFFFFF"/>
        <w:spacing w:line="5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临港综合办负责做好临港区域相关信访维稳处置。</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党建部负责做好废弃汽车专项治理相关宣传、舆情管理等工作。</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财政局负责依据现行财政支出责任划分原则对废弃汽车专项执法整治工作予以经费支持，配合做好健全报废汽车回收利用体系工作。</w:t>
      </w:r>
    </w:p>
    <w:p>
      <w:pPr>
        <w:shd w:val="clear" w:color="auto" w:fill="FFFFFF"/>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sz w:val="32"/>
          <w:szCs w:val="32"/>
          <w:lang w:bidi="ar"/>
        </w:rPr>
        <w:t>规建局</w:t>
      </w:r>
      <w:r>
        <w:rPr>
          <w:rFonts w:hint="eastAsia" w:ascii="仿宋_GB2312" w:hAnsi="宋体" w:eastAsia="仿宋_GB2312" w:cs="仿宋_GB2312"/>
          <w:color w:val="000000"/>
          <w:kern w:val="0"/>
          <w:sz w:val="32"/>
          <w:szCs w:val="32"/>
          <w:lang w:bidi="ar"/>
        </w:rPr>
        <w:t>负责保障全区废弃汽车回收拆解企业用地需求，配合做好健全报废汽车回收利用体系工作。负责指导公路用地范围内和汽车维修企业内停放的废弃汽车的排查治理工作。</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社发局负责督促物业服务企业做好辖区物业管理项目中废弃汽车排查治理工作，负责废弃汽车违法占用道路、绿地等违法行为的执法查处。</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商务局负责对报废汽车回收拆解活动实施监督管理，会同公安、市场监管等部门依法打击非法回收拆解报废汽车行为。</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市场局负责配合做好非法拼装车辆依法查处和健全报废汽车回收利用体系工作。</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各部门要落实责任，建立废弃汽车治理工作协调机制，具体负责废弃汽车专项执法整治行动和长效治理工作；严格按照不漏</w:t>
      </w:r>
      <w:r>
        <w:rPr>
          <w:rFonts w:ascii="仿宋_GB2312" w:hAnsi="Times New Roman" w:eastAsia="仿宋_GB2312"/>
          <w:color w:val="000000"/>
          <w:sz w:val="32"/>
          <w:szCs w:val="32"/>
        </w:rPr>
        <w:t>“</w:t>
      </w:r>
      <w:r>
        <w:rPr>
          <w:rFonts w:ascii="仿宋_GB2312" w:eastAsia="仿宋_GB2312" w:cs="仿宋_GB2312"/>
          <w:color w:val="000000"/>
          <w:sz w:val="32"/>
          <w:szCs w:val="32"/>
        </w:rPr>
        <w:t>一车一处</w:t>
      </w:r>
      <w:r>
        <w:rPr>
          <w:rFonts w:ascii="仿宋_GB2312" w:hAnsi="Times New Roman" w:eastAsia="仿宋_GB2312"/>
          <w:color w:val="000000"/>
          <w:sz w:val="32"/>
          <w:szCs w:val="32"/>
        </w:rPr>
        <w:t>”</w:t>
      </w:r>
      <w:r>
        <w:rPr>
          <w:rFonts w:ascii="仿宋_GB2312" w:eastAsia="仿宋_GB2312" w:cs="仿宋_GB2312"/>
          <w:color w:val="000000"/>
          <w:sz w:val="32"/>
          <w:szCs w:val="32"/>
        </w:rPr>
        <w:t>的要求，组织有关部门开展全面排查、引导车辆所有人自行清理、实施分类处置等工作，落实车辆处置相关资金；建立工作保障机制，确保政策措施到位、人员配置到位、工作落实到位、经费保障到位。</w:t>
      </w:r>
    </w:p>
    <w:p>
      <w:pPr>
        <w:pStyle w:val="7"/>
        <w:spacing w:line="560" w:lineRule="exact"/>
        <w:ind w:firstLine="643" w:firstLineChars="200"/>
        <w:jc w:val="both"/>
        <w:rPr>
          <w:rFonts w:ascii="仿宋_GB2312" w:eastAsia="仿宋_GB2312"/>
          <w:b/>
          <w:color w:val="000000"/>
          <w:sz w:val="32"/>
          <w:szCs w:val="32"/>
        </w:rPr>
      </w:pPr>
      <w:r>
        <w:rPr>
          <w:rFonts w:ascii="楷体_GB2312" w:eastAsia="楷体_GB2312"/>
          <w:b/>
          <w:color w:val="000000"/>
          <w:sz w:val="32"/>
          <w:szCs w:val="32"/>
        </w:rPr>
        <w:t>（三）建立废弃汽车长效治理机制</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废弃汽车专项执法集中整治行动结束后，发改局统筹协调各有关部门，结合各自法定职责加强废弃汽车长效治理机制建设。</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1.</w:t>
      </w:r>
      <w:r>
        <w:rPr>
          <w:rFonts w:ascii="仿宋_GB2312" w:eastAsia="仿宋_GB2312" w:cs="仿宋_GB2312"/>
          <w:bCs/>
          <w:color w:val="000000"/>
          <w:sz w:val="32"/>
          <w:szCs w:val="32"/>
        </w:rPr>
        <w:t>建立废弃汽车常态化执法监管机制。</w:t>
      </w:r>
      <w:r>
        <w:rPr>
          <w:rFonts w:ascii="仿宋_GB2312" w:eastAsia="仿宋_GB2312" w:cs="仿宋_GB2312"/>
          <w:color w:val="000000"/>
          <w:sz w:val="32"/>
          <w:szCs w:val="32"/>
        </w:rPr>
        <w:t>各有关部门依职责将废弃汽车治理纳入城市治理日常工作，建立健全废弃汽车定期巡查、部门联动、信息共享、分类处置等工作机制。加强对废弃汽车执法监管的督导，将废弃汽车执法监管纳入城市市容环境治理相关考评体系，不断巩固深化专项整治成果，推动废弃汽车专项执法整治和常态化执法监管有序衔接。实施智能化监管，及时掌握全区车辆停放动态信息，实现废弃汽车投诉受理、核查建档、分类处置、结果反馈、督办考评等全链条信息化管理。（责任单位：交警大队、社发局、城环局、规建局等）</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2.</w:t>
      </w:r>
      <w:r>
        <w:rPr>
          <w:rFonts w:ascii="仿宋_GB2312" w:eastAsia="仿宋_GB2312" w:cs="仿宋_GB2312"/>
          <w:bCs/>
          <w:color w:val="000000"/>
          <w:sz w:val="32"/>
          <w:szCs w:val="32"/>
        </w:rPr>
        <w:t>健全报废汽车回收利用体系。</w:t>
      </w:r>
      <w:r>
        <w:rPr>
          <w:rFonts w:ascii="仿宋_GB2312" w:eastAsia="仿宋_GB2312" w:cs="仿宋_GB2312"/>
          <w:color w:val="000000"/>
          <w:sz w:val="32"/>
          <w:szCs w:val="32"/>
        </w:rPr>
        <w:t>加强对报废汽车回收拆解分支机构监管；加强信息沟通，依法打击非法回收拆解报废汽车行为；探索通过以旧换新等方式，引导群众主动报废汽车并交由正规渠道处置。（责任单位：商务局、发改局、交警大队、规建局、城环局、市场局）</w:t>
      </w:r>
    </w:p>
    <w:p>
      <w:pPr>
        <w:pStyle w:val="7"/>
        <w:spacing w:line="560" w:lineRule="exact"/>
        <w:ind w:firstLine="640" w:firstLineChars="200"/>
        <w:jc w:val="both"/>
        <w:rPr>
          <w:rFonts w:ascii="仿宋_GB2312" w:eastAsia="仿宋_GB2312"/>
          <w:color w:val="000000"/>
          <w:sz w:val="32"/>
          <w:szCs w:val="32"/>
        </w:rPr>
      </w:pPr>
      <w:r>
        <w:rPr>
          <w:rFonts w:ascii="仿宋_GB2312" w:hAnsi="Times New Roman" w:eastAsia="仿宋_GB2312"/>
          <w:bCs/>
          <w:color w:val="000000"/>
          <w:sz w:val="32"/>
          <w:szCs w:val="32"/>
        </w:rPr>
        <w:t>3.</w:t>
      </w:r>
      <w:r>
        <w:rPr>
          <w:rFonts w:ascii="仿宋_GB2312" w:eastAsia="仿宋_GB2312" w:cs="仿宋_GB2312"/>
          <w:bCs/>
          <w:color w:val="000000"/>
          <w:sz w:val="32"/>
          <w:szCs w:val="32"/>
        </w:rPr>
        <w:t>加强汽车使用全生命周期信息管理。</w:t>
      </w:r>
      <w:r>
        <w:rPr>
          <w:rFonts w:ascii="仿宋_GB2312" w:eastAsia="仿宋_GB2312" w:cs="仿宋_GB2312"/>
          <w:color w:val="000000"/>
          <w:sz w:val="32"/>
          <w:szCs w:val="32"/>
        </w:rPr>
        <w:t>按照新区统一部署，发改局加强组织协调，强化汽车生产、进口、销售、登记、维修、二手车交易、报废回收管理部门与执法监管部门间沟通协作，及时共享相关车辆信息，为废弃汽车治理工作提供信息化支撑；根据国家汽车使用全生命周期管理信息交互系统和认证配件、再制造件等信息查询系统建设情况以及有关工作部署要求，会同有关部门积极推动本区信息整合，加强汽车使用全生命周期信息互联互通和交互共享。（责任单位：发改局、派出所、交警大队、规建局、商务局）</w:t>
      </w:r>
    </w:p>
    <w:p>
      <w:pPr>
        <w:pStyle w:val="7"/>
        <w:spacing w:line="560" w:lineRule="exact"/>
        <w:ind w:firstLine="640" w:firstLineChars="200"/>
        <w:jc w:val="both"/>
        <w:rPr>
          <w:rFonts w:ascii="黑体" w:hAnsi="黑体" w:eastAsia="黑体"/>
          <w:b w:val="0"/>
          <w:color w:val="000000"/>
          <w:sz w:val="32"/>
          <w:szCs w:val="32"/>
        </w:rPr>
      </w:pPr>
      <w:r>
        <w:rPr>
          <w:rFonts w:ascii="黑体" w:hAnsi="黑体" w:eastAsia="黑体" w:cs="黑体"/>
          <w:b w:val="0"/>
          <w:color w:val="000000"/>
          <w:sz w:val="32"/>
          <w:szCs w:val="32"/>
        </w:rPr>
        <w:t>三、保障措施</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（一）广泛宣传，营造氛围</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加强舆论引导，广泛宣传政策法规，让群众了解废弃汽车的存在给城市带来的危害，通过公布举报电话等方式，营造良好的舆论氛围，有效推进专项治理行动深入开展。（责任单位：党建部、城环局、社发局、交警大队）</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（二）依法行政，规范操作</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责任部门要以事实为依据，以法律为准绳，文明规范执法，妥善解决工作中遇到的各种问题。做到标准统一规范，方法科学得当，确保集中整治行动顺畅得力，执法效果与社会效果相统一。（责任单位：城环局、社发局、规建局、办公室、交警大队配合）</w:t>
      </w:r>
    </w:p>
    <w:p>
      <w:pPr>
        <w:pStyle w:val="7"/>
        <w:spacing w:line="560" w:lineRule="exact"/>
        <w:ind w:firstLine="643" w:firstLineChars="200"/>
        <w:jc w:val="both"/>
        <w:rPr>
          <w:rFonts w:hint="eastAsia" w:ascii="楷体_GB2312" w:eastAsia="楷体_GB2312" w:cs="楷体_GB2312"/>
          <w:b/>
          <w:color w:val="000000"/>
          <w:sz w:val="32"/>
          <w:szCs w:val="32"/>
        </w:rPr>
      </w:pPr>
      <w:r>
        <w:rPr>
          <w:rFonts w:hint="eastAsia" w:ascii="楷体_GB2312" w:hAnsi="宋体" w:eastAsia="楷体_GB2312" w:cs="楷体_GB2312"/>
          <w:b/>
          <w:color w:val="000000"/>
          <w:kern w:val="0"/>
          <w:sz w:val="32"/>
          <w:szCs w:val="32"/>
        </w:rPr>
        <w:t>（三）强化联动，形成合力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s="仿宋_GB2312"/>
          <w:color w:val="000000"/>
          <w:sz w:val="32"/>
          <w:szCs w:val="32"/>
        </w:rPr>
        <w:t>城环局负责设计制作张贴于废弃汽车上的告知书模板。交警大队负责起草对报废车认定执行标准、清收车辆报废处置流程、固定证据拍摄要素建议和外地牌照车辆、失窃车辆的信息核查。办公室负责指导废弃汽车专项治理相关依法行政工作，</w:t>
      </w:r>
      <w:r>
        <w:rPr>
          <w:rFonts w:hint="eastAsia" w:ascii="仿宋_GB2312" w:eastAsia="仿宋_GB2312" w:cs="仿宋_GB2312"/>
          <w:color w:val="000000"/>
          <w:sz w:val="32"/>
          <w:szCs w:val="32"/>
          <w:lang w:bidi="ar"/>
        </w:rPr>
        <w:t>指导做好信访维稳工作。</w:t>
      </w:r>
      <w:r>
        <w:rPr>
          <w:rFonts w:hint="eastAsia" w:ascii="仿宋_GB2312" w:hAnsi="宋体" w:eastAsia="仿宋_GB2312" w:cs="仿宋_GB2312"/>
          <w:color w:val="000000"/>
          <w:sz w:val="32"/>
          <w:szCs w:val="32"/>
          <w:lang w:bidi="ar"/>
        </w:rPr>
        <w:t>临港综合办共同做好临港区域信访维稳处置</w:t>
      </w:r>
      <w:r>
        <w:rPr>
          <w:rFonts w:hint="eastAsia" w:ascii="仿宋_GB2312" w:eastAsia="仿宋_GB2312" w:cs="仿宋_GB2312"/>
          <w:color w:val="000000"/>
          <w:sz w:val="32"/>
          <w:szCs w:val="32"/>
        </w:rPr>
        <w:t>。党建部负责策划专项宣传方案，统筹做好宣传工作，做好舆情监测工作。（责任单位：城环局、办公室、临港综合办、党建部、交警大队）</w:t>
      </w:r>
    </w:p>
    <w:p>
      <w:pPr>
        <w:pStyle w:val="7"/>
        <w:spacing w:line="560" w:lineRule="exact"/>
        <w:ind w:firstLine="643" w:firstLineChars="200"/>
        <w:jc w:val="both"/>
        <w:rPr>
          <w:rFonts w:ascii="楷体_GB2312" w:eastAsia="楷体_GB2312" w:cs="楷体_GB2312"/>
          <w:b/>
          <w:color w:val="000000"/>
          <w:sz w:val="32"/>
          <w:szCs w:val="32"/>
        </w:rPr>
      </w:pPr>
      <w:r>
        <w:rPr>
          <w:rFonts w:ascii="楷体_GB2312" w:eastAsia="楷体_GB2312" w:cs="楷体_GB2312"/>
          <w:b/>
          <w:color w:val="000000"/>
          <w:sz w:val="32"/>
          <w:szCs w:val="32"/>
        </w:rPr>
        <w:t>（四）信息通畅，强化监管</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此次专项集中治理行动，采取周报制度，请相关单位按照职责分工，认真摸底排查，并于每周四前，将本周排查治理数据报城环局，好的经验做法、重大情况和问题及时报送；</w:t>
      </w:r>
      <w:r>
        <w:rPr>
          <w:rFonts w:ascii="仿宋_GB2312" w:hAnsi="Times New Roman" w:eastAsia="仿宋_GB2312"/>
          <w:color w:val="000000"/>
          <w:sz w:val="32"/>
          <w:szCs w:val="32"/>
        </w:rPr>
        <w:t>2023</w:t>
      </w:r>
      <w:r>
        <w:rPr>
          <w:rFonts w:ascii="仿宋_GB2312" w:eastAsia="仿宋_GB2312" w:cs="仿宋_GB2312"/>
          <w:color w:val="000000"/>
          <w:sz w:val="32"/>
          <w:szCs w:val="32"/>
        </w:rPr>
        <w:t>年</w:t>
      </w:r>
      <w:r>
        <w:rPr>
          <w:rFonts w:ascii="仿宋_GB2312" w:hAnsi="Times New Roman" w:eastAsia="仿宋_GB2312"/>
          <w:color w:val="000000"/>
          <w:sz w:val="32"/>
          <w:szCs w:val="32"/>
        </w:rPr>
        <w:t>11</w:t>
      </w:r>
      <w:r>
        <w:rPr>
          <w:rFonts w:ascii="仿宋_GB2312" w:eastAsia="仿宋_GB2312" w:cs="仿宋_GB2312"/>
          <w:color w:val="000000"/>
          <w:sz w:val="32"/>
          <w:szCs w:val="32"/>
        </w:rPr>
        <w:t>月30日前将专项执法治理开展情况（包括经验做法、取得成效、存在问题、对策建议等）形成文字材料（含电子版）连同附件报城环局，由城环局一并报新区废弃汽车治理工作协调机制办公室。报送邮箱1261647356@qq.com。（责任单位：城环局、发改局、规建局、交警大队、社发局、办公室、党建部、商务局、财政局、市场局）</w:t>
      </w:r>
    </w:p>
    <w:p>
      <w:pPr>
        <w:pStyle w:val="7"/>
        <w:spacing w:line="560" w:lineRule="exact"/>
        <w:ind w:firstLine="640" w:firstLineChars="200"/>
        <w:jc w:val="both"/>
        <w:rPr>
          <w:rFonts w:ascii="黑体" w:hAnsi="黑体" w:eastAsia="黑体"/>
          <w:b w:val="0"/>
          <w:color w:val="000000"/>
          <w:sz w:val="32"/>
          <w:szCs w:val="32"/>
        </w:rPr>
      </w:pPr>
      <w:r>
        <w:rPr>
          <w:rFonts w:ascii="黑体" w:hAnsi="黑体" w:eastAsia="黑体" w:cs="黑体"/>
          <w:b w:val="0"/>
          <w:color w:val="000000"/>
          <w:sz w:val="32"/>
          <w:szCs w:val="32"/>
        </w:rPr>
        <w:t>四、工作要求</w:t>
      </w:r>
    </w:p>
    <w:p>
      <w:pPr>
        <w:pStyle w:val="7"/>
        <w:spacing w:line="560" w:lineRule="exact"/>
        <w:ind w:firstLine="643" w:firstLineChars="200"/>
        <w:jc w:val="both"/>
        <w:rPr>
          <w:rFonts w:ascii="楷体_GB2312" w:hAnsi="楷体" w:eastAsia="楷体_GB2312" w:cs="楷体"/>
          <w:b/>
          <w:color w:val="000000"/>
          <w:sz w:val="32"/>
          <w:szCs w:val="32"/>
        </w:rPr>
      </w:pPr>
      <w:r>
        <w:rPr>
          <w:rFonts w:ascii="楷体_GB2312" w:hAnsi="楷体" w:eastAsia="楷体_GB2312" w:cs="楷体"/>
          <w:b/>
          <w:color w:val="000000"/>
          <w:sz w:val="32"/>
          <w:szCs w:val="32"/>
        </w:rPr>
        <w:t>（一）统一思想，高度重视</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各部门要坚持以人民为中心的发展理念，充分认识专项行动的重要性、紧迫性，结合职责制定各自工作方案，确保专项治理工作扎实开展。</w:t>
      </w:r>
    </w:p>
    <w:p>
      <w:pPr>
        <w:pStyle w:val="7"/>
        <w:spacing w:line="560" w:lineRule="exact"/>
        <w:ind w:firstLine="643" w:firstLineChars="200"/>
        <w:jc w:val="both"/>
        <w:rPr>
          <w:rFonts w:ascii="楷体_GB2312" w:hAnsi="楷体" w:eastAsia="楷体_GB2312" w:cs="楷体"/>
          <w:b/>
          <w:color w:val="000000"/>
          <w:sz w:val="32"/>
          <w:szCs w:val="32"/>
        </w:rPr>
      </w:pPr>
      <w:r>
        <w:rPr>
          <w:rFonts w:ascii="楷体_GB2312" w:hAnsi="楷体" w:eastAsia="楷体_GB2312" w:cs="楷体"/>
          <w:b/>
          <w:color w:val="000000"/>
          <w:sz w:val="32"/>
          <w:szCs w:val="32"/>
        </w:rPr>
        <w:t>（二）压实责任，落实落细</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各部门要对照目标责任，明确工作任务、落实工作责任、做好处置预案，统筹资源，细化分工，落实责任，协同配合，形成合力。</w:t>
      </w:r>
    </w:p>
    <w:p>
      <w:pPr>
        <w:pStyle w:val="7"/>
        <w:spacing w:line="560" w:lineRule="exact"/>
        <w:ind w:firstLine="643" w:firstLineChars="200"/>
        <w:jc w:val="both"/>
        <w:rPr>
          <w:rFonts w:ascii="楷体_GB2312" w:hAnsi="楷体" w:eastAsia="楷体_GB2312" w:cs="楷体"/>
          <w:b/>
          <w:color w:val="000000"/>
          <w:sz w:val="32"/>
          <w:szCs w:val="32"/>
        </w:rPr>
      </w:pPr>
      <w:r>
        <w:rPr>
          <w:rFonts w:ascii="楷体_GB2312" w:hAnsi="楷体" w:eastAsia="楷体_GB2312" w:cs="楷体"/>
          <w:b/>
          <w:color w:val="000000"/>
          <w:sz w:val="32"/>
          <w:szCs w:val="32"/>
        </w:rPr>
        <w:t>（三）匹配经费，提供保障</w:t>
      </w:r>
    </w:p>
    <w:p>
      <w:pPr>
        <w:pStyle w:val="7"/>
        <w:spacing w:line="560" w:lineRule="exact"/>
        <w:ind w:firstLine="640" w:firstLineChars="200"/>
        <w:jc w:val="both"/>
        <w:rPr>
          <w:rFonts w:ascii="仿宋_GB2312" w:eastAsia="仿宋_GB2312"/>
          <w:color w:val="000000"/>
          <w:sz w:val="32"/>
          <w:szCs w:val="32"/>
        </w:rPr>
      </w:pPr>
      <w:r>
        <w:rPr>
          <w:rFonts w:ascii="仿宋_GB2312" w:eastAsia="仿宋_GB2312" w:cs="仿宋_GB2312"/>
          <w:color w:val="000000"/>
          <w:sz w:val="32"/>
          <w:szCs w:val="32"/>
        </w:rPr>
        <w:t>城环局统筹编制专项治理工作排查、处置等相关费用预算，财政局做好资金安排，为专项治理工作顺利、可持续开展提供支撑和保障。</w:t>
      </w:r>
    </w:p>
    <w:p>
      <w:pPr>
        <w:pStyle w:val="7"/>
        <w:spacing w:line="560" w:lineRule="exact"/>
        <w:ind w:firstLine="640" w:firstLineChars="200"/>
        <w:jc w:val="both"/>
        <w:rPr>
          <w:rFonts w:ascii="仿宋_GB2312" w:eastAsia="仿宋_GB2312" w:cs="仿宋_GB2312"/>
          <w:color w:val="000000"/>
          <w:sz w:val="32"/>
          <w:szCs w:val="32"/>
        </w:rPr>
      </w:pPr>
    </w:p>
    <w:p>
      <w:pPr>
        <w:pStyle w:val="7"/>
        <w:spacing w:line="560" w:lineRule="exact"/>
        <w:ind w:firstLine="640" w:firstLineChars="200"/>
        <w:jc w:val="both"/>
        <w:rPr>
          <w:rFonts w:ascii="仿宋_GB2312" w:eastAsia="仿宋_GB2312" w:cs="仿宋_GB2312"/>
          <w:color w:val="000000"/>
          <w:sz w:val="32"/>
          <w:szCs w:val="32"/>
        </w:rPr>
      </w:pPr>
    </w:p>
    <w:p>
      <w:pPr>
        <w:pStyle w:val="7"/>
        <w:spacing w:line="560" w:lineRule="exact"/>
        <w:ind w:firstLine="640" w:firstLineChars="200"/>
        <w:jc w:val="both"/>
        <w:rPr>
          <w:rFonts w:ascii="仿宋_GB2312" w:eastAsia="仿宋_GB2312" w:cs="仿宋_GB2312"/>
          <w:color w:val="000000"/>
          <w:sz w:val="32"/>
          <w:szCs w:val="32"/>
        </w:rPr>
      </w:pPr>
      <w:r>
        <w:rPr>
          <w:rFonts w:ascii="仿宋_GB2312" w:eastAsia="仿宋_GB2312" w:cs="仿宋_GB2312"/>
          <w:color w:val="000000"/>
          <w:sz w:val="32"/>
          <w:szCs w:val="32"/>
        </w:rPr>
        <w:t>附件：1.保税区废弃汽车专项执法整治排查情况统计表</w:t>
      </w:r>
    </w:p>
    <w:p>
      <w:pPr>
        <w:pStyle w:val="7"/>
        <w:spacing w:line="560" w:lineRule="exact"/>
        <w:ind w:firstLine="640" w:firstLineChars="200"/>
        <w:jc w:val="both"/>
        <w:rPr>
          <w:rFonts w:ascii="仿宋_GB2312" w:eastAsia="仿宋_GB2312" w:cs="仿宋_GB2312"/>
          <w:color w:val="000000"/>
          <w:sz w:val="32"/>
          <w:szCs w:val="32"/>
        </w:rPr>
      </w:pPr>
      <w:r>
        <w:rPr>
          <w:rFonts w:ascii="仿宋_GB2312" w:eastAsia="仿宋_GB2312" w:cs="仿宋_GB2312"/>
          <w:color w:val="000000"/>
          <w:sz w:val="32"/>
          <w:szCs w:val="32"/>
        </w:rPr>
        <w:t xml:space="preserve">      2.保税区废弃汽车专项执法整治排查治理情况汇</w:t>
      </w:r>
    </w:p>
    <w:p>
      <w:pPr>
        <w:pStyle w:val="7"/>
        <w:spacing w:line="560" w:lineRule="exact"/>
        <w:ind w:firstLine="1920" w:firstLineChars="600"/>
        <w:jc w:val="both"/>
        <w:rPr>
          <w:rFonts w:ascii="仿宋_GB2312" w:eastAsia="仿宋_GB2312" w:cs="仿宋_GB2312"/>
          <w:color w:val="000000"/>
          <w:sz w:val="32"/>
          <w:szCs w:val="32"/>
        </w:rPr>
      </w:pPr>
      <w:r>
        <w:rPr>
          <w:rFonts w:ascii="仿宋_GB2312" w:eastAsia="仿宋_GB2312" w:cs="仿宋_GB2312"/>
          <w:color w:val="000000"/>
          <w:sz w:val="32"/>
          <w:szCs w:val="32"/>
        </w:rPr>
        <w:t>总表</w:t>
      </w:r>
    </w:p>
    <w:p>
      <w:pPr>
        <w:pStyle w:val="7"/>
        <w:spacing w:line="560" w:lineRule="exact"/>
        <w:ind w:firstLine="640" w:firstLineChars="200"/>
        <w:jc w:val="both"/>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ascii="仿宋_GB2312" w:hAnsi="宋体" w:eastAsia="仿宋_GB2312" w:cs="宋体"/>
          <w:color w:val="000000"/>
          <w:sz w:val="32"/>
          <w:szCs w:val="32"/>
          <w:shd w:val="clear" w:color="auto" w:fill="FFFFFF"/>
        </w:rPr>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pPr>
    </w:p>
    <w:tbl>
      <w:tblPr>
        <w:tblStyle w:val="9"/>
        <w:tblW w:w="14760" w:type="dxa"/>
        <w:jc w:val="center"/>
        <w:tblLayout w:type="autofit"/>
        <w:tblCellMar>
          <w:top w:w="0" w:type="dxa"/>
          <w:left w:w="108" w:type="dxa"/>
          <w:bottom w:w="0" w:type="dxa"/>
          <w:right w:w="108" w:type="dxa"/>
        </w:tblCellMar>
      </w:tblPr>
      <w:tblGrid>
        <w:gridCol w:w="1088"/>
        <w:gridCol w:w="912"/>
        <w:gridCol w:w="1000"/>
        <w:gridCol w:w="1000"/>
        <w:gridCol w:w="1000"/>
        <w:gridCol w:w="1000"/>
        <w:gridCol w:w="1000"/>
        <w:gridCol w:w="1540"/>
        <w:gridCol w:w="1220"/>
        <w:gridCol w:w="1000"/>
        <w:gridCol w:w="1000"/>
        <w:gridCol w:w="1000"/>
        <w:gridCol w:w="1000"/>
        <w:gridCol w:w="1000"/>
      </w:tblGrid>
      <w:tr>
        <w:tblPrEx>
          <w:tblCellMar>
            <w:top w:w="0" w:type="dxa"/>
            <w:left w:w="108" w:type="dxa"/>
            <w:bottom w:w="0" w:type="dxa"/>
            <w:right w:w="108" w:type="dxa"/>
          </w:tblCellMar>
        </w:tblPrEx>
        <w:trPr>
          <w:trHeight w:val="540" w:hRule="atLeast"/>
          <w:jc w:val="center"/>
        </w:trPr>
        <w:tc>
          <w:tcPr>
            <w:tcW w:w="1088" w:type="dxa"/>
            <w:tcBorders>
              <w:top w:val="nil"/>
              <w:left w:val="nil"/>
              <w:bottom w:val="nil"/>
              <w:right w:val="nil"/>
            </w:tcBorders>
            <w:noWrap/>
            <w:vAlign w:val="center"/>
          </w:tcPr>
          <w:p>
            <w:pPr>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912"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54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22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1000" w:type="dxa"/>
            <w:tcBorders>
              <w:top w:val="nil"/>
              <w:left w:val="nil"/>
              <w:bottom w:val="nil"/>
              <w:right w:val="nil"/>
            </w:tcBorders>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80" w:hRule="atLeast"/>
          <w:jc w:val="center"/>
        </w:trPr>
        <w:tc>
          <w:tcPr>
            <w:tcW w:w="14760" w:type="dxa"/>
            <w:gridSpan w:val="14"/>
            <w:tcBorders>
              <w:top w:val="nil"/>
              <w:left w:val="nil"/>
              <w:bottom w:val="nil"/>
              <w:right w:val="nil"/>
            </w:tcBorders>
            <w:noWrap/>
            <w:vAlign w:val="center"/>
          </w:tcPr>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保税区废弃汽车专项执法整治排查情况统计表</w:t>
            </w:r>
          </w:p>
        </w:tc>
      </w:tr>
      <w:tr>
        <w:tblPrEx>
          <w:tblCellMar>
            <w:top w:w="0" w:type="dxa"/>
            <w:left w:w="108" w:type="dxa"/>
            <w:bottom w:w="0" w:type="dxa"/>
            <w:right w:w="108" w:type="dxa"/>
          </w:tblCellMar>
        </w:tblPrEx>
        <w:trPr>
          <w:trHeight w:val="520" w:hRule="atLeast"/>
          <w:jc w:val="center"/>
        </w:trPr>
        <w:tc>
          <w:tcPr>
            <w:tcW w:w="7000" w:type="dxa"/>
            <w:gridSpan w:val="7"/>
            <w:tcBorders>
              <w:top w:val="nil"/>
              <w:left w:val="nil"/>
              <w:bottom w:val="nil"/>
              <w:right w:val="nil"/>
            </w:tcBorders>
            <w:noWrap/>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填报单位：（盖章）</w:t>
            </w:r>
          </w:p>
        </w:tc>
        <w:tc>
          <w:tcPr>
            <w:tcW w:w="1540" w:type="dxa"/>
            <w:tcBorders>
              <w:top w:val="nil"/>
              <w:left w:val="nil"/>
              <w:bottom w:val="nil"/>
              <w:right w:val="nil"/>
            </w:tcBorders>
            <w:noWrap/>
            <w:vAlign w:val="center"/>
          </w:tcPr>
          <w:p>
            <w:pPr>
              <w:rPr>
                <w:rFonts w:ascii="仿宋_GB2312" w:hAnsi="宋体" w:eastAsia="仿宋_GB2312" w:cs="宋体"/>
                <w:color w:val="000000"/>
                <w:kern w:val="0"/>
                <w:sz w:val="24"/>
              </w:rPr>
            </w:pPr>
          </w:p>
        </w:tc>
        <w:tc>
          <w:tcPr>
            <w:tcW w:w="6220" w:type="dxa"/>
            <w:gridSpan w:val="6"/>
            <w:tcBorders>
              <w:top w:val="nil"/>
              <w:left w:val="nil"/>
              <w:bottom w:val="nil"/>
              <w:right w:val="nil"/>
            </w:tcBorders>
            <w:noWrap/>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CellMar>
            <w:top w:w="0" w:type="dxa"/>
            <w:left w:w="108" w:type="dxa"/>
            <w:bottom w:w="0" w:type="dxa"/>
            <w:right w:w="108" w:type="dxa"/>
          </w:tblCellMar>
        </w:tblPrEx>
        <w:trPr>
          <w:trHeight w:val="655" w:hRule="atLeast"/>
          <w:jc w:val="center"/>
        </w:trPr>
        <w:tc>
          <w:tcPr>
            <w:tcW w:w="108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912"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车辆</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车辆</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车辆</w:t>
            </w:r>
          </w:p>
        </w:tc>
        <w:tc>
          <w:tcPr>
            <w:tcW w:w="1000"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车辆</w:t>
            </w:r>
          </w:p>
        </w:tc>
        <w:tc>
          <w:tcPr>
            <w:tcW w:w="10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使用</w:t>
            </w:r>
          </w:p>
          <w:p>
            <w:pPr>
              <w:jc w:val="center"/>
              <w:rPr>
                <w:rFonts w:ascii="黑体" w:hAnsi="黑体" w:eastAsia="黑体" w:cs="宋体"/>
                <w:color w:val="000000"/>
                <w:kern w:val="0"/>
                <w:sz w:val="24"/>
              </w:rPr>
            </w:pPr>
            <w:r>
              <w:rPr>
                <w:rFonts w:hint="eastAsia" w:ascii="黑体" w:hAnsi="黑体" w:eastAsia="黑体" w:cs="宋体"/>
                <w:color w:val="000000"/>
                <w:kern w:val="0"/>
                <w:sz w:val="24"/>
              </w:rPr>
              <w:t>性质</w:t>
            </w:r>
          </w:p>
        </w:tc>
        <w:tc>
          <w:tcPr>
            <w:tcW w:w="10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品牌</w:t>
            </w:r>
          </w:p>
          <w:p>
            <w:pPr>
              <w:jc w:val="center"/>
              <w:rPr>
                <w:rFonts w:ascii="黑体" w:hAnsi="黑体" w:eastAsia="黑体" w:cs="宋体"/>
                <w:color w:val="000000"/>
                <w:kern w:val="0"/>
                <w:sz w:val="24"/>
              </w:rPr>
            </w:pPr>
            <w:r>
              <w:rPr>
                <w:rFonts w:hint="eastAsia" w:ascii="黑体" w:hAnsi="黑体" w:eastAsia="黑体" w:cs="宋体"/>
                <w:color w:val="000000"/>
                <w:kern w:val="0"/>
                <w:sz w:val="24"/>
              </w:rPr>
              <w:t>型号</w:t>
            </w:r>
          </w:p>
        </w:tc>
        <w:tc>
          <w:tcPr>
            <w:tcW w:w="154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车辆识别</w:t>
            </w:r>
          </w:p>
          <w:p>
            <w:pPr>
              <w:jc w:val="center"/>
              <w:rPr>
                <w:rFonts w:ascii="黑体" w:hAnsi="黑体" w:eastAsia="黑体" w:cs="宋体"/>
                <w:color w:val="000000"/>
                <w:kern w:val="0"/>
                <w:sz w:val="24"/>
              </w:rPr>
            </w:pPr>
            <w:r>
              <w:rPr>
                <w:rFonts w:hint="eastAsia" w:ascii="黑体" w:hAnsi="黑体" w:eastAsia="黑体" w:cs="宋体"/>
                <w:color w:val="000000"/>
                <w:kern w:val="0"/>
                <w:sz w:val="24"/>
              </w:rPr>
              <w:t>代号</w:t>
            </w:r>
          </w:p>
        </w:tc>
        <w:tc>
          <w:tcPr>
            <w:tcW w:w="12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发动机号码</w:t>
            </w:r>
          </w:p>
        </w:tc>
        <w:tc>
          <w:tcPr>
            <w:tcW w:w="1000"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生产</w:t>
            </w:r>
          </w:p>
        </w:tc>
        <w:tc>
          <w:tcPr>
            <w:tcW w:w="1000"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注册</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车辆</w:t>
            </w:r>
          </w:p>
          <w:p>
            <w:pPr>
              <w:jc w:val="center"/>
              <w:rPr>
                <w:rFonts w:ascii="黑体" w:hAnsi="黑体" w:eastAsia="黑体" w:cs="宋体"/>
                <w:color w:val="000000"/>
                <w:kern w:val="0"/>
                <w:sz w:val="24"/>
              </w:rPr>
            </w:pPr>
            <w:r>
              <w:rPr>
                <w:rFonts w:hint="eastAsia" w:ascii="黑体" w:hAnsi="黑体" w:eastAsia="黑体" w:cs="宋体"/>
                <w:color w:val="000000"/>
                <w:kern w:val="0"/>
                <w:sz w:val="24"/>
              </w:rPr>
              <w:t>检验</w:t>
            </w:r>
          </w:p>
        </w:tc>
        <w:tc>
          <w:tcPr>
            <w:tcW w:w="1000"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外观</w:t>
            </w:r>
          </w:p>
        </w:tc>
        <w:tc>
          <w:tcPr>
            <w:tcW w:w="10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CellMar>
            <w:top w:w="0" w:type="dxa"/>
            <w:left w:w="108" w:type="dxa"/>
            <w:bottom w:w="0" w:type="dxa"/>
            <w:right w:w="108" w:type="dxa"/>
          </w:tblCellMar>
        </w:tblPrEx>
        <w:trPr>
          <w:trHeight w:val="600"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c>
          <w:tcPr>
            <w:tcW w:w="912" w:type="dxa"/>
            <w:tcBorders>
              <w:top w:val="nil"/>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具体位置</w:t>
            </w:r>
          </w:p>
        </w:tc>
        <w:tc>
          <w:tcPr>
            <w:tcW w:w="1000" w:type="dxa"/>
            <w:tcBorders>
              <w:top w:val="nil"/>
              <w:left w:val="nil"/>
              <w:bottom w:val="single" w:color="auto" w:sz="4" w:space="0"/>
              <w:right w:val="single" w:color="auto" w:sz="4" w:space="0"/>
            </w:tcBorders>
            <w:noWrap w:val="0"/>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号牌</w:t>
            </w:r>
          </w:p>
          <w:p>
            <w:pPr>
              <w:jc w:val="center"/>
              <w:rPr>
                <w:rFonts w:ascii="黑体" w:hAnsi="黑体" w:eastAsia="黑体" w:cs="宋体"/>
                <w:color w:val="000000"/>
                <w:kern w:val="0"/>
                <w:sz w:val="24"/>
              </w:rPr>
            </w:pPr>
            <w:r>
              <w:rPr>
                <w:rFonts w:hint="eastAsia" w:ascii="黑体" w:hAnsi="黑体" w:eastAsia="黑体" w:cs="宋体"/>
                <w:color w:val="000000"/>
                <w:kern w:val="0"/>
                <w:sz w:val="24"/>
              </w:rPr>
              <w:t>号码</w:t>
            </w:r>
          </w:p>
        </w:tc>
        <w:tc>
          <w:tcPr>
            <w:tcW w:w="1000" w:type="dxa"/>
            <w:tcBorders>
              <w:top w:val="nil"/>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所有人</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类型</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日期</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日期</w:t>
            </w:r>
          </w:p>
        </w:tc>
        <w:tc>
          <w:tcPr>
            <w:tcW w:w="1000" w:type="dxa"/>
            <w:tcBorders>
              <w:top w:val="nil"/>
              <w:left w:val="nil"/>
              <w:bottom w:val="single" w:color="auto" w:sz="4" w:space="0"/>
              <w:right w:val="single" w:color="auto" w:sz="4" w:space="0"/>
            </w:tcBorders>
            <w:noWrap w:val="0"/>
            <w:vAlign w:val="center"/>
          </w:tcPr>
          <w:p>
            <w:pPr>
              <w:jc w:val="center"/>
              <w:rPr>
                <w:rFonts w:hint="eastAsia" w:ascii="黑体" w:hAnsi="黑体" w:eastAsia="黑体" w:cs="宋体"/>
                <w:color w:val="000000"/>
                <w:kern w:val="0"/>
                <w:sz w:val="24"/>
              </w:rPr>
            </w:pPr>
            <w:r>
              <w:rPr>
                <w:rFonts w:hint="eastAsia" w:ascii="黑体" w:hAnsi="黑体" w:eastAsia="黑体" w:cs="宋体"/>
                <w:color w:val="000000"/>
                <w:kern w:val="0"/>
                <w:sz w:val="24"/>
              </w:rPr>
              <w:t>有效</w:t>
            </w:r>
          </w:p>
          <w:p>
            <w:pPr>
              <w:jc w:val="center"/>
              <w:rPr>
                <w:rFonts w:ascii="黑体" w:hAnsi="黑体" w:eastAsia="黑体" w:cs="宋体"/>
                <w:color w:val="000000"/>
                <w:kern w:val="0"/>
                <w:sz w:val="24"/>
              </w:rPr>
            </w:pPr>
            <w:r>
              <w:rPr>
                <w:rFonts w:hint="eastAsia" w:ascii="黑体" w:hAnsi="黑体" w:eastAsia="黑体" w:cs="宋体"/>
                <w:color w:val="000000"/>
                <w:kern w:val="0"/>
                <w:sz w:val="24"/>
              </w:rPr>
              <w:t>日期</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状态</w:t>
            </w: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宋体"/>
                <w:color w:val="000000"/>
                <w:kern w:val="0"/>
                <w:sz w:val="24"/>
              </w:rPr>
            </w:pPr>
          </w:p>
        </w:tc>
      </w:tr>
      <w:tr>
        <w:tblPrEx>
          <w:tblCellMar>
            <w:top w:w="0" w:type="dxa"/>
            <w:left w:w="108" w:type="dxa"/>
            <w:bottom w:w="0" w:type="dxa"/>
            <w:right w:w="108" w:type="dxa"/>
          </w:tblCellMar>
        </w:tblPrEx>
        <w:trPr>
          <w:trHeight w:val="600" w:hRule="atLeast"/>
          <w:jc w:val="center"/>
        </w:trPr>
        <w:tc>
          <w:tcPr>
            <w:tcW w:w="1088"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1</w:t>
            </w:r>
          </w:p>
        </w:tc>
        <w:tc>
          <w:tcPr>
            <w:tcW w:w="912"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54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22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1088"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2</w:t>
            </w:r>
          </w:p>
        </w:tc>
        <w:tc>
          <w:tcPr>
            <w:tcW w:w="912"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2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1088"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3</w:t>
            </w:r>
          </w:p>
        </w:tc>
        <w:tc>
          <w:tcPr>
            <w:tcW w:w="912"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2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1088"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4</w:t>
            </w:r>
          </w:p>
        </w:tc>
        <w:tc>
          <w:tcPr>
            <w:tcW w:w="912"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2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0"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3" w:hRule="atLeast"/>
          <w:jc w:val="center"/>
        </w:trPr>
        <w:tc>
          <w:tcPr>
            <w:tcW w:w="3000" w:type="dxa"/>
            <w:gridSpan w:val="3"/>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负责人：</w:t>
            </w: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2000" w:type="dxa"/>
            <w:gridSpan w:val="2"/>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填表人：</w:t>
            </w: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2760" w:type="dxa"/>
            <w:gridSpan w:val="2"/>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c>
          <w:tcPr>
            <w:tcW w:w="1000" w:type="dxa"/>
            <w:tcBorders>
              <w:top w:val="nil"/>
              <w:left w:val="nil"/>
              <w:bottom w:val="nil"/>
              <w:right w:val="nil"/>
            </w:tcBorders>
            <w:noWrap/>
            <w:vAlign w:val="center"/>
          </w:tcPr>
          <w:p>
            <w:pPr>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313" w:hRule="atLeast"/>
          <w:jc w:val="center"/>
        </w:trPr>
        <w:tc>
          <w:tcPr>
            <w:tcW w:w="14760" w:type="dxa"/>
            <w:gridSpan w:val="14"/>
            <w:tcBorders>
              <w:top w:val="nil"/>
              <w:left w:val="nil"/>
              <w:bottom w:val="nil"/>
              <w:right w:val="nil"/>
            </w:tcBorders>
            <w:noWrap w:val="0"/>
            <w:vAlign w:val="center"/>
          </w:tcPr>
          <w:p>
            <w:pPr>
              <w:ind w:firstLine="480" w:firstLineChars="200"/>
              <w:jc w:val="left"/>
              <w:rPr>
                <w:rFonts w:hint="eastAsia" w:ascii="仿宋_GB2312" w:hAnsi="宋体" w:eastAsia="仿宋_GB2312" w:cs="宋体"/>
                <w:color w:val="000000"/>
                <w:kern w:val="0"/>
                <w:sz w:val="24"/>
              </w:rPr>
            </w:pPr>
          </w:p>
          <w:p>
            <w:pPr>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说明：1．车辆具体位置要填写废弃汽车所在区、街镇、社区、路（道）号等详细地址点位。</w:t>
            </w:r>
          </w:p>
        </w:tc>
      </w:tr>
      <w:tr>
        <w:tblPrEx>
          <w:tblCellMar>
            <w:top w:w="0" w:type="dxa"/>
            <w:left w:w="108" w:type="dxa"/>
            <w:bottom w:w="0" w:type="dxa"/>
            <w:right w:w="108" w:type="dxa"/>
          </w:tblCellMar>
        </w:tblPrEx>
        <w:trPr>
          <w:trHeight w:val="313" w:hRule="atLeast"/>
          <w:jc w:val="center"/>
        </w:trPr>
        <w:tc>
          <w:tcPr>
            <w:tcW w:w="14760" w:type="dxa"/>
            <w:gridSpan w:val="14"/>
            <w:tcBorders>
              <w:top w:val="nil"/>
              <w:left w:val="nil"/>
              <w:bottom w:val="nil"/>
              <w:right w:val="nil"/>
            </w:tcBorders>
            <w:noWrap w:val="0"/>
            <w:vAlign w:val="center"/>
          </w:tcPr>
          <w:p>
            <w:pPr>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r>
              <w:rPr>
                <w:rFonts w:hint="eastAsia" w:ascii="仿宋_GB2312" w:hAnsi="Times New Roman" w:eastAsia="仿宋_GB2312"/>
                <w:color w:val="000000"/>
                <w:kern w:val="0"/>
                <w:sz w:val="24"/>
              </w:rPr>
              <w:t>2</w:t>
            </w:r>
            <w:r>
              <w:rPr>
                <w:rFonts w:hint="eastAsia" w:ascii="仿宋_GB2312" w:hAnsi="宋体" w:eastAsia="仿宋_GB2312" w:cs="宋体"/>
                <w:color w:val="000000"/>
                <w:kern w:val="0"/>
                <w:sz w:val="24"/>
              </w:rPr>
              <w:t>．外观状态是指车身灰尘遍布、外观残破、部件缺失、轮胎干瘪、轮毂锈蚀、未悬挂号牌等明显弃用特征。</w:t>
            </w:r>
          </w:p>
        </w:tc>
      </w:tr>
      <w:tr>
        <w:tblPrEx>
          <w:tblCellMar>
            <w:top w:w="0" w:type="dxa"/>
            <w:left w:w="108" w:type="dxa"/>
            <w:bottom w:w="0" w:type="dxa"/>
            <w:right w:w="108" w:type="dxa"/>
          </w:tblCellMar>
        </w:tblPrEx>
        <w:trPr>
          <w:trHeight w:val="300" w:hRule="atLeast"/>
          <w:jc w:val="center"/>
        </w:trPr>
        <w:tc>
          <w:tcPr>
            <w:tcW w:w="14760" w:type="dxa"/>
            <w:gridSpan w:val="14"/>
            <w:tcBorders>
              <w:top w:val="nil"/>
              <w:left w:val="nil"/>
              <w:bottom w:val="nil"/>
              <w:right w:val="nil"/>
            </w:tcBorders>
            <w:noWrap w:val="0"/>
            <w:vAlign w:val="center"/>
          </w:tcPr>
          <w:p>
            <w:pPr>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 每周四报送至邮箱1261647356@qq.com</w:t>
            </w:r>
          </w:p>
        </w:tc>
      </w:tr>
    </w:tbl>
    <w:p>
      <w:pPr>
        <w:pStyle w:val="8"/>
        <w:shd w:val="clear" w:color="auto" w:fill="FFFFFF"/>
        <w:spacing w:before="0" w:beforeAutospacing="0" w:after="0" w:afterAutospacing="0" w:line="560" w:lineRule="exact"/>
        <w:jc w:val="both"/>
        <w:rPr>
          <w:rFonts w:hint="eastAsia" w:ascii="仿宋_GB2312" w:hAnsi="宋体" w:eastAsia="仿宋_GB2312" w:cs="宋体"/>
          <w:color w:val="000000"/>
          <w:sz w:val="32"/>
          <w:szCs w:val="32"/>
          <w:shd w:val="clear" w:color="auto" w:fill="FFFFFF"/>
        </w:rPr>
      </w:pPr>
    </w:p>
    <w:p>
      <w:pPr>
        <w:pStyle w:val="8"/>
        <w:shd w:val="clear" w:color="auto" w:fill="FFFFFF"/>
        <w:spacing w:before="0" w:beforeAutospacing="0" w:after="0" w:afterAutospacing="0" w:line="560" w:lineRule="exact"/>
        <w:jc w:val="both"/>
        <w:rPr>
          <w:rFonts w:hint="eastAsia" w:ascii="仿宋_GB2312" w:hAnsi="宋体" w:eastAsia="仿宋_GB2312" w:cs="宋体"/>
          <w:color w:val="000000"/>
          <w:sz w:val="32"/>
          <w:szCs w:val="32"/>
          <w:shd w:val="clear" w:color="auto" w:fill="FFFFFF"/>
        </w:rPr>
      </w:pPr>
    </w:p>
    <w:tbl>
      <w:tblPr>
        <w:tblStyle w:val="9"/>
        <w:tblW w:w="14000" w:type="dxa"/>
        <w:jc w:val="center"/>
        <w:tblLayout w:type="autofit"/>
        <w:tblCellMar>
          <w:top w:w="0" w:type="dxa"/>
          <w:left w:w="108" w:type="dxa"/>
          <w:bottom w:w="0" w:type="dxa"/>
          <w:right w:w="108" w:type="dxa"/>
        </w:tblCellMar>
      </w:tblPr>
      <w:tblGrid>
        <w:gridCol w:w="1161"/>
        <w:gridCol w:w="839"/>
        <w:gridCol w:w="2000"/>
        <w:gridCol w:w="2000"/>
        <w:gridCol w:w="2000"/>
        <w:gridCol w:w="2000"/>
        <w:gridCol w:w="2000"/>
        <w:gridCol w:w="2000"/>
      </w:tblGrid>
      <w:tr>
        <w:tblPrEx>
          <w:tblCellMar>
            <w:top w:w="0" w:type="dxa"/>
            <w:left w:w="108" w:type="dxa"/>
            <w:bottom w:w="0" w:type="dxa"/>
            <w:right w:w="108" w:type="dxa"/>
          </w:tblCellMar>
        </w:tblPrEx>
        <w:trPr>
          <w:trHeight w:val="500" w:hRule="atLeast"/>
          <w:jc w:val="center"/>
        </w:trPr>
        <w:tc>
          <w:tcPr>
            <w:tcW w:w="1161" w:type="dxa"/>
            <w:tcBorders>
              <w:top w:val="nil"/>
              <w:left w:val="nil"/>
              <w:bottom w:val="nil"/>
              <w:right w:val="nil"/>
            </w:tcBorders>
            <w:noWrap/>
            <w:vAlign w:val="center"/>
          </w:tcPr>
          <w:p>
            <w:pPr>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tc>
        <w:tc>
          <w:tcPr>
            <w:tcW w:w="839"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c>
          <w:tcPr>
            <w:tcW w:w="2000" w:type="dxa"/>
            <w:tcBorders>
              <w:top w:val="nil"/>
              <w:left w:val="nil"/>
              <w:bottom w:val="nil"/>
              <w:right w:val="nil"/>
            </w:tcBorders>
            <w:noWrap/>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60" w:hRule="atLeast"/>
          <w:jc w:val="center"/>
        </w:trPr>
        <w:tc>
          <w:tcPr>
            <w:tcW w:w="14000" w:type="dxa"/>
            <w:gridSpan w:val="8"/>
            <w:tcBorders>
              <w:top w:val="nil"/>
              <w:left w:val="nil"/>
              <w:bottom w:val="nil"/>
              <w:right w:val="nil"/>
            </w:tcBorders>
            <w:noWrap/>
            <w:vAlign w:val="center"/>
          </w:tcPr>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保税区废弃汽车专项执法整治排查治理情况汇总表</w:t>
            </w:r>
          </w:p>
        </w:tc>
      </w:tr>
      <w:tr>
        <w:tblPrEx>
          <w:tblCellMar>
            <w:top w:w="0" w:type="dxa"/>
            <w:left w:w="108" w:type="dxa"/>
            <w:bottom w:w="0" w:type="dxa"/>
            <w:right w:w="108" w:type="dxa"/>
          </w:tblCellMar>
        </w:tblPrEx>
        <w:trPr>
          <w:trHeight w:val="343" w:hRule="atLeast"/>
          <w:jc w:val="center"/>
        </w:trPr>
        <w:tc>
          <w:tcPr>
            <w:tcW w:w="10000" w:type="dxa"/>
            <w:gridSpan w:val="6"/>
            <w:tcBorders>
              <w:top w:val="nil"/>
              <w:left w:val="nil"/>
              <w:bottom w:val="nil"/>
              <w:right w:val="nil"/>
            </w:tcBorders>
            <w:noWrap/>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填报单位：（盖章）</w:t>
            </w:r>
          </w:p>
        </w:tc>
        <w:tc>
          <w:tcPr>
            <w:tcW w:w="4000" w:type="dxa"/>
            <w:gridSpan w:val="2"/>
            <w:tcBorders>
              <w:top w:val="nil"/>
              <w:left w:val="nil"/>
              <w:bottom w:val="nil"/>
              <w:right w:val="nil"/>
            </w:tcBorders>
            <w:noWrap/>
            <w:vAlign w:val="center"/>
          </w:tcPr>
          <w:p>
            <w:pPr>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CellMar>
            <w:top w:w="0" w:type="dxa"/>
            <w:left w:w="108" w:type="dxa"/>
            <w:bottom w:w="0" w:type="dxa"/>
            <w:right w:w="108" w:type="dxa"/>
          </w:tblCellMar>
        </w:tblPrEx>
        <w:trPr>
          <w:trHeight w:val="965" w:hRule="atLeast"/>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839"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行政区</w:t>
            </w:r>
          </w:p>
        </w:tc>
        <w:tc>
          <w:tcPr>
            <w:tcW w:w="200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车辆排查数（辆）</w:t>
            </w:r>
          </w:p>
        </w:tc>
        <w:tc>
          <w:tcPr>
            <w:tcW w:w="4000" w:type="dxa"/>
            <w:gridSpan w:val="2"/>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废弃汽车排查情况</w:t>
            </w:r>
          </w:p>
        </w:tc>
        <w:tc>
          <w:tcPr>
            <w:tcW w:w="4000" w:type="dxa"/>
            <w:gridSpan w:val="2"/>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废弃汽车治理情况</w:t>
            </w:r>
          </w:p>
        </w:tc>
        <w:tc>
          <w:tcPr>
            <w:tcW w:w="2000"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CellMar>
            <w:top w:w="0" w:type="dxa"/>
            <w:left w:w="108" w:type="dxa"/>
            <w:bottom w:w="0" w:type="dxa"/>
            <w:right w:w="108" w:type="dxa"/>
          </w:tblCellMar>
        </w:tblPrEx>
        <w:trPr>
          <w:trHeight w:val="30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　</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　</w:t>
            </w:r>
          </w:p>
        </w:tc>
        <w:tc>
          <w:tcPr>
            <w:tcW w:w="2000" w:type="dxa"/>
            <w:tcBorders>
              <w:top w:val="nil"/>
              <w:left w:val="nil"/>
              <w:bottom w:val="single" w:color="auto" w:sz="4" w:space="0"/>
              <w:right w:val="single" w:color="auto" w:sz="4" w:space="0"/>
            </w:tcBorders>
            <w:noWrap w:val="0"/>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已确认数（辆）</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待确认数（辆）</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已治理数（辆）</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推动治理数（辆）</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黑体" w:eastAsia="仿宋_GB2312" w:cs="宋体"/>
                <w:color w:val="000000"/>
                <w:kern w:val="0"/>
                <w:sz w:val="24"/>
              </w:rPr>
            </w:pPr>
            <w:r>
              <w:rPr>
                <w:rFonts w:hint="eastAsia" w:ascii="仿宋_GB2312" w:hAnsi="黑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1</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2</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3</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4</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5</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6</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7</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8</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0" w:hRule="atLeast"/>
          <w:jc w:val="center"/>
        </w:trPr>
        <w:tc>
          <w:tcPr>
            <w:tcW w:w="116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9</w:t>
            </w:r>
          </w:p>
        </w:tc>
        <w:tc>
          <w:tcPr>
            <w:tcW w:w="83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000"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13" w:hRule="atLeast"/>
          <w:jc w:val="center"/>
        </w:trPr>
        <w:tc>
          <w:tcPr>
            <w:tcW w:w="4000" w:type="dxa"/>
            <w:gridSpan w:val="3"/>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负责人：</w:t>
            </w:r>
          </w:p>
        </w:tc>
        <w:tc>
          <w:tcPr>
            <w:tcW w:w="4000" w:type="dxa"/>
            <w:gridSpan w:val="2"/>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填表人：</w:t>
            </w:r>
          </w:p>
        </w:tc>
        <w:tc>
          <w:tcPr>
            <w:tcW w:w="4000" w:type="dxa"/>
            <w:gridSpan w:val="2"/>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000" w:type="dxa"/>
            <w:tcBorders>
              <w:top w:val="nil"/>
              <w:left w:val="nil"/>
              <w:bottom w:val="nil"/>
              <w:right w:val="nil"/>
            </w:tcBorders>
            <w:noWrap/>
            <w:vAlign w:val="center"/>
          </w:tcPr>
          <w:p>
            <w:pPr>
              <w:jc w:val="left"/>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25" w:hRule="atLeast"/>
          <w:jc w:val="center"/>
        </w:trPr>
        <w:tc>
          <w:tcPr>
            <w:tcW w:w="14000" w:type="dxa"/>
            <w:gridSpan w:val="8"/>
            <w:tcBorders>
              <w:top w:val="nil"/>
              <w:left w:val="nil"/>
              <w:bottom w:val="nil"/>
              <w:right w:val="nil"/>
            </w:tcBorders>
            <w:noWrap w:val="0"/>
            <w:vAlign w:val="center"/>
          </w:tcPr>
          <w:p>
            <w:pPr>
              <w:ind w:firstLine="480" w:firstLineChars="200"/>
              <w:jc w:val="left"/>
              <w:rPr>
                <w:rFonts w:hint="eastAsia" w:ascii="仿宋_GB2312" w:hAnsi="宋体" w:eastAsia="仿宋_GB2312" w:cs="宋体"/>
                <w:color w:val="000000"/>
                <w:kern w:val="0"/>
                <w:sz w:val="24"/>
              </w:rPr>
            </w:pPr>
          </w:p>
          <w:p>
            <w:pPr>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说明：1、车辆排查数是指在排查中已确认的废弃汽车、待确认的汽车和经确认排除是废弃汽车的车辆总数。</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          2、每周四报送至邮箱1261647356@qq.com</w:t>
            </w:r>
          </w:p>
        </w:tc>
      </w:tr>
    </w:tbl>
    <w:p>
      <w:pPr>
        <w:pStyle w:val="8"/>
        <w:shd w:val="clear" w:color="auto" w:fill="FFFFFF"/>
        <w:spacing w:before="0" w:beforeAutospacing="0" w:after="0" w:afterAutospacing="0" w:line="560" w:lineRule="exact"/>
        <w:ind w:firstLine="640" w:firstLineChars="200"/>
        <w:jc w:val="both"/>
        <w:rPr>
          <w:rFonts w:ascii="仿宋_GB2312" w:hAnsi="宋体" w:eastAsia="仿宋_GB2312" w:cs="宋体"/>
          <w:color w:val="000000"/>
          <w:sz w:val="32"/>
          <w:szCs w:val="32"/>
          <w:shd w:val="clear" w:color="auto" w:fill="FFFFFF"/>
        </w:rPr>
        <w:sectPr>
          <w:pgSz w:w="16838" w:h="11906" w:orient="landscape"/>
          <w:pgMar w:top="1588" w:right="2098" w:bottom="1474" w:left="1928" w:header="851" w:footer="992" w:gutter="0"/>
          <w:cols w:space="720" w:num="1"/>
          <w:docGrid w:type="lines" w:linePitch="312" w:charSpace="0"/>
        </w:sectPr>
      </w:pPr>
    </w:p>
    <w:p>
      <w:pPr>
        <w:tabs>
          <w:tab w:val="left" w:pos="4858"/>
        </w:tabs>
        <w:spacing w:line="40" w:lineRule="exact"/>
        <w:rPr>
          <w:rFonts w:hint="eastAsia" w:ascii="仿宋_GB2312" w:hAnsi="仿宋_GB2312"/>
          <w:color w:val="000000"/>
          <w:szCs w:val="32"/>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0" w:firstLineChars="0"/>
        <w:rPr>
          <w:rFonts w:hint="eastAsia"/>
        </w:rPr>
      </w:pPr>
    </w:p>
    <w:p>
      <w:pPr>
        <w:pStyle w:val="2"/>
        <w:spacing w:line="300" w:lineRule="exact"/>
        <w:ind w:firstLine="400"/>
        <w:rPr>
          <w:rFonts w:hint="eastAsia"/>
        </w:rPr>
      </w:pPr>
    </w:p>
    <w:p>
      <w:pPr>
        <w:pStyle w:val="2"/>
        <w:spacing w:line="300" w:lineRule="exact"/>
        <w:ind w:firstLine="400"/>
        <w:rPr>
          <w:rFonts w:hint="eastAsia"/>
        </w:rPr>
      </w:pPr>
    </w:p>
    <w:p>
      <w:pPr>
        <w:pStyle w:val="2"/>
        <w:spacing w:line="240" w:lineRule="exact"/>
        <w:ind w:firstLine="400"/>
        <w:rPr>
          <w:rFonts w:hint="eastAsia"/>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142"/>
          <w:tab w:val="left" w:pos="284"/>
          <w:tab w:val="left" w:pos="426"/>
          <w:tab w:val="left" w:pos="4858"/>
          <w:tab w:val="left" w:pos="8080"/>
          <w:tab w:val="left" w:pos="8505"/>
        </w:tabs>
        <w:spacing w:line="540" w:lineRule="exact"/>
        <w:ind w:firstLine="260" w:firstLineChars="10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410210</wp:posOffset>
                </wp:positionV>
                <wp:extent cx="5615940" cy="0"/>
                <wp:effectExtent l="0" t="9525" r="3810" b="9525"/>
                <wp:wrapNone/>
                <wp:docPr id="2" name="直线 9"/>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2.3pt;height:0pt;width:442.2pt;z-index:251660288;mso-width-relative:page;mso-height-relative:page;" filled="f" stroked="t" coordsize="21600,21600" o:gfxdata="UEsDBAoAAAAAAIdO4kAAAAAAAAAAAAAAAAAEAAAAZHJzL1BLAwQUAAAACACHTuJA4dqLb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2otu0wAAAAYB&#10;AAAPAAAAAAAAAAEAIAAAACIAAABkcnMvZG93bnJldi54bWxQSwECFAAUAAAACACHTuJAMyZuQucB&#10;AADcAwAADgAAAAAAAAABACAAAAAiAQAAZHJzL2Uyb0RvYy54bWxQSwUGAAAAAAYABgBZAQAAewUA&#10;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000000"/>
          <w:spacing w:val="-10"/>
          <w:sz w:val="28"/>
          <w:szCs w:val="28"/>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27940</wp:posOffset>
                </wp:positionV>
                <wp:extent cx="5615305" cy="0"/>
                <wp:effectExtent l="0" t="0" r="0" b="0"/>
                <wp:wrapNone/>
                <wp:docPr id="1" name="直线 4"/>
                <wp:cNvGraphicFramePr/>
                <a:graphic xmlns:a="http://schemas.openxmlformats.org/drawingml/2006/main">
                  <a:graphicData uri="http://schemas.microsoft.com/office/word/2010/wordprocessingShape">
                    <wps:wsp>
                      <wps:cNvSpPr/>
                      <wps:spPr>
                        <a:xfrm>
                          <a:off x="0" y="0"/>
                          <a:ext cx="561530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2pt;height:0pt;width:442.15pt;z-index:251659264;mso-width-relative:page;mso-height-relative:page;" filled="f" stroked="t" coordsize="21600,21600" o:allowincell="f" o:gfxdata="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3rPGNEAAAAEAQAA&#10;DwAAAAAAAAABACAAAAAiAAAAZHJzL2Rvd25yZXYueG1sUEsBAhQAFAAAAAgAh07iQHmWstvnAQAA&#10;2wMAAA4AAAAAAAAAAQAgAAAAIAEAAGRycy9lMm9Eb2MueG1sUEsFBgAAAAAGAAYAWQEAAHkFAAAA&#10;AA==&#10;">
                <v:fill on="f" focussize="0,0"/>
                <v:stroke weight="0.25pt" color="#000000" joinstyle="round"/>
                <v:imagedata o:title=""/>
                <o:lock v:ext="edit" aspectratio="f"/>
              </v:line>
            </w:pict>
          </mc:Fallback>
        </mc:AlternateContent>
      </w:r>
      <w:r>
        <w:rPr>
          <w:rFonts w:hint="eastAsia" w:ascii="仿宋_GB2312" w:hAnsi="仿宋_GB2312" w:eastAsia="仿宋_GB2312" w:cs="仿宋_GB2312"/>
          <w:color w:val="000000"/>
          <w:spacing w:val="-10"/>
          <w:sz w:val="28"/>
          <w:szCs w:val="28"/>
        </w:rPr>
        <w:t xml:space="preserve">天津港保税区党委办公室（管委会办公室）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20"/>
          <w:sz w:val="28"/>
          <w:szCs w:val="28"/>
        </w:rPr>
        <w:t>2023年5月9日印发</w:t>
      </w:r>
    </w:p>
    <w:sectPr>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71AB4164"/>
    <w:rsid w:val="000F4FCA"/>
    <w:rsid w:val="00177145"/>
    <w:rsid w:val="00221C04"/>
    <w:rsid w:val="003300D0"/>
    <w:rsid w:val="0039421D"/>
    <w:rsid w:val="003D3409"/>
    <w:rsid w:val="006A24C0"/>
    <w:rsid w:val="00863B0B"/>
    <w:rsid w:val="009559DF"/>
    <w:rsid w:val="00B1281B"/>
    <w:rsid w:val="00B81B67"/>
    <w:rsid w:val="00D6357E"/>
    <w:rsid w:val="00F74C0B"/>
    <w:rsid w:val="03546191"/>
    <w:rsid w:val="13854144"/>
    <w:rsid w:val="1CBF2244"/>
    <w:rsid w:val="2ED53490"/>
    <w:rsid w:val="3A6FACF5"/>
    <w:rsid w:val="3BB40A12"/>
    <w:rsid w:val="3F7F7B16"/>
    <w:rsid w:val="537FBA41"/>
    <w:rsid w:val="5DFD1C14"/>
    <w:rsid w:val="5FE7AA5B"/>
    <w:rsid w:val="6777FF67"/>
    <w:rsid w:val="6957F3D1"/>
    <w:rsid w:val="71AB4164"/>
    <w:rsid w:val="77F5E0C3"/>
    <w:rsid w:val="7BF6B6D9"/>
    <w:rsid w:val="7CFEBC17"/>
    <w:rsid w:val="7E6F57BE"/>
    <w:rsid w:val="7FC15FD4"/>
    <w:rsid w:val="7FFA3CCB"/>
    <w:rsid w:val="AF2DA2B3"/>
    <w:rsid w:val="AF7F55F7"/>
    <w:rsid w:val="BBB59CCF"/>
    <w:rsid w:val="BFFEBC4C"/>
    <w:rsid w:val="D9FB7939"/>
    <w:rsid w:val="DF5E829A"/>
    <w:rsid w:val="F0FBDF1A"/>
    <w:rsid w:val="FF9D6529"/>
    <w:rsid w:val="FFBFAE3E"/>
    <w:rsid w:val="FFE6EC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99"/>
    <w:pPr>
      <w:spacing w:after="0" w:line="360" w:lineRule="auto"/>
      <w:ind w:left="0" w:leftChars="0" w:firstLine="420" w:firstLineChars="200"/>
    </w:pPr>
    <w:rPr>
      <w:rFonts w:ascii="宋体" w:hAnsi="宋体"/>
      <w:sz w:val="20"/>
      <w:szCs w:val="20"/>
    </w:rPr>
  </w:style>
  <w:style w:type="paragraph" w:styleId="3">
    <w:name w:val="Body Text Indent"/>
    <w:basedOn w:val="1"/>
    <w:qFormat/>
    <w:uiPriority w:val="99"/>
    <w:pPr>
      <w:spacing w:after="120"/>
      <w:ind w:left="420" w:leftChars="200"/>
    </w:pPr>
    <w:rPr>
      <w:kern w:val="0"/>
      <w:sz w:val="24"/>
    </w:r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批注框文本 Char"/>
    <w:basedOn w:val="10"/>
    <w:link w:val="4"/>
    <w:qFormat/>
    <w:uiPriority w:val="0"/>
    <w:rPr>
      <w:kern w:val="2"/>
      <w:sz w:val="18"/>
      <w:szCs w:val="18"/>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4879</Words>
  <Characters>5006</Characters>
  <Lines>39</Lines>
  <Paragraphs>11</Paragraphs>
  <TotalTime>11.3333333333333</TotalTime>
  <ScaleCrop>false</ScaleCrop>
  <LinksUpToDate>false</LinksUpToDate>
  <CharactersWithSpaces>5203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2023-03-26T10:33:00Z</dcterms:created>
  <dc:creator>快乐的哇哈哈</dc:creator>
  <cp:lastModifiedBy>拾雲</cp:lastModifiedBy>
  <dcterms:modified xsi:type="dcterms:W3CDTF">2023-05-17T01:14:24Z</dcterms:modified>
  <dc:title>关于印发《天津港废弃汽车专项治理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F581D5AE45274673AA8F3DB99E19BCCD_13</vt:lpwstr>
  </property>
</Properties>
</file>