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Times New Roman" w:eastAsia="方正小标宋简体"/>
          <w:color w:val="000000"/>
          <w:spacing w:val="-6"/>
          <w:sz w:val="44"/>
          <w:szCs w:val="44"/>
        </w:rPr>
      </w:pPr>
    </w:p>
    <w:p>
      <w:pPr>
        <w:spacing w:line="640" w:lineRule="exact"/>
        <w:jc w:val="center"/>
        <w:rPr>
          <w:rFonts w:hint="eastAsia" w:ascii="方正小标宋简体" w:hAnsi="方正小标宋简体" w:eastAsia="方正小标宋简体" w:cs="方正小标宋简体"/>
          <w:b w:val="0"/>
          <w:bCs w:val="0"/>
          <w:color w:val="000000"/>
          <w:spacing w:val="-6"/>
          <w:sz w:val="44"/>
          <w:szCs w:val="44"/>
        </w:rPr>
      </w:pPr>
      <w:r>
        <w:rPr>
          <w:rFonts w:ascii="方正小标宋简体" w:hAnsi="华文中宋" w:eastAsia="方正小标宋简体"/>
          <w:color w:val="000000"/>
          <w:spacing w:val="-18"/>
          <w:sz w:val="44"/>
          <w:szCs w:val="44"/>
        </w:rPr>
        <w:t>天津港保税区管理委员会</w:t>
      </w:r>
      <w:r>
        <w:rPr>
          <w:rFonts w:hint="eastAsia" w:ascii="方正小标宋简体" w:hAnsi="方正小标宋简体" w:eastAsia="方正小标宋简体" w:cs="方正小标宋简体"/>
          <w:b w:val="0"/>
          <w:bCs w:val="0"/>
          <w:color w:val="000000"/>
          <w:spacing w:val="-18"/>
          <w:sz w:val="44"/>
          <w:szCs w:val="44"/>
        </w:rPr>
        <w:t>关于印发《天津港保税区</w:t>
      </w:r>
      <w:r>
        <w:rPr>
          <w:rFonts w:hint="eastAsia" w:ascii="方正小标宋简体" w:hAnsi="方正小标宋简体" w:eastAsia="方正小标宋简体" w:cs="方正小标宋简体"/>
          <w:b w:val="0"/>
          <w:bCs w:val="0"/>
          <w:color w:val="000000"/>
          <w:spacing w:val="-6"/>
          <w:sz w:val="44"/>
          <w:szCs w:val="44"/>
        </w:rPr>
        <w:t>工业厂房销售管理实施方案》的通知</w:t>
      </w:r>
    </w:p>
    <w:p>
      <w:pPr>
        <w:spacing w:line="560" w:lineRule="exact"/>
        <w:ind w:firstLine="640" w:firstLineChars="200"/>
        <w:jc w:val="both"/>
        <w:rPr>
          <w:rFonts w:hint="eastAsia" w:ascii="仿宋_GB2312" w:hAnsi="Times New Roman" w:eastAsia="仿宋_GB2312"/>
          <w:color w:val="000000"/>
          <w:spacing w:val="0"/>
          <w:sz w:val="32"/>
          <w:szCs w:val="32"/>
        </w:rPr>
      </w:pPr>
    </w:p>
    <w:p>
      <w:pPr>
        <w:spacing w:line="560" w:lineRule="exact"/>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各有关单位：</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为贯彻落实《市住房城乡建设委关于支持工业厂房销售推动高端产业集聚发展的通知》（津住建发〔2021〕9号，以下简称《通知》），支持产业园区提升新动能承载力，推动高端产业集聚发展，结合保税区实际，现制定保税区工业厂房销售管理工作实施方案。</w:t>
      </w:r>
    </w:p>
    <w:p>
      <w:pPr>
        <w:numPr>
          <w:ilvl w:val="0"/>
          <w:numId w:val="0"/>
        </w:numPr>
        <w:spacing w:line="560" w:lineRule="exact"/>
        <w:ind w:firstLine="640" w:firstLineChars="200"/>
        <w:jc w:val="both"/>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rPr>
        <w:t>一、适用范围</w:t>
      </w:r>
    </w:p>
    <w:p>
      <w:pPr>
        <w:pStyle w:val="4"/>
        <w:widowControl w:val="0"/>
        <w:spacing w:before="0" w:beforeAutospacing="0" w:after="0" w:afterAutospacing="0" w:line="560" w:lineRule="exact"/>
        <w:ind w:firstLine="640" w:firstLineChars="200"/>
        <w:jc w:val="both"/>
        <w:rPr>
          <w:rFonts w:hint="eastAsia" w:ascii="仿宋_GB2312" w:hAnsi="宋体" w:cs="宋体"/>
          <w:color w:val="000000"/>
          <w:spacing w:val="0"/>
          <w:kern w:val="2"/>
          <w:sz w:val="32"/>
          <w:szCs w:val="32"/>
        </w:rPr>
      </w:pPr>
      <w:r>
        <w:rPr>
          <w:rFonts w:hint="eastAsia" w:ascii="仿宋_GB2312" w:hAnsi="宋体" w:cs="宋体"/>
          <w:color w:val="000000"/>
          <w:spacing w:val="0"/>
          <w:kern w:val="2"/>
          <w:sz w:val="32"/>
          <w:szCs w:val="32"/>
        </w:rPr>
        <w:t>天津港保税区（含空港、临港、海港）区域范围内，土地用途为工业用地，并按规划部门审定的建设工程设计方案实施建设，且主体结构已封顶的新建工业厂房（不包括已办理不动产首次登记的项目）的销售及再次转让行为。</w:t>
      </w:r>
    </w:p>
    <w:p>
      <w:pPr>
        <w:spacing w:line="560" w:lineRule="exact"/>
        <w:ind w:firstLine="640" w:firstLineChars="200"/>
        <w:jc w:val="both"/>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rPr>
        <w:t>二、政策要求</w:t>
      </w:r>
    </w:p>
    <w:p>
      <w:pPr>
        <w:pStyle w:val="4"/>
        <w:widowControl w:val="0"/>
        <w:spacing w:before="0" w:beforeAutospacing="0" w:after="0" w:afterAutospacing="0" w:line="560" w:lineRule="exact"/>
        <w:ind w:firstLine="640" w:firstLineChars="200"/>
        <w:jc w:val="both"/>
        <w:rPr>
          <w:rFonts w:hint="eastAsia" w:ascii="仿宋_GB2312" w:hAnsi="宋体" w:cs="宋体"/>
          <w:color w:val="000000"/>
          <w:spacing w:val="0"/>
          <w:kern w:val="2"/>
          <w:sz w:val="32"/>
          <w:szCs w:val="32"/>
        </w:rPr>
      </w:pPr>
      <w:r>
        <w:rPr>
          <w:rFonts w:hint="eastAsia" w:ascii="仿宋_GB2312" w:hAnsi="宋体" w:cs="宋体"/>
          <w:color w:val="000000"/>
          <w:spacing w:val="0"/>
          <w:kern w:val="2"/>
          <w:sz w:val="32"/>
          <w:szCs w:val="32"/>
        </w:rPr>
        <w:t>（一）工业厂房销售，应当符合国家、天津市、滨海新区相关规定及保税区产业定位等指标要求。申请工业销售的项目，原则上应为房地产开发类，即固定资产投资备案行业类别应为“房地产K类”。固定资产投资备案行业类别为其他类型（如工业制造、工业研发等）,需经管委会批准后，方可办理申请销售手续。</w:t>
      </w:r>
    </w:p>
    <w:p>
      <w:pPr>
        <w:pStyle w:val="4"/>
        <w:widowControl w:val="0"/>
        <w:spacing w:before="0" w:beforeAutospacing="0" w:after="0" w:afterAutospacing="0" w:line="560" w:lineRule="exact"/>
        <w:ind w:firstLine="640" w:firstLineChars="200"/>
        <w:jc w:val="both"/>
        <w:rPr>
          <w:rFonts w:hint="eastAsia" w:ascii="仿宋_GB2312" w:hAnsi="宋体" w:cs="宋体"/>
          <w:color w:val="000000"/>
          <w:spacing w:val="0"/>
          <w:kern w:val="2"/>
          <w:sz w:val="32"/>
          <w:szCs w:val="32"/>
        </w:rPr>
      </w:pPr>
      <w:r>
        <w:rPr>
          <w:rFonts w:hint="eastAsia" w:ascii="仿宋_GB2312" w:hAnsi="宋体" w:cs="宋体"/>
          <w:color w:val="000000"/>
          <w:spacing w:val="0"/>
          <w:kern w:val="2"/>
          <w:sz w:val="32"/>
          <w:szCs w:val="32"/>
        </w:rPr>
        <w:t>（二）工业厂房可以按幢、层或套进行销售，原则上最小销售单元建筑面积不得小于500平方米。2020年8月1日前已取得建筑工程施工许可证的工业厂房，最小销售单元建筑面积不得小于300平方米。</w:t>
      </w:r>
    </w:p>
    <w:p>
      <w:pPr>
        <w:pStyle w:val="4"/>
        <w:widowControl w:val="0"/>
        <w:spacing w:before="0" w:beforeAutospacing="0" w:after="0" w:afterAutospacing="0" w:line="560" w:lineRule="exact"/>
        <w:ind w:firstLine="640" w:firstLineChars="200"/>
        <w:jc w:val="both"/>
        <w:rPr>
          <w:rFonts w:hint="eastAsia" w:ascii="仿宋_GB2312" w:hAnsi="宋体" w:cs="宋体"/>
          <w:color w:val="000000"/>
          <w:spacing w:val="0"/>
          <w:sz w:val="32"/>
          <w:szCs w:val="32"/>
        </w:rPr>
      </w:pPr>
      <w:r>
        <w:rPr>
          <w:rFonts w:hint="eastAsia" w:ascii="仿宋_GB2312" w:hAnsi="宋体" w:cs="宋体"/>
          <w:color w:val="000000"/>
          <w:spacing w:val="0"/>
          <w:kern w:val="2"/>
          <w:sz w:val="32"/>
          <w:szCs w:val="32"/>
        </w:rPr>
        <w:t>（三）办理商品房销售许可的工业厂房须达到</w:t>
      </w:r>
      <w:r>
        <w:rPr>
          <w:rFonts w:hint="eastAsia" w:ascii="仿宋_GB2312" w:hAnsi="宋体" w:cs="宋体"/>
          <w:color w:val="000000"/>
          <w:spacing w:val="0"/>
          <w:sz w:val="32"/>
          <w:szCs w:val="32"/>
        </w:rPr>
        <w:t>建筑主体结构封顶。</w:t>
      </w:r>
    </w:p>
    <w:p>
      <w:pPr>
        <w:pStyle w:val="4"/>
        <w:widowControl w:val="0"/>
        <w:spacing w:before="0" w:beforeAutospacing="0" w:after="0" w:afterAutospacing="0" w:line="560" w:lineRule="exact"/>
        <w:ind w:firstLine="640" w:firstLineChars="200"/>
        <w:jc w:val="both"/>
        <w:rPr>
          <w:rFonts w:hint="eastAsia" w:ascii="仿宋_GB2312" w:hAnsi="宋体" w:cs="宋体"/>
          <w:color w:val="000000"/>
          <w:spacing w:val="0"/>
          <w:sz w:val="32"/>
          <w:szCs w:val="32"/>
        </w:rPr>
      </w:pPr>
      <w:r>
        <w:rPr>
          <w:rFonts w:hint="eastAsia" w:ascii="仿宋_GB2312" w:hAnsi="宋体" w:cs="宋体"/>
          <w:color w:val="000000"/>
          <w:spacing w:val="0"/>
          <w:sz w:val="32"/>
          <w:szCs w:val="32"/>
        </w:rPr>
        <w:t>（四）工业厂房购买对象及再次转让的工业厂房买受人，原则上应为在保税区依法注册登记的独立法人企业，并符合保税区管委会对于项目产业类别的要求。</w:t>
      </w:r>
    </w:p>
    <w:p>
      <w:pPr>
        <w:spacing w:line="560" w:lineRule="exact"/>
        <w:ind w:firstLine="640" w:firstLineChars="200"/>
        <w:jc w:val="both"/>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rPr>
        <w:t>三、办理程序</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一）对《通知》印发之前已开工建设的非“房地产K类”工业项目申请办理销售手续的，原招商单位应组织发改、规建等部门，从产业定位、规划内容等方面对工业厂房销售可行性进行论证，并报请管委会审议。审议通过的，由管委会出具《同意办理商品房销售许可证的函》（附件1）。对《通知》印发之后新开工建设的工业项目，由项目招商单位向管委会提出销售申请，并取得管委会出具的《同意办理商品房销售许可证的函》。</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（二）工业项目开发建设单位，持《同意办理商品房销售许可证的函》及相关要件，向新区住建委申请办理工业厂房销售许可证。</w:t>
      </w:r>
    </w:p>
    <w:p>
      <w:pPr>
        <w:pStyle w:val="4"/>
        <w:widowControl w:val="0"/>
        <w:spacing w:before="0" w:beforeAutospacing="0" w:after="0" w:afterAutospacing="0" w:line="560" w:lineRule="exact"/>
        <w:ind w:firstLine="640" w:firstLineChars="200"/>
        <w:jc w:val="both"/>
        <w:rPr>
          <w:rFonts w:hint="eastAsia" w:ascii="仿宋_GB2312" w:hAnsi="宋体" w:cs="宋体"/>
          <w:color w:val="000000"/>
          <w:spacing w:val="0"/>
          <w:sz w:val="32"/>
          <w:szCs w:val="32"/>
        </w:rPr>
      </w:pPr>
      <w:r>
        <w:rPr>
          <w:rFonts w:hint="eastAsia" w:ascii="仿宋_GB2312" w:hAnsi="宋体" w:cs="宋体"/>
          <w:color w:val="000000"/>
          <w:spacing w:val="0"/>
          <w:sz w:val="32"/>
          <w:szCs w:val="32"/>
        </w:rPr>
        <w:t>（三）招商单位对工业厂房意向购买企业，向发改局申请进行入区评估。经评估符合入区条件的，由招商单位出具《企业购房资格确认单》（附件2），并将相关信息向投促局报备。对于无招商单位，自行购买工业厂房的企业，由投促局组织项目向发改局进行入区评估。</w:t>
      </w:r>
    </w:p>
    <w:p>
      <w:pPr>
        <w:pStyle w:val="4"/>
        <w:widowControl w:val="0"/>
        <w:spacing w:before="0" w:beforeAutospacing="0" w:after="0" w:afterAutospacing="0" w:line="560" w:lineRule="exact"/>
        <w:ind w:firstLine="640" w:firstLineChars="200"/>
        <w:jc w:val="both"/>
        <w:rPr>
          <w:rFonts w:hint="eastAsia" w:ascii="仿宋_GB2312" w:hAnsi="宋体" w:cs="宋体"/>
          <w:color w:val="000000"/>
          <w:spacing w:val="0"/>
          <w:sz w:val="32"/>
          <w:szCs w:val="32"/>
        </w:rPr>
      </w:pPr>
      <w:r>
        <w:rPr>
          <w:rFonts w:hint="eastAsia" w:ascii="仿宋_GB2312" w:hAnsi="宋体" w:cs="宋体"/>
          <w:color w:val="000000"/>
          <w:spacing w:val="0"/>
          <w:sz w:val="32"/>
          <w:szCs w:val="32"/>
        </w:rPr>
        <w:t>（四）规建局依据招商单位出具的《企业购房资格确认单》，将购买企业的名称、机构代码证号等信息录入天津市商品房销售审批系统或存量房屋网签系统。</w:t>
      </w:r>
    </w:p>
    <w:p>
      <w:pPr>
        <w:spacing w:line="560" w:lineRule="exact"/>
        <w:ind w:firstLine="640" w:firstLineChars="200"/>
        <w:jc w:val="both"/>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rPr>
        <w:t>四、相关规定</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（一）购买工业厂房的企业，不得擅自变更用途。如企业对已竣工投入使用的工业厂房进行装修改造的，须办理建筑工程施工许可证，办理质量安全、消防审批手续，依法进行工程建设、消防验收等手续。</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（二）为保障安全有序，便于运营管理，工业项目宜以幢、层为单位进行销售。对单层面积过大有按套销售需求的企业，应在销售方案中提出需求并阐明原因，论证通过后方可办理相关手续。</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（三）工业厂房开发建设单位出租已取得销售许可证的工业厂房，应会同招商单位参照购买程序，对承租单位履行入区评估。经评估符合入区条件的，方可签订工业厂房租赁合同，并办理租赁备案手续。</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四）工业厂房开发建设单位，应当负责保障、维护项目配套设施，聘请专业物业服务公司承担项目物业管理工作，满足入驻企业需求。鼓励开发建设单位开展售后运营管理，为入驻企业搭建创业辅导、政策对接、投融资服务、市场开拓等公共服务平台。</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本方案自印发之日起实施。</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特此通知。</w:t>
      </w:r>
    </w:p>
    <w:p>
      <w:pPr>
        <w:spacing w:line="560" w:lineRule="exact"/>
        <w:ind w:firstLine="640" w:firstLineChars="200"/>
        <w:jc w:val="both"/>
        <w:rPr>
          <w:rFonts w:hint="eastAsia" w:ascii="仿宋_GB2312" w:hAnsi="宋体" w:eastAsia="仿宋_GB2312" w:cs="宋体"/>
          <w:color w:val="000000"/>
          <w:spacing w:val="0"/>
          <w:sz w:val="32"/>
          <w:szCs w:val="32"/>
        </w:rPr>
      </w:pPr>
    </w:p>
    <w:p>
      <w:pPr>
        <w:spacing w:line="560" w:lineRule="exact"/>
        <w:ind w:firstLine="640" w:firstLineChars="200"/>
        <w:jc w:val="both"/>
        <w:rPr>
          <w:rFonts w:hint="eastAsia" w:ascii="仿宋_GB2312" w:hAnsi="华文中宋" w:eastAsia="仿宋_GB2312" w:cs="华文中宋"/>
          <w:b w:val="0"/>
          <w:color w:val="000000"/>
          <w:spacing w:val="0"/>
          <w:sz w:val="32"/>
          <w:szCs w:val="32"/>
        </w:rPr>
      </w:pPr>
      <w:r>
        <w:rPr>
          <w:rFonts w:hint="eastAsia" w:ascii="仿宋_GB2312" w:hAnsi="宋体" w:eastAsia="仿宋_GB2312" w:cs="宋体"/>
          <w:color w:val="000000"/>
          <w:spacing w:val="0"/>
          <w:sz w:val="32"/>
          <w:szCs w:val="32"/>
        </w:rPr>
        <w:t>附件：1.关于同意办理商品房销售许可证的函</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 xml:space="preserve">      2.企业购房资格确认单</w:t>
      </w:r>
    </w:p>
    <w:p>
      <w:pPr>
        <w:spacing w:line="560" w:lineRule="exact"/>
        <w:ind w:firstLine="640" w:firstLineChars="20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 xml:space="preserve">     </w:t>
      </w:r>
    </w:p>
    <w:p>
      <w:pPr>
        <w:spacing w:line="560" w:lineRule="exact"/>
        <w:ind w:firstLine="640" w:firstLineChars="200"/>
        <w:jc w:val="both"/>
        <w:rPr>
          <w:rFonts w:hint="eastAsia" w:ascii="仿宋_GB2312" w:hAnsi="宋体" w:eastAsia="仿宋_GB2312" w:cs="宋体"/>
          <w:color w:val="000000"/>
          <w:spacing w:val="0"/>
          <w:sz w:val="32"/>
          <w:szCs w:val="32"/>
        </w:rPr>
      </w:pPr>
    </w:p>
    <w:p>
      <w:pPr>
        <w:spacing w:line="560" w:lineRule="exact"/>
        <w:ind w:firstLine="640" w:firstLineChars="200"/>
        <w:jc w:val="both"/>
        <w:rPr>
          <w:rFonts w:hint="eastAsia" w:ascii="仿宋_GB2312" w:hAnsi="宋体" w:eastAsia="仿宋_GB2312" w:cs="宋体"/>
          <w:color w:val="000000"/>
          <w:spacing w:val="0"/>
          <w:sz w:val="32"/>
          <w:szCs w:val="32"/>
        </w:rPr>
      </w:pPr>
    </w:p>
    <w:p>
      <w:pPr>
        <w:spacing w:line="560" w:lineRule="exact"/>
        <w:ind w:firstLine="640" w:firstLineChars="200"/>
        <w:jc w:val="both"/>
        <w:rPr>
          <w:rFonts w:hint="eastAsia" w:ascii="仿宋_GB2312" w:hAnsi="宋体" w:eastAsia="仿宋_GB2312" w:cs="宋体"/>
          <w:color w:val="000000"/>
          <w:spacing w:val="0"/>
          <w:sz w:val="32"/>
          <w:szCs w:val="32"/>
        </w:rPr>
      </w:pPr>
    </w:p>
    <w:p>
      <w:pPr>
        <w:spacing w:line="560" w:lineRule="exact"/>
        <w:ind w:firstLine="4960" w:firstLineChars="1550"/>
        <w:jc w:val="both"/>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2023年11月2</w:t>
      </w:r>
      <w:r>
        <w:rPr>
          <w:rFonts w:hint="default" w:ascii="仿宋_GB2312" w:hAnsi="宋体" w:eastAsia="仿宋_GB2312" w:cs="宋体"/>
          <w:color w:val="000000"/>
          <w:spacing w:val="0"/>
          <w:sz w:val="32"/>
          <w:szCs w:val="32"/>
        </w:rPr>
        <w:t>4</w:t>
      </w:r>
      <w:r>
        <w:rPr>
          <w:rFonts w:hint="eastAsia" w:ascii="仿宋_GB2312" w:hAnsi="宋体" w:eastAsia="仿宋_GB2312" w:cs="宋体"/>
          <w:color w:val="000000"/>
          <w:spacing w:val="0"/>
          <w:sz w:val="32"/>
          <w:szCs w:val="32"/>
        </w:rPr>
        <w:t>日</w:t>
      </w:r>
    </w:p>
    <w:p>
      <w:pPr>
        <w:spacing w:line="500" w:lineRule="exact"/>
        <w:ind w:firstLine="640" w:firstLineChars="200"/>
        <w:rPr>
          <w:rFonts w:hint="eastAsia" w:ascii="仿宋_GB2312" w:hAnsi="宋体" w:eastAsia="仿宋_GB2312" w:cs="宋体"/>
          <w:color w:val="000000"/>
          <w:spacing w:val="0"/>
          <w:sz w:val="32"/>
          <w:szCs w:val="32"/>
        </w:rPr>
      </w:pPr>
      <w:r>
        <w:rPr>
          <w:rFonts w:hint="eastAsia" w:ascii="仿宋_GB2312" w:hAnsi="宋体" w:eastAsia="仿宋_GB2312" w:cs="宋体"/>
          <w:color w:val="000000"/>
          <w:spacing w:val="0"/>
          <w:sz w:val="32"/>
          <w:szCs w:val="32"/>
        </w:rPr>
        <w:t>（此件主动公开）</w:t>
      </w:r>
    </w:p>
    <w:p>
      <w:pPr>
        <w:spacing w:line="560" w:lineRule="exact"/>
        <w:ind w:firstLine="4960" w:firstLineChars="1550"/>
        <w:jc w:val="both"/>
        <w:rPr>
          <w:rFonts w:hint="eastAsia" w:ascii="仿宋_GB2312" w:hAnsi="宋体" w:eastAsia="仿宋_GB2312" w:cs="宋体"/>
          <w:color w:val="000000"/>
          <w:spacing w:val="0"/>
          <w:sz w:val="32"/>
          <w:szCs w:val="32"/>
        </w:rPr>
      </w:pPr>
    </w:p>
    <w:p>
      <w:pPr>
        <w:spacing w:line="240" w:lineRule="atLeast"/>
        <w:jc w:val="left"/>
        <w:rPr>
          <w:rFonts w:hint="eastAsia" w:ascii="仿宋_GB2312" w:hAnsi="宋体" w:eastAsia="仿宋_GB2312" w:cs="宋体"/>
          <w:spacing w:val="-6"/>
          <w:sz w:val="32"/>
          <w:szCs w:val="32"/>
        </w:rPr>
      </w:pPr>
    </w:p>
    <w:p>
      <w:pPr>
        <w:spacing w:line="560" w:lineRule="exact"/>
        <w:jc w:val="left"/>
        <w:rPr>
          <w:rFonts w:hint="eastAsia" w:ascii="黑体" w:hAnsi="黑体" w:eastAsia="黑体" w:cs="宋体"/>
          <w:spacing w:val="-6"/>
          <w:sz w:val="32"/>
          <w:szCs w:val="32"/>
        </w:rPr>
      </w:pPr>
      <w:r>
        <w:rPr>
          <w:rFonts w:hint="eastAsia" w:ascii="黑体" w:hAnsi="黑体" w:eastAsia="黑体" w:cs="宋体"/>
          <w:spacing w:val="-6"/>
          <w:sz w:val="32"/>
          <w:szCs w:val="32"/>
        </w:rPr>
        <w:t>附件</w:t>
      </w:r>
      <w:r>
        <w:rPr>
          <w:rFonts w:ascii="黑体" w:hAnsi="黑体" w:eastAsia="黑体" w:cs="宋体"/>
          <w:spacing w:val="-6"/>
          <w:sz w:val="32"/>
          <w:szCs w:val="32"/>
        </w:rPr>
        <w:t>1</w:t>
      </w:r>
    </w:p>
    <w:p>
      <w:pPr>
        <w:spacing w:line="560" w:lineRule="exact"/>
        <w:jc w:val="left"/>
        <w:rPr>
          <w:rFonts w:hint="eastAsia" w:ascii="方正小标宋简体" w:hAnsi="方正小标宋简体" w:eastAsia="方正小标宋简体" w:cs="方正小标宋简体"/>
          <w:b w:val="0"/>
          <w:bCs/>
          <w:spacing w:val="-6"/>
          <w:sz w:val="44"/>
          <w:szCs w:val="44"/>
        </w:rPr>
      </w:pPr>
    </w:p>
    <w:p>
      <w:pPr>
        <w:spacing w:line="640" w:lineRule="exact"/>
        <w:jc w:val="center"/>
        <w:rPr>
          <w:rFonts w:hint="eastAsia" w:ascii="方正小标宋简体" w:hAnsi="方正小标宋简体" w:eastAsia="方正小标宋简体" w:cs="方正小标宋简体"/>
          <w:b w:val="0"/>
          <w:bCs/>
          <w:color w:val="000000"/>
          <w:spacing w:val="0"/>
          <w:sz w:val="44"/>
          <w:szCs w:val="44"/>
        </w:rPr>
      </w:pPr>
      <w:r>
        <w:rPr>
          <w:rFonts w:hint="eastAsia" w:ascii="方正小标宋简体" w:hAnsi="方正小标宋简体" w:eastAsia="方正小标宋简体" w:cs="方正小标宋简体"/>
          <w:b w:val="0"/>
          <w:bCs/>
          <w:color w:val="000000"/>
          <w:spacing w:val="0"/>
          <w:sz w:val="44"/>
          <w:szCs w:val="44"/>
        </w:rPr>
        <w:t>关于同意****项目申请办理商品房销售</w:t>
      </w:r>
    </w:p>
    <w:p>
      <w:pPr>
        <w:spacing w:line="640" w:lineRule="exact"/>
        <w:jc w:val="center"/>
        <w:rPr>
          <w:rFonts w:hint="eastAsia" w:ascii="方正小标宋简体" w:hAnsi="方正小标宋简体" w:eastAsia="方正小标宋简体" w:cs="方正小标宋简体"/>
          <w:b w:val="0"/>
          <w:bCs/>
          <w:color w:val="000000"/>
          <w:spacing w:val="0"/>
          <w:sz w:val="44"/>
          <w:szCs w:val="44"/>
        </w:rPr>
      </w:pPr>
      <w:r>
        <w:rPr>
          <w:rFonts w:hint="eastAsia" w:ascii="方正小标宋简体" w:hAnsi="方正小标宋简体" w:eastAsia="方正小标宋简体" w:cs="方正小标宋简体"/>
          <w:b w:val="0"/>
          <w:bCs/>
          <w:color w:val="000000"/>
          <w:spacing w:val="0"/>
          <w:sz w:val="44"/>
          <w:szCs w:val="44"/>
        </w:rPr>
        <w:t>许可证的函</w:t>
      </w:r>
    </w:p>
    <w:p>
      <w:pPr>
        <w:spacing w:line="560" w:lineRule="exact"/>
        <w:jc w:val="left"/>
        <w:rPr>
          <w:rFonts w:hint="eastAsia" w:ascii="仿宋_GB2312" w:hAnsi="仿宋_GB2312" w:eastAsia="仿宋_GB2312" w:cs="仿宋_GB2312"/>
          <w:color w:val="000000"/>
          <w:spacing w:val="0"/>
          <w:sz w:val="32"/>
          <w:szCs w:val="32"/>
        </w:rPr>
      </w:pPr>
    </w:p>
    <w:p>
      <w:pPr>
        <w:spacing w:line="560" w:lineRule="exact"/>
        <w:jc w:val="left"/>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滨海新区住建委：</w:t>
      </w:r>
    </w:p>
    <w:p>
      <w:pPr>
        <w:spacing w:line="560" w:lineRule="exact"/>
        <w:ind w:firstLine="640" w:firstLineChars="200"/>
        <w:jc w:val="left"/>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依据《市住房城乡建设委关于支持工业厂房销售推动高端产业集聚发展的通知》，对国务院和市人民政府批准的工业园区及我市京津冀产业转移重点承接平台（以下统称工业园区）范围内，符合国家和本市相关规定及项目所在区人民政府对相关工业园区产业定位，土地用途为工业用地，并按照规划资源部门审定的建设工程设计方案实施建设，且主体结构已封顶的新建工业厂房（不包括已办理不动产首次登记的项目），可以核发销售许可证。</w:t>
      </w:r>
    </w:p>
    <w:p>
      <w:pPr>
        <w:spacing w:line="560" w:lineRule="exact"/>
        <w:ind w:firstLine="640" w:firstLineChars="200"/>
        <w:jc w:val="left"/>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*****项目坐落于保税区******，该项目符合保税区产业发展定位。该项目行业类别为“******”。经我委组织相关部门认真研究，同意该项目进行工业房地产销售，并申请办理销售许可证。</w:t>
      </w:r>
    </w:p>
    <w:p>
      <w:pPr>
        <w:spacing w:line="560" w:lineRule="exact"/>
        <w:ind w:firstLine="640" w:firstLineChars="200"/>
        <w:jc w:val="left"/>
        <w:rPr>
          <w:rFonts w:hint="eastAsia" w:ascii="仿宋_GB2312" w:hAnsi="仿宋_GB2312" w:eastAsia="仿宋_GB2312" w:cs="仿宋_GB2312"/>
          <w:color w:val="000000"/>
          <w:spacing w:val="0"/>
          <w:sz w:val="32"/>
          <w:szCs w:val="32"/>
        </w:rPr>
      </w:pPr>
    </w:p>
    <w:p>
      <w:pPr>
        <w:spacing w:line="560" w:lineRule="exact"/>
        <w:ind w:firstLine="640" w:firstLineChars="200"/>
        <w:jc w:val="left"/>
        <w:rPr>
          <w:rFonts w:hint="eastAsia" w:ascii="仿宋_GB2312" w:hAnsi="仿宋_GB2312" w:eastAsia="仿宋_GB2312" w:cs="仿宋_GB2312"/>
          <w:color w:val="000000"/>
          <w:spacing w:val="0"/>
          <w:sz w:val="32"/>
          <w:szCs w:val="32"/>
        </w:rPr>
      </w:pPr>
    </w:p>
    <w:p>
      <w:pPr>
        <w:spacing w:line="560" w:lineRule="exact"/>
        <w:ind w:firstLine="640" w:firstLineChars="200"/>
        <w:jc w:val="left"/>
        <w:rPr>
          <w:rFonts w:hint="eastAsia" w:ascii="仿宋_GB2312" w:hAnsi="仿宋_GB2312" w:eastAsia="仿宋_GB2312" w:cs="仿宋_GB2312"/>
          <w:color w:val="000000"/>
          <w:spacing w:val="0"/>
          <w:sz w:val="32"/>
          <w:szCs w:val="32"/>
        </w:rPr>
      </w:pPr>
    </w:p>
    <w:p>
      <w:pPr>
        <w:spacing w:line="560" w:lineRule="exact"/>
        <w:ind w:right="0" w:firstLine="640" w:firstLineChars="200"/>
        <w:jc w:val="right"/>
        <w:rPr>
          <w:rFonts w:hint="eastAsia" w:ascii="仿宋_GB2312" w:hAnsi="仿宋_GB2312" w:eastAsia="仿宋_GB2312" w:cs="仿宋_GB2312"/>
          <w:color w:val="000000"/>
          <w:spacing w:val="0"/>
          <w:sz w:val="32"/>
          <w:szCs w:val="32"/>
        </w:rPr>
      </w:pPr>
    </w:p>
    <w:p>
      <w:pPr>
        <w:spacing w:line="560" w:lineRule="exact"/>
        <w:ind w:right="0" w:firstLine="640" w:firstLineChars="200"/>
        <w:jc w:val="right"/>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年    月    日</w:t>
      </w:r>
    </w:p>
    <w:p>
      <w:pPr>
        <w:spacing w:line="560" w:lineRule="exact"/>
        <w:rPr>
          <w:rFonts w:hint="eastAsia" w:ascii="黑体" w:hAnsi="黑体" w:eastAsia="黑体" w:cs="宋体"/>
          <w:spacing w:val="-6"/>
          <w:sz w:val="32"/>
          <w:szCs w:val="32"/>
        </w:rPr>
      </w:pPr>
      <w:r>
        <w:rPr>
          <w:rFonts w:hint="eastAsia" w:ascii="仿宋_GB2312" w:hAnsi="仿宋_GB2312" w:eastAsia="仿宋_GB2312" w:cs="仿宋_GB2312"/>
          <w:spacing w:val="-6"/>
          <w:sz w:val="30"/>
          <w:szCs w:val="30"/>
        </w:rPr>
        <w:br w:type="page"/>
      </w:r>
      <w:r>
        <w:rPr>
          <w:rFonts w:hint="eastAsia" w:ascii="黑体" w:hAnsi="黑体" w:eastAsia="黑体" w:cs="宋体"/>
          <w:spacing w:val="-6"/>
          <w:sz w:val="32"/>
          <w:szCs w:val="32"/>
        </w:rPr>
        <w:t>附件2</w:t>
      </w:r>
    </w:p>
    <w:p>
      <w:pPr>
        <w:spacing w:line="560" w:lineRule="exact"/>
        <w:rPr>
          <w:rFonts w:ascii="黑体" w:hAnsi="黑体" w:eastAsia="黑体" w:cs="宋体"/>
          <w:spacing w:val="-6"/>
          <w:sz w:val="32"/>
          <w:szCs w:val="32"/>
        </w:rPr>
      </w:pPr>
    </w:p>
    <w:p>
      <w:pPr>
        <w:spacing w:line="640" w:lineRule="exact"/>
        <w:jc w:val="center"/>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企业购房资格确认单</w:t>
      </w:r>
    </w:p>
    <w:tbl>
      <w:tblPr>
        <w:tblStyle w:val="5"/>
        <w:tblpPr w:leftFromText="180" w:rightFromText="180" w:vertAnchor="text" w:horzAnchor="page" w:tblpX="1579" w:tblpY="374"/>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10" w:type="dxa"/>
            <w:noWrap w:val="0"/>
            <w:vAlign w:val="center"/>
          </w:tcPr>
          <w:p>
            <w:pPr>
              <w:spacing w:line="440" w:lineRule="exact"/>
              <w:jc w:val="center"/>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项目</w:t>
            </w:r>
          </w:p>
          <w:p>
            <w:pPr>
              <w:spacing w:line="440" w:lineRule="exact"/>
              <w:jc w:val="center"/>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名称</w:t>
            </w:r>
          </w:p>
        </w:tc>
        <w:tc>
          <w:tcPr>
            <w:tcW w:w="7710" w:type="dxa"/>
            <w:noWrap w:val="0"/>
            <w:vAlign w:val="center"/>
          </w:tcPr>
          <w:p>
            <w:pPr>
              <w:spacing w:line="240" w:lineRule="atLeast"/>
              <w:jc w:val="center"/>
              <w:rPr>
                <w:rFonts w:ascii="仿宋_GB2312" w:hAnsi="仿宋_GB2312" w:eastAsia="仿宋_GB2312" w:cs="仿宋_GB2312"/>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10" w:type="dxa"/>
            <w:noWrap w:val="0"/>
            <w:vAlign w:val="center"/>
          </w:tcPr>
          <w:p>
            <w:pPr>
              <w:spacing w:line="440" w:lineRule="exact"/>
              <w:jc w:val="center"/>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购房企业名称</w:t>
            </w:r>
          </w:p>
        </w:tc>
        <w:tc>
          <w:tcPr>
            <w:tcW w:w="7710" w:type="dxa"/>
            <w:noWrap w:val="0"/>
            <w:vAlign w:val="center"/>
          </w:tcPr>
          <w:p>
            <w:pPr>
              <w:spacing w:line="240" w:lineRule="atLeast"/>
              <w:jc w:val="center"/>
              <w:rPr>
                <w:rFonts w:ascii="仿宋_GB2312" w:hAnsi="仿宋_GB2312" w:eastAsia="仿宋_GB2312" w:cs="仿宋_GB2312"/>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410" w:type="dxa"/>
            <w:noWrap w:val="0"/>
            <w:vAlign w:val="center"/>
          </w:tcPr>
          <w:p>
            <w:pPr>
              <w:spacing w:line="440" w:lineRule="exact"/>
              <w:jc w:val="center"/>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购房企业</w:t>
            </w:r>
            <w:r>
              <w:rPr>
                <w:rFonts w:ascii="仿宋_GB2312" w:hAnsi="仿宋_GB2312" w:eastAsia="仿宋_GB2312" w:cs="仿宋_GB2312"/>
                <w:spacing w:val="-6"/>
                <w:sz w:val="30"/>
                <w:szCs w:val="30"/>
              </w:rPr>
              <w:t>机构代码</w:t>
            </w:r>
          </w:p>
        </w:tc>
        <w:tc>
          <w:tcPr>
            <w:tcW w:w="7710" w:type="dxa"/>
            <w:noWrap w:val="0"/>
            <w:vAlign w:val="center"/>
          </w:tcPr>
          <w:p>
            <w:pPr>
              <w:spacing w:line="240" w:lineRule="atLeast"/>
              <w:jc w:val="center"/>
              <w:rPr>
                <w:rFonts w:ascii="仿宋_GB2312" w:hAnsi="仿宋_GB2312" w:eastAsia="仿宋_GB2312" w:cs="仿宋_GB2312"/>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trPr>
        <w:tc>
          <w:tcPr>
            <w:tcW w:w="1410" w:type="dxa"/>
            <w:noWrap w:val="0"/>
            <w:vAlign w:val="center"/>
          </w:tcPr>
          <w:p>
            <w:pPr>
              <w:spacing w:line="240" w:lineRule="atLeast"/>
              <w:jc w:val="center"/>
              <w:rPr>
                <w:rFonts w:ascii="仿宋_GB2312" w:hAnsi="仿宋_GB2312" w:eastAsia="仿宋_GB2312" w:cs="仿宋_GB2312"/>
                <w:spacing w:val="-6"/>
                <w:sz w:val="30"/>
                <w:szCs w:val="30"/>
              </w:rPr>
            </w:pPr>
            <w:r>
              <w:rPr>
                <w:rFonts w:ascii="仿宋_GB2312" w:hAnsi="仿宋_GB2312" w:eastAsia="仿宋_GB2312" w:cs="仿宋_GB2312"/>
                <w:spacing w:val="-6"/>
                <w:sz w:val="30"/>
                <w:szCs w:val="30"/>
              </w:rPr>
              <w:t>招商单位</w:t>
            </w:r>
            <w:r>
              <w:rPr>
                <w:rFonts w:hint="eastAsia" w:ascii="仿宋_GB2312" w:hAnsi="仿宋_GB2312" w:eastAsia="仿宋_GB2312" w:cs="仿宋_GB2312"/>
                <w:spacing w:val="-6"/>
                <w:sz w:val="30"/>
                <w:szCs w:val="30"/>
              </w:rPr>
              <w:t>意见</w:t>
            </w:r>
          </w:p>
        </w:tc>
        <w:tc>
          <w:tcPr>
            <w:tcW w:w="7710" w:type="dxa"/>
            <w:noWrap w:val="0"/>
            <w:vAlign w:val="top"/>
          </w:tcPr>
          <w:p>
            <w:pPr>
              <w:spacing w:line="240" w:lineRule="atLeast"/>
              <w:ind w:firstLine="576" w:firstLineChars="200"/>
              <w:rPr>
                <w:rFonts w:hint="eastAsia" w:ascii="仿宋_GB2312" w:hAnsi="仿宋_GB2312" w:eastAsia="仿宋_GB2312" w:cs="仿宋_GB2312"/>
                <w:spacing w:val="-6"/>
                <w:sz w:val="30"/>
                <w:szCs w:val="30"/>
              </w:rPr>
            </w:pPr>
          </w:p>
          <w:p>
            <w:pPr>
              <w:spacing w:line="240" w:lineRule="atLeast"/>
              <w:ind w:firstLine="576" w:firstLineChars="200"/>
              <w:rPr>
                <w:rFonts w:hint="eastAsia" w:ascii="仿宋_GB2312" w:hAnsi="仿宋_GB2312" w:eastAsia="仿宋_GB2312" w:cs="仿宋_GB2312"/>
                <w:spacing w:val="-6"/>
                <w:sz w:val="30"/>
                <w:szCs w:val="30"/>
              </w:rPr>
            </w:pPr>
            <w:r>
              <w:rPr>
                <w:rFonts w:ascii="仿宋_GB2312" w:hAnsi="仿宋_GB2312" w:eastAsia="仿宋_GB2312" w:cs="仿宋_GB2312"/>
                <w:spacing w:val="-6"/>
                <w:sz w:val="30"/>
                <w:szCs w:val="30"/>
              </w:rPr>
              <w:t>按照《</w:t>
            </w:r>
            <w:r>
              <w:rPr>
                <w:rFonts w:hint="eastAsia" w:ascii="仿宋_GB2312" w:hAnsi="仿宋_GB2312" w:eastAsia="仿宋_GB2312" w:cs="仿宋_GB2312"/>
                <w:spacing w:val="-6"/>
                <w:sz w:val="30"/>
                <w:szCs w:val="30"/>
              </w:rPr>
              <w:t>市住房城乡建设委关于支持工业厂房销售推动高端产业集聚发展的通知</w:t>
            </w:r>
            <w:r>
              <w:rPr>
                <w:rFonts w:ascii="仿宋_GB2312" w:hAnsi="仿宋_GB2312" w:eastAsia="仿宋_GB2312" w:cs="仿宋_GB2312"/>
                <w:spacing w:val="-6"/>
                <w:sz w:val="30"/>
                <w:szCs w:val="30"/>
              </w:rPr>
              <w:t>》(津住建发</w:t>
            </w:r>
            <w:r>
              <w:rPr>
                <w:rFonts w:hint="eastAsia" w:ascii="仿宋_GB2312" w:hAnsi="宋体" w:eastAsia="仿宋_GB2312" w:cs="宋体"/>
                <w:spacing w:val="-6"/>
                <w:sz w:val="32"/>
                <w:szCs w:val="32"/>
              </w:rPr>
              <w:t>〔202</w:t>
            </w:r>
            <w:r>
              <w:rPr>
                <w:rFonts w:ascii="仿宋_GB2312" w:hAnsi="宋体" w:eastAsia="仿宋_GB2312" w:cs="宋体"/>
                <w:spacing w:val="-6"/>
                <w:sz w:val="32"/>
                <w:szCs w:val="32"/>
              </w:rPr>
              <w:t>1</w:t>
            </w:r>
            <w:r>
              <w:rPr>
                <w:rFonts w:hint="eastAsia" w:ascii="仿宋_GB2312" w:hAnsi="宋体" w:eastAsia="仿宋_GB2312" w:cs="宋体"/>
                <w:spacing w:val="-6"/>
                <w:sz w:val="32"/>
                <w:szCs w:val="32"/>
              </w:rPr>
              <w:t>〕</w:t>
            </w:r>
            <w:r>
              <w:rPr>
                <w:rFonts w:ascii="仿宋_GB2312" w:hAnsi="宋体" w:eastAsia="仿宋_GB2312" w:cs="宋体"/>
                <w:spacing w:val="-6"/>
                <w:sz w:val="32"/>
                <w:szCs w:val="32"/>
              </w:rPr>
              <w:t>9</w:t>
            </w:r>
            <w:r>
              <w:rPr>
                <w:rFonts w:ascii="仿宋_GB2312" w:hAnsi="仿宋_GB2312" w:eastAsia="仿宋_GB2312" w:cs="仿宋_GB2312"/>
                <w:spacing w:val="-6"/>
                <w:sz w:val="30"/>
                <w:szCs w:val="30"/>
              </w:rPr>
              <w:t>)等规定，</w:t>
            </w:r>
            <w:r>
              <w:rPr>
                <w:rFonts w:hint="eastAsia" w:ascii="仿宋_GB2312" w:hAnsi="仿宋_GB2312" w:eastAsia="仿宋_GB2312" w:cs="仿宋_GB2312"/>
                <w:spacing w:val="-6"/>
                <w:sz w:val="30"/>
                <w:szCs w:val="30"/>
              </w:rPr>
              <w:t>经</w:t>
            </w:r>
            <w:r>
              <w:rPr>
                <w:rFonts w:ascii="仿宋_GB2312" w:hAnsi="仿宋_GB2312" w:eastAsia="仿宋_GB2312" w:cs="仿宋_GB2312"/>
                <w:spacing w:val="-6"/>
                <w:sz w:val="30"/>
                <w:szCs w:val="30"/>
              </w:rPr>
              <w:t>评估符合入区条件，同意</w:t>
            </w:r>
            <w:r>
              <w:rPr>
                <w:rFonts w:hint="eastAsia" w:ascii="仿宋_GB2312" w:hAnsi="仿宋_GB2312" w:eastAsia="仿宋_GB2312" w:cs="仿宋_GB2312"/>
                <w:spacing w:val="-6"/>
                <w:sz w:val="30"/>
                <w:szCs w:val="30"/>
              </w:rPr>
              <w:t>该企业购买我区*********项目工业厂房</w:t>
            </w:r>
            <w:r>
              <w:rPr>
                <w:rFonts w:ascii="仿宋_GB2312" w:hAnsi="仿宋_GB2312" w:eastAsia="仿宋_GB2312" w:cs="仿宋_GB2312"/>
                <w:spacing w:val="-6"/>
                <w:sz w:val="30"/>
                <w:szCs w:val="30"/>
              </w:rPr>
              <w:t>。</w:t>
            </w:r>
          </w:p>
          <w:p>
            <w:pPr>
              <w:spacing w:line="240" w:lineRule="atLeast"/>
              <w:ind w:right="560" w:firstLine="4320" w:firstLineChars="1500"/>
              <w:rPr>
                <w:rFonts w:hint="eastAsia" w:ascii="仿宋_GB2312" w:hAnsi="仿宋_GB2312" w:eastAsia="仿宋_GB2312" w:cs="仿宋_GB2312"/>
                <w:spacing w:val="-6"/>
                <w:sz w:val="30"/>
                <w:szCs w:val="30"/>
              </w:rPr>
            </w:pPr>
          </w:p>
          <w:p>
            <w:pPr>
              <w:spacing w:line="240" w:lineRule="atLeast"/>
              <w:ind w:right="560" w:firstLine="4320" w:firstLineChars="1500"/>
              <w:rPr>
                <w:rFonts w:hint="eastAsia" w:ascii="仿宋_GB2312" w:hAnsi="仿宋_GB2312" w:eastAsia="仿宋_GB2312" w:cs="仿宋_GB2312"/>
                <w:spacing w:val="-6"/>
                <w:sz w:val="30"/>
                <w:szCs w:val="30"/>
              </w:rPr>
            </w:pPr>
            <w:r>
              <w:rPr>
                <w:rFonts w:ascii="仿宋_GB2312" w:hAnsi="仿宋_GB2312" w:eastAsia="仿宋_GB2312" w:cs="仿宋_GB2312"/>
                <w:spacing w:val="-6"/>
                <w:sz w:val="30"/>
                <w:szCs w:val="30"/>
              </w:rPr>
              <w:t>部门盖章：</w:t>
            </w:r>
          </w:p>
          <w:p>
            <w:pPr>
              <w:spacing w:line="240" w:lineRule="atLeast"/>
              <w:ind w:right="560" w:firstLine="4320" w:firstLineChars="15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确认日期：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0" w:type="dxa"/>
            <w:noWrap w:val="0"/>
            <w:vAlign w:val="center"/>
          </w:tcPr>
          <w:p>
            <w:pPr>
              <w:spacing w:line="240" w:lineRule="atLeast"/>
              <w:jc w:val="center"/>
              <w:rPr>
                <w:rFonts w:ascii="宋体" w:hAnsi="宋体" w:eastAsia="仿宋_GB2312" w:cs="宋体"/>
                <w:spacing w:val="-6"/>
                <w:sz w:val="28"/>
                <w:szCs w:val="28"/>
              </w:rPr>
            </w:pPr>
            <w:r>
              <w:rPr>
                <w:rFonts w:hint="eastAsia" w:ascii="宋体" w:hAnsi="宋体" w:eastAsia="仿宋_GB2312" w:cs="宋体"/>
                <w:spacing w:val="-6"/>
                <w:sz w:val="28"/>
                <w:szCs w:val="28"/>
              </w:rPr>
              <w:t>备    注</w:t>
            </w:r>
          </w:p>
        </w:tc>
        <w:tc>
          <w:tcPr>
            <w:tcW w:w="7710" w:type="dxa"/>
            <w:noWrap w:val="0"/>
            <w:vAlign w:val="top"/>
          </w:tcPr>
          <w:p>
            <w:pPr>
              <w:spacing w:line="240" w:lineRule="atLeast"/>
              <w:rPr>
                <w:rFonts w:ascii="宋体" w:hAnsi="宋体" w:eastAsia="仿宋_GB2312" w:cs="宋体"/>
                <w:spacing w:val="-6"/>
                <w:sz w:val="28"/>
                <w:szCs w:val="28"/>
              </w:rPr>
            </w:pPr>
          </w:p>
        </w:tc>
      </w:tr>
    </w:tbl>
    <w:p>
      <w:pPr>
        <w:spacing w:line="240" w:lineRule="exact"/>
        <w:ind w:firstLine="0" w:firstLineChars="0"/>
        <w:rPr>
          <w:rFonts w:ascii="宋体" w:hAnsi="宋体" w:eastAsia="仿宋_GB2312" w:cs="宋体"/>
          <w:spacing w:val="-6"/>
          <w:sz w:val="24"/>
          <w:szCs w:val="20"/>
          <w:u w:val="single"/>
        </w:rPr>
      </w:pPr>
    </w:p>
    <w:p>
      <w:pPr>
        <w:spacing w:line="240" w:lineRule="exact"/>
        <w:ind w:firstLine="0" w:firstLineChars="0"/>
        <w:rPr>
          <w:rFonts w:ascii="宋体" w:hAnsi="宋体" w:eastAsia="仿宋_GB2312" w:cs="宋体"/>
          <w:spacing w:val="-6"/>
          <w:sz w:val="24"/>
          <w:szCs w:val="20"/>
          <w:u w:val="single"/>
        </w:rPr>
      </w:pPr>
    </w:p>
    <w:p>
      <w:pPr>
        <w:spacing w:line="240" w:lineRule="exact"/>
        <w:ind w:firstLine="0" w:firstLineChars="0"/>
        <w:rPr>
          <w:rFonts w:ascii="宋体" w:hAnsi="宋体" w:eastAsia="仿宋_GB2312" w:cs="宋体"/>
          <w:spacing w:val="-6"/>
          <w:sz w:val="24"/>
          <w:szCs w:val="20"/>
          <w:u w:val="single"/>
        </w:rPr>
      </w:pPr>
    </w:p>
    <w:p>
      <w:bookmarkStart w:id="0" w:name="_GoBack"/>
      <w:bookmarkEnd w:id="0"/>
    </w:p>
    <w:sectPr>
      <w:headerReference r:id="rId3" w:type="default"/>
      <w:footerReference r:id="rId5" w:type="default"/>
      <w:headerReference r:id="rId4" w:type="even"/>
      <w:footerReference r:id="rId6"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p>
  <w:p>
    <w:pPr>
      <w:pStyle w:val="2"/>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p>
    <w:pPr>
      <w:pStyle w:val="2"/>
      <w:rPr>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000000"/>
    <w:rsid w:val="3EAB0813"/>
    <w:rsid w:val="6ED964F4"/>
    <w:rsid w:val="9779D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overflowPunct w:val="0"/>
      <w:autoSpaceDE w:val="0"/>
      <w:autoSpaceDN w:val="0"/>
      <w:adjustRightInd w:val="0"/>
      <w:spacing w:line="240" w:lineRule="atLeast"/>
      <w:jc w:val="both"/>
      <w:textAlignment w:val="baseline"/>
    </w:pPr>
    <w:rPr>
      <w:rFonts w:ascii="Times New Roman" w:hAnsi="Times New Roman" w:eastAsia="仿宋_GB2312" w:cs="Times New Roman"/>
      <w:spacing w:val="-6"/>
      <w:kern w:val="2"/>
      <w:sz w:val="20"/>
      <w:lang w:val="en-US" w:eastAsia="zh-CN" w:bidi="ar-SA"/>
    </w:rPr>
  </w:style>
  <w:style w:type="paragraph" w:styleId="3">
    <w:name w:val="header"/>
    <w:unhideWhenUsed/>
    <w:qFormat/>
    <w:uiPriority w:val="0"/>
    <w:pPr>
      <w:widowControl w:val="0"/>
      <w:pBdr>
        <w:bottom w:val="single" w:color="auto" w:sz="6" w:space="1"/>
      </w:pBdr>
      <w:tabs>
        <w:tab w:val="center" w:pos="4153"/>
        <w:tab w:val="right" w:pos="8306"/>
      </w:tabs>
      <w:snapToGrid w:val="0"/>
      <w:spacing w:line="240" w:lineRule="atLeast"/>
      <w:jc w:val="center"/>
    </w:pPr>
    <w:rPr>
      <w:rFonts w:ascii="Times New Roman" w:hAnsi="Times New Roman" w:eastAsia="仿宋_GB2312" w:cs="Times New Roman"/>
      <w:spacing w:val="-6"/>
      <w:kern w:val="2"/>
      <w:sz w:val="18"/>
      <w:szCs w:val="18"/>
      <w:lang w:val="en-US" w:eastAsia="zh-CN" w:bidi="ar-SA"/>
    </w:rPr>
  </w:style>
  <w:style w:type="paragraph" w:styleId="4">
    <w:name w:val="Normal (Web)"/>
    <w:qFormat/>
    <w:uiPriority w:val="0"/>
    <w:pPr>
      <w:widowControl w:val="0"/>
      <w:spacing w:before="100" w:beforeAutospacing="1" w:after="100" w:afterAutospacing="1" w:line="240" w:lineRule="atLeast"/>
      <w:ind w:left="0" w:right="0"/>
      <w:jc w:val="left"/>
    </w:pPr>
    <w:rPr>
      <w:rFonts w:ascii="Times New Roman" w:hAnsi="Times New Roman" w:eastAsia="仿宋_GB2312" w:cs="Times New Roman"/>
      <w:spacing w:val="-6"/>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拾雲</cp:lastModifiedBy>
  <dcterms:modified xsi:type="dcterms:W3CDTF">2023-12-04T08:32:30Z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12A2AB7C54FD46B3B37C254912F9A5F8_13</vt:lpwstr>
  </property>
</Properties>
</file>