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GoBack"/>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4.机关局机关运行经费绩效目标表</w:t>
      </w:r>
    </w:p>
    <w:bookmarkEnd w:id="0"/>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301102天津市滨海新区机关事务管理局</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机关局机关运行经费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142000000.00</w:t>
            </w:r>
          </w:p>
        </w:tc>
        <w:tc>
          <w:tcPr>
            <w:tcW w:w="1587" w:type="dxa"/>
            <w:vAlign w:val="center"/>
          </w:tcPr>
          <w:p>
            <w:pPr>
              <w:pStyle w:val="13"/>
            </w:pPr>
            <w:r>
              <w:t>其中：财政    资金</w:t>
            </w:r>
          </w:p>
        </w:tc>
        <w:tc>
          <w:tcPr>
            <w:tcW w:w="1843" w:type="dxa"/>
            <w:vAlign w:val="center"/>
          </w:tcPr>
          <w:p>
            <w:pPr>
              <w:pStyle w:val="12"/>
            </w:pPr>
            <w:r>
              <w:t>142000000.00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该项目资金用于支付区机关事务管理局统一管理的各办公区域的房租、物业、水、电、燃气、取暖、小型维修、公共区域通信网络、集中就餐食堂餐费、设备设施维护等费用支出。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1.通过租赁符合条件的楼宇,为各集中办公区工作人员提供必要的办公条件。</w:t>
            </w:r>
          </w:p>
          <w:p>
            <w:pPr>
              <w:pStyle w:val="12"/>
            </w:pPr>
            <w:r>
              <w:t>2.通过采购优质的物业公司为集中办公区提供保洁、安保、餐饮、设备设施维护等服务，为集中办公区工作人员创造良好的办公环境。</w:t>
            </w:r>
          </w:p>
          <w:p>
            <w:pPr>
              <w:pStyle w:val="12"/>
            </w:pPr>
            <w:r>
              <w:t>3.通过采购优质的运维企业，为各集中办公区提供设备、设施、绿化等维护服务，确保各项设施正常运转。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保障集中办公区运营内容项数</w:t>
            </w:r>
          </w:p>
        </w:tc>
        <w:tc>
          <w:tcPr>
            <w:tcW w:w="3430" w:type="dxa"/>
            <w:vAlign w:val="center"/>
          </w:tcPr>
          <w:p>
            <w:pPr>
              <w:pStyle w:val="12"/>
            </w:pPr>
            <w:r>
              <w:t>通过考量保障集中办公区运营内容项数，反映集中办公区运营保障工作开展的完成情况。</w:t>
            </w:r>
          </w:p>
        </w:tc>
        <w:tc>
          <w:tcPr>
            <w:tcW w:w="2551" w:type="dxa"/>
            <w:vAlign w:val="center"/>
          </w:tcPr>
          <w:p>
            <w:pPr>
              <w:pStyle w:val="12"/>
            </w:pPr>
            <w:r>
              <w:t>≥15项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保障集中办公区面积</w:t>
            </w:r>
          </w:p>
        </w:tc>
        <w:tc>
          <w:tcPr>
            <w:tcW w:w="3430" w:type="dxa"/>
            <w:vAlign w:val="center"/>
          </w:tcPr>
          <w:p>
            <w:pPr>
              <w:pStyle w:val="12"/>
            </w:pPr>
            <w:r>
              <w:t>通过考量保障集中办公区的面积数量，反映保障集中办公区工作的完成情况。</w:t>
            </w:r>
          </w:p>
        </w:tc>
        <w:tc>
          <w:tcPr>
            <w:tcW w:w="2551" w:type="dxa"/>
            <w:vAlign w:val="center"/>
          </w:tcPr>
          <w:p>
            <w:pPr>
              <w:pStyle w:val="12"/>
            </w:pPr>
            <w:r>
              <w:t>≥45万平方米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保障集中办公区运营内容覆盖率</w:t>
            </w:r>
          </w:p>
        </w:tc>
        <w:tc>
          <w:tcPr>
            <w:tcW w:w="3430" w:type="dxa"/>
            <w:vAlign w:val="center"/>
          </w:tcPr>
          <w:p>
            <w:pPr>
              <w:pStyle w:val="12"/>
            </w:pPr>
            <w:r>
              <w:t>通过实际保障的集中办公区运营内容数量与集中办公区运营内容总数比对，反映保障集中办公区运营内容的覆盖情况。计算公式：保障集中办公区运营内容覆盖率=实际保障的集中办公区运营内容数量÷集中办公区运营内容总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保障集中办公区面积的覆盖率</w:t>
            </w:r>
          </w:p>
        </w:tc>
        <w:tc>
          <w:tcPr>
            <w:tcW w:w="3430" w:type="dxa"/>
            <w:vAlign w:val="center"/>
          </w:tcPr>
          <w:p>
            <w:pPr>
              <w:pStyle w:val="12"/>
            </w:pPr>
            <w:r>
              <w:t>通过实际保障的集中办公区面积与集中办公区总面积比对，反映保障集中办公区运营面积的覆盖情况。计算公式：保障集中办公区面积的覆盖率=实际保障的集中办公区面积÷集中办公区总面积×100%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集中办公区运营保障工作开展及时率</w:t>
            </w:r>
          </w:p>
        </w:tc>
        <w:tc>
          <w:tcPr>
            <w:tcW w:w="3430" w:type="dxa"/>
            <w:vAlign w:val="center"/>
          </w:tcPr>
          <w:p>
            <w:pPr>
              <w:pStyle w:val="12"/>
            </w:pPr>
            <w:r>
              <w:t>通过实际及时开展集中办公区运营保障工作项数与开展集中办公区运营保障工作总项数比对，反映开展集中办公区运营保障工作的及时情况。计算公式：集中办公区运营保障工作开展及时率=实际及时开展集中办公区运营保障工作项数÷开展集中办公区运营保障工作总项数×100%</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集中办公区每平米日租金标准</w:t>
            </w:r>
          </w:p>
        </w:tc>
        <w:tc>
          <w:tcPr>
            <w:tcW w:w="3430" w:type="dxa"/>
            <w:vAlign w:val="center"/>
          </w:tcPr>
          <w:p>
            <w:pPr>
              <w:pStyle w:val="12"/>
            </w:pPr>
            <w:r>
              <w:t>通过考核集中办公区每平米日租金标准，反映集中办公区房租费用的成本控制情况。</w:t>
            </w:r>
          </w:p>
        </w:tc>
        <w:tc>
          <w:tcPr>
            <w:tcW w:w="2551" w:type="dxa"/>
            <w:vAlign w:val="center"/>
          </w:tcPr>
          <w:p>
            <w:pPr>
              <w:pStyle w:val="12"/>
            </w:pPr>
            <w:r>
              <w:t>≤2.99元/米.日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集中办公区每平米日物业费标准</w:t>
            </w:r>
          </w:p>
        </w:tc>
        <w:tc>
          <w:tcPr>
            <w:tcW w:w="3430" w:type="dxa"/>
            <w:vAlign w:val="center"/>
          </w:tcPr>
          <w:p>
            <w:pPr>
              <w:pStyle w:val="12"/>
            </w:pPr>
            <w:r>
              <w:t>通过考核集中办公区每平米日物业费标准，反映集中办公区物业费用的成本控制情况。</w:t>
            </w:r>
          </w:p>
        </w:tc>
        <w:tc>
          <w:tcPr>
            <w:tcW w:w="2551" w:type="dxa"/>
            <w:vAlign w:val="center"/>
          </w:tcPr>
          <w:p>
            <w:pPr>
              <w:pStyle w:val="12"/>
            </w:pPr>
            <w:r>
              <w:t>≤110元/米.日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集中办公区能源费用</w:t>
            </w:r>
          </w:p>
        </w:tc>
        <w:tc>
          <w:tcPr>
            <w:tcW w:w="3430" w:type="dxa"/>
            <w:vAlign w:val="center"/>
          </w:tcPr>
          <w:p>
            <w:pPr>
              <w:pStyle w:val="12"/>
            </w:pPr>
            <w:r>
              <w:t>通过实际支出金额与计划支出金额比对，反映集中办公区能源费用的成本控制情况。</w:t>
            </w:r>
          </w:p>
        </w:tc>
        <w:tc>
          <w:tcPr>
            <w:tcW w:w="2551" w:type="dxa"/>
            <w:vAlign w:val="center"/>
          </w:tcPr>
          <w:p>
            <w:pPr>
              <w:pStyle w:val="12"/>
            </w:pPr>
            <w:r>
              <w:t>&lt;3400万元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集中办公区弱电及电脑外设系统运行维护费用</w:t>
            </w:r>
          </w:p>
        </w:tc>
        <w:tc>
          <w:tcPr>
            <w:tcW w:w="3430" w:type="dxa"/>
            <w:vAlign w:val="center"/>
          </w:tcPr>
          <w:p>
            <w:pPr>
              <w:pStyle w:val="12"/>
            </w:pPr>
            <w:r>
              <w:t>通过实际支出金额与计划支出金额比对，反映集中办公区弱电及电脑外设系统运行费用的成本控制情况。</w:t>
            </w:r>
          </w:p>
        </w:tc>
        <w:tc>
          <w:tcPr>
            <w:tcW w:w="2551" w:type="dxa"/>
            <w:vAlign w:val="center"/>
          </w:tcPr>
          <w:p>
            <w:pPr>
              <w:pStyle w:val="12"/>
            </w:pPr>
            <w:r>
              <w:t>&lt;1700万元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集中办公区绿化等其他运行维护费用</w:t>
            </w:r>
          </w:p>
        </w:tc>
        <w:tc>
          <w:tcPr>
            <w:tcW w:w="3430" w:type="dxa"/>
            <w:vAlign w:val="center"/>
          </w:tcPr>
          <w:p>
            <w:pPr>
              <w:pStyle w:val="12"/>
            </w:pPr>
            <w:r>
              <w:t>通过实际支出金额与计划支出金额比对，反映集中办公区绿化等其他运行维护费用的成本控制情况。</w:t>
            </w:r>
          </w:p>
        </w:tc>
        <w:tc>
          <w:tcPr>
            <w:tcW w:w="2551" w:type="dxa"/>
            <w:vAlign w:val="center"/>
          </w:tcPr>
          <w:p>
            <w:pPr>
              <w:pStyle w:val="12"/>
            </w:pPr>
            <w:r>
              <w:t>&lt;1800万元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保障集中办公区正常运转率</w:t>
            </w:r>
          </w:p>
        </w:tc>
        <w:tc>
          <w:tcPr>
            <w:tcW w:w="3430" w:type="dxa"/>
            <w:vAlign w:val="center"/>
          </w:tcPr>
          <w:p>
            <w:pPr>
              <w:pStyle w:val="12"/>
            </w:pPr>
            <w:r>
              <w:t>通过实际保障的集中办公区正常运转数量与集中办公区总数比对，反映保障集中办公区的正常运转情况。计算公式：保障集中办公区正常运转率=实际保障的集中办公区正常运转数量÷集中办公区总数×100%</w:t>
            </w:r>
          </w:p>
        </w:tc>
        <w:tc>
          <w:tcPr>
            <w:tcW w:w="2551" w:type="dxa"/>
            <w:vAlign w:val="center"/>
          </w:tcPr>
          <w:p>
            <w:pPr>
              <w:pStyle w:val="12"/>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完善集中办公区运营保障管理制度</w:t>
            </w:r>
          </w:p>
        </w:tc>
        <w:tc>
          <w:tcPr>
            <w:tcW w:w="3430" w:type="dxa"/>
            <w:vAlign w:val="center"/>
          </w:tcPr>
          <w:p>
            <w:pPr>
              <w:pStyle w:val="12"/>
            </w:pPr>
            <w:r>
              <w:t>通过集中办公区运营保障管理制度或办法的完善情况，反映集中办公区运营保障管理工作长效运转的保障情况。</w:t>
            </w:r>
          </w:p>
        </w:tc>
        <w:tc>
          <w:tcPr>
            <w:tcW w:w="2551" w:type="dxa"/>
            <w:vAlign w:val="center"/>
          </w:tcPr>
          <w:p>
            <w:pPr>
              <w:pStyle w:val="12"/>
            </w:pPr>
            <w:r>
              <w:t>建立运营保障制度体系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集中办公区工作人员满意度</w:t>
            </w:r>
          </w:p>
        </w:tc>
        <w:tc>
          <w:tcPr>
            <w:tcW w:w="3430" w:type="dxa"/>
            <w:vAlign w:val="center"/>
          </w:tcPr>
          <w:p>
            <w:pPr>
              <w:pStyle w:val="12"/>
            </w:pPr>
            <w:r>
              <w:t>通过调查问卷中满意人数与调查总人数的比率，反映被调查对象对本项目的满意程度。计算公式：各类问题满意人数÷调查总人数×100%</w:t>
            </w:r>
          </w:p>
        </w:tc>
        <w:tc>
          <w:tcPr>
            <w:tcW w:w="2551" w:type="dxa"/>
            <w:vAlign w:val="center"/>
          </w:tcPr>
          <w:p>
            <w:pPr>
              <w:pStyle w:val="12"/>
            </w:pPr>
            <w:r>
              <w:t>≥95%</w:t>
            </w:r>
          </w:p>
        </w:tc>
      </w:tr>
    </w:tbl>
    <w:p/>
    <w:sectPr>
      <w:footerReference r:id="rId3" w:type="default"/>
      <w:footerReference r:id="rId4" w:type="even"/>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YTBjMzE0ZWViMjJjZmMzNjZkOTNmMTc2YWQ1NjQ5NzYifQ=="/>
  </w:docVars>
  <w:rsids>
    <w:rsidRoot w:val="00000000"/>
    <w:rsid w:val="085C2F1B"/>
    <w:rsid w:val="6B234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2024-01-16T11:57:03Z</dcterms:created>
  <dcterms:modified xsi:type="dcterms:W3CDTF">2024-01-16T03:57:03Z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2024-01-16T11:57:04Z</dcterms:created>
  <dcterms:modified xsi:type="dcterms:W3CDTF">2024-01-16T03:57:04Z</dcterms:modified>
</cp:coreProperties>
</file>

<file path=customXml/itemProps1.xml><?xml version="1.0" encoding="utf-8"?>
<ds:datastoreItem xmlns:ds="http://schemas.openxmlformats.org/officeDocument/2006/customXml" ds:itemID="{620579b7-692a-4faa-bec3-15bb25eb056b}">
  <ds:schemaRefs/>
</ds:datastoreItem>
</file>

<file path=customXml/itemProps10.xml><?xml version="1.0" encoding="utf-8"?>
<ds:datastoreItem xmlns:ds="http://schemas.openxmlformats.org/officeDocument/2006/customXml" ds:itemID="{3ac70611-818a-40aa-b778-3bd16d33dcc4}">
  <ds:schemaRefs/>
</ds:datastoreItem>
</file>

<file path=customXml/itemProps11.xml><?xml version="1.0" encoding="utf-8"?>
<ds:datastoreItem xmlns:ds="http://schemas.openxmlformats.org/officeDocument/2006/customXml" ds:itemID="{8b8bdb21-9f3a-472e-9fa5-8980002a94f7}">
  <ds:schemaRefs/>
</ds:datastoreItem>
</file>

<file path=customXml/itemProps12.xml><?xml version="1.0" encoding="utf-8"?>
<ds:datastoreItem xmlns:ds="http://schemas.openxmlformats.org/officeDocument/2006/customXml" ds:itemID="{f08575e6-ddf7-40dc-bda2-0993794ac602}">
  <ds:schemaRefs/>
</ds:datastoreItem>
</file>

<file path=customXml/itemProps13.xml><?xml version="1.0" encoding="utf-8"?>
<ds:datastoreItem xmlns:ds="http://schemas.openxmlformats.org/officeDocument/2006/customXml" ds:itemID="{4ab62450-ec08-4aa7-adb2-de1d33e48793}">
  <ds:schemaRefs/>
</ds:datastoreItem>
</file>

<file path=customXml/itemProps14.xml><?xml version="1.0" encoding="utf-8"?>
<ds:datastoreItem xmlns:ds="http://schemas.openxmlformats.org/officeDocument/2006/customXml" ds:itemID="{7d203648-7e7d-40a4-b796-373321bc8627}">
  <ds:schemaRefs/>
</ds:datastoreItem>
</file>

<file path=customXml/itemProps2.xml><?xml version="1.0" encoding="utf-8"?>
<ds:datastoreItem xmlns:ds="http://schemas.openxmlformats.org/officeDocument/2006/customXml" ds:itemID="{b718cac5-02d4-49da-84d6-1818f837e9d5}">
  <ds:schemaRefs/>
</ds:datastoreItem>
</file>

<file path=customXml/itemProps3.xml><?xml version="1.0" encoding="utf-8"?>
<ds:datastoreItem xmlns:ds="http://schemas.openxmlformats.org/officeDocument/2006/customXml" ds:itemID="{c431a41a-56ec-47cd-baa3-52ad38a0d352}">
  <ds:schemaRefs/>
</ds:datastoreItem>
</file>

<file path=customXml/itemProps4.xml><?xml version="1.0" encoding="utf-8"?>
<ds:datastoreItem xmlns:ds="http://schemas.openxmlformats.org/officeDocument/2006/customXml" ds:itemID="{3ec0b50a-a2ab-4e72-b68c-3770ffbb271a}">
  <ds:schemaRefs/>
</ds:datastoreItem>
</file>

<file path=customXml/itemProps5.xml><?xml version="1.0" encoding="utf-8"?>
<ds:datastoreItem xmlns:ds="http://schemas.openxmlformats.org/officeDocument/2006/customXml" ds:itemID="{024fcbc9-1591-43e9-b098-f312451cab71}">
  <ds:schemaRefs/>
</ds:datastoreItem>
</file>

<file path=customXml/itemProps6.xml><?xml version="1.0" encoding="utf-8"?>
<ds:datastoreItem xmlns:ds="http://schemas.openxmlformats.org/officeDocument/2006/customXml" ds:itemID="{bada17ba-558a-4e47-b8db-0ec40e837edf}">
  <ds:schemaRefs/>
</ds:datastoreItem>
</file>

<file path=customXml/itemProps7.xml><?xml version="1.0" encoding="utf-8"?>
<ds:datastoreItem xmlns:ds="http://schemas.openxmlformats.org/officeDocument/2006/customXml" ds:itemID="{3e9f8f88-00e5-4c97-8524-bde43a249023}">
  <ds:schemaRefs/>
</ds:datastoreItem>
</file>

<file path=customXml/itemProps8.xml><?xml version="1.0" encoding="utf-8"?>
<ds:datastoreItem xmlns:ds="http://schemas.openxmlformats.org/officeDocument/2006/customXml" ds:itemID="{ed44a1d6-fc84-48e6-9862-9895d46c1d4c}">
  <ds:schemaRefs/>
</ds:datastoreItem>
</file>

<file path=customXml/itemProps9.xml><?xml version="1.0" encoding="utf-8"?>
<ds:datastoreItem xmlns:ds="http://schemas.openxmlformats.org/officeDocument/2006/customXml" ds:itemID="{e09f3fb0-0027-4f41-a732-356a88e9a918}">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2024-01-16T11:57:00Z</dcterms:created>
  <dc:creator>Administrator</dc:creator>
  <cp:lastModifiedBy>刘海燕</cp:lastModifiedBy>
  <dcterms:modified xsi:type="dcterms:W3CDTF">2024-02-06T03:13:05Z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8A364086738F45A5913A3474C83D7290_12</vt:lpwstr>
  </property>
</Properties>
</file>