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天津市滨海新区人民政府办公室关于印发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天津市滨海新区“十四五”规划实施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中期评估工作方案的通知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经区人民政府同意，现将《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天津市滨海新区“十四五”规划实施中期评估工作方案的通知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》印发给你们，请照此执行</w:t>
      </w:r>
      <w:r>
        <w:rPr>
          <w:rStyle w:val="15"/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12"/>
        <w:ind w:left="0" w:leftChars="0" w:firstLine="3200" w:firstLineChars="10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天津市滨海新区人民政府办公室</w:t>
      </w:r>
    </w:p>
    <w:p>
      <w:pPr>
        <w:pStyle w:val="12"/>
        <w:ind w:left="958" w:leftChars="456" w:firstLine="3520" w:firstLineChars="1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pStyle w:val="1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1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1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1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天津市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滨海新区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“十四五”规划实施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中期评估工作方案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仿宋_GB2312" w:cs="Times New Roman"/>
          <w:color w:val="auto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</w:rPr>
      </w:pPr>
      <w:r>
        <w:rPr>
          <w:rFonts w:hint="default" w:ascii="Times New Roman" w:hAnsi="Times New Roman" w:eastAsia="仿宋_GB2312" w:cs="Times New Roman"/>
          <w:color w:val="auto"/>
        </w:rPr>
        <w:t>2023</w:t>
      </w:r>
      <w:r>
        <w:rPr>
          <w:rFonts w:hint="default" w:ascii="Times New Roman" w:hAnsi="Times New Roman" w:eastAsia="仿宋_GB2312" w:cs="Times New Roman"/>
          <w:color w:val="auto"/>
          <w:spacing w:val="0"/>
        </w:rPr>
        <w:t>年是全面贯彻落实党的二十大精神的开局之年，是实施“十四五”规划承</w:t>
      </w:r>
      <w:r>
        <w:rPr>
          <w:rFonts w:hint="default" w:ascii="Times New Roman" w:hAnsi="Times New Roman" w:eastAsia="仿宋_GB2312" w:cs="Times New Roman"/>
          <w:color w:val="auto"/>
          <w:spacing w:val="0"/>
          <w:lang w:eastAsia="zh-CN"/>
        </w:rPr>
        <w:t>上</w:t>
      </w:r>
      <w:r>
        <w:rPr>
          <w:rFonts w:hint="default" w:ascii="Times New Roman" w:hAnsi="Times New Roman" w:eastAsia="仿宋_GB2312" w:cs="Times New Roman"/>
          <w:color w:val="auto"/>
          <w:spacing w:val="0"/>
        </w:rPr>
        <w:t>启</w:t>
      </w:r>
      <w:r>
        <w:rPr>
          <w:rFonts w:hint="default" w:ascii="Times New Roman" w:hAnsi="Times New Roman" w:eastAsia="仿宋_GB2312" w:cs="Times New Roman"/>
          <w:color w:val="auto"/>
          <w:spacing w:val="0"/>
          <w:lang w:eastAsia="zh-CN"/>
        </w:rPr>
        <w:t>下</w:t>
      </w:r>
      <w:r>
        <w:rPr>
          <w:rFonts w:hint="default" w:ascii="Times New Roman" w:hAnsi="Times New Roman" w:eastAsia="仿宋_GB2312" w:cs="Times New Roman"/>
          <w:color w:val="auto"/>
          <w:spacing w:val="0"/>
        </w:rPr>
        <w:t>的关键一年，也是为全面建设</w:t>
      </w:r>
      <w:r>
        <w:rPr>
          <w:rFonts w:hint="default" w:ascii="Times New Roman" w:hAnsi="Times New Roman" w:eastAsia="仿宋_GB2312" w:cs="Times New Roman"/>
          <w:color w:val="auto"/>
          <w:spacing w:val="0"/>
          <w:lang w:eastAsia="zh-CN"/>
        </w:rPr>
        <w:t>新时代高质量发展示范区、加快打造中国式现代化“滨城”样板的奋进之年。</w:t>
      </w:r>
      <w:r>
        <w:rPr>
          <w:rFonts w:hint="default" w:ascii="Times New Roman" w:hAnsi="Times New Roman" w:eastAsia="仿宋_GB2312" w:cs="Times New Roman"/>
          <w:color w:val="auto"/>
          <w:spacing w:val="0"/>
        </w:rPr>
        <w:t>按照《中华人民共和国各级人民代表大会常务委员会监督法》</w:t>
      </w:r>
      <w:r>
        <w:rPr>
          <w:rFonts w:hint="default" w:ascii="Times New Roman" w:hAnsi="Times New Roman" w:eastAsia="仿宋_GB2312" w:cs="Times New Roman"/>
          <w:color w:val="auto"/>
          <w:spacing w:val="0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</w:rPr>
        <w:t>《国家发展改革委关于开展“十四五”规划实施中期评估工作的通知》（发改规划〔2023〕153号）和</w:t>
      </w:r>
      <w:r>
        <w:rPr>
          <w:rFonts w:hint="default" w:ascii="Times New Roman" w:hAnsi="Times New Roman" w:eastAsia="仿宋_GB2312" w:cs="Times New Roman"/>
          <w:color w:val="auto"/>
          <w:spacing w:val="0"/>
          <w:lang w:eastAsia="zh-CN"/>
        </w:rPr>
        <w:t>《天津市人民政府办公厅关于印发天津市“十四五”规划实施中期评估工作方案的通知》（</w:t>
      </w:r>
      <w:r>
        <w:rPr>
          <w:rFonts w:hint="default" w:ascii="Times New Roman" w:hAnsi="Times New Roman" w:eastAsia="仿宋_GB2312" w:cs="Times New Roman"/>
          <w:color w:val="auto"/>
        </w:rPr>
        <w:t>津政办函</w:t>
      </w:r>
      <w:r>
        <w:rPr>
          <w:rFonts w:hint="default" w:ascii="Times New Roman" w:hAnsi="Times New Roman" w:eastAsia="仿宋_GB2312" w:cs="Times New Roman"/>
          <w:color w:val="auto"/>
          <w:spacing w:val="0"/>
        </w:rPr>
        <w:t>〔2023〕</w:t>
      </w:r>
      <w:r>
        <w:rPr>
          <w:rFonts w:hint="default" w:ascii="Times New Roman" w:hAnsi="Times New Roman" w:eastAsia="仿宋_GB2312" w:cs="Times New Roman"/>
          <w:color w:val="auto"/>
          <w:spacing w:val="0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0"/>
        </w:rPr>
        <w:t>号</w:t>
      </w:r>
      <w:r>
        <w:rPr>
          <w:rFonts w:hint="default" w:ascii="Times New Roman" w:hAnsi="Times New Roman" w:eastAsia="仿宋_GB2312" w:cs="Times New Roman"/>
          <w:color w:val="auto"/>
          <w:spacing w:val="0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</w:rPr>
        <w:t>和《天津市</w:t>
      </w:r>
      <w:r>
        <w:rPr>
          <w:rFonts w:hint="default" w:ascii="Times New Roman" w:hAnsi="Times New Roman" w:eastAsia="仿宋_GB2312" w:cs="Times New Roman"/>
          <w:color w:val="auto"/>
          <w:spacing w:val="0"/>
          <w:lang w:eastAsia="zh-CN"/>
        </w:rPr>
        <w:t>滨海新区</w:t>
      </w:r>
      <w:r>
        <w:rPr>
          <w:rFonts w:hint="default" w:ascii="Times New Roman" w:hAnsi="Times New Roman" w:eastAsia="仿宋_GB2312" w:cs="Times New Roman"/>
          <w:color w:val="auto"/>
          <w:spacing w:val="0"/>
        </w:rPr>
        <w:t>人民政府关于印发天津市</w:t>
      </w:r>
      <w:r>
        <w:rPr>
          <w:rFonts w:hint="default" w:ascii="Times New Roman" w:hAnsi="Times New Roman" w:eastAsia="仿宋_GB2312" w:cs="Times New Roman"/>
          <w:color w:val="auto"/>
          <w:spacing w:val="0"/>
          <w:lang w:eastAsia="zh-CN"/>
        </w:rPr>
        <w:t>滨海新区</w:t>
      </w:r>
      <w:r>
        <w:rPr>
          <w:rFonts w:hint="default" w:ascii="Times New Roman" w:hAnsi="Times New Roman" w:eastAsia="仿宋_GB2312" w:cs="Times New Roman"/>
          <w:color w:val="auto"/>
          <w:spacing w:val="0"/>
        </w:rPr>
        <w:t>国民经济和社会发展第十四个五年规划和</w:t>
      </w:r>
      <w:r>
        <w:rPr>
          <w:rFonts w:hint="default" w:ascii="Times New Roman" w:hAnsi="Times New Roman" w:eastAsia="仿宋_GB2312" w:cs="Times New Roman"/>
          <w:color w:val="auto"/>
          <w:spacing w:val="0"/>
          <w:lang w:eastAsia="zh-CN"/>
        </w:rPr>
        <w:t>二〇三五</w:t>
      </w:r>
      <w:r>
        <w:rPr>
          <w:rFonts w:hint="default" w:ascii="Times New Roman" w:hAnsi="Times New Roman" w:eastAsia="仿宋_GB2312" w:cs="Times New Roman"/>
          <w:color w:val="auto"/>
          <w:spacing w:val="0"/>
        </w:rPr>
        <w:t>年远景目标纲要的通知》（津</w:t>
      </w:r>
      <w:r>
        <w:rPr>
          <w:rFonts w:hint="default" w:ascii="Times New Roman" w:hAnsi="Times New Roman" w:eastAsia="仿宋_GB2312" w:cs="Times New Roman"/>
          <w:color w:val="auto"/>
          <w:spacing w:val="0"/>
          <w:lang w:eastAsia="zh-CN"/>
        </w:rPr>
        <w:t>滨</w:t>
      </w:r>
      <w:r>
        <w:rPr>
          <w:rFonts w:hint="default" w:ascii="Times New Roman" w:hAnsi="Times New Roman" w:eastAsia="仿宋_GB2312" w:cs="Times New Roman"/>
          <w:color w:val="auto"/>
          <w:spacing w:val="0"/>
        </w:rPr>
        <w:t>政发〔2021〕</w:t>
      </w:r>
      <w:r>
        <w:rPr>
          <w:rFonts w:hint="default" w:ascii="Times New Roman" w:hAnsi="Times New Roman" w:eastAsia="仿宋_GB2312" w:cs="Times New Roman"/>
          <w:color w:val="auto"/>
          <w:spacing w:val="0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0"/>
        </w:rPr>
        <w:t>号）、《关于落实〈天津市</w:t>
      </w:r>
      <w:r>
        <w:rPr>
          <w:rFonts w:hint="default" w:ascii="Times New Roman" w:hAnsi="Times New Roman" w:eastAsia="仿宋_GB2312" w:cs="Times New Roman"/>
          <w:color w:val="auto"/>
          <w:spacing w:val="0"/>
          <w:lang w:eastAsia="zh-CN"/>
        </w:rPr>
        <w:t>滨海新区</w:t>
      </w:r>
      <w:r>
        <w:rPr>
          <w:rFonts w:hint="default" w:ascii="Times New Roman" w:hAnsi="Times New Roman" w:eastAsia="仿宋_GB2312" w:cs="Times New Roman"/>
          <w:color w:val="auto"/>
          <w:spacing w:val="0"/>
        </w:rPr>
        <w:t>国民经济和社会发展第十四个五年规划和二〇三五年远景目标纲要〉主要目标和重点任务分工的通知》要求，为做好</w:t>
      </w:r>
      <w:r>
        <w:rPr>
          <w:rFonts w:hint="default" w:ascii="Times New Roman" w:hAnsi="Times New Roman" w:eastAsia="仿宋_GB2312" w:cs="Times New Roman"/>
          <w:color w:val="auto"/>
          <w:spacing w:val="0"/>
          <w:lang w:eastAsia="zh-CN"/>
        </w:rPr>
        <w:t>规划实施</w:t>
      </w:r>
      <w:r>
        <w:rPr>
          <w:rFonts w:hint="default" w:ascii="Times New Roman" w:hAnsi="Times New Roman" w:eastAsia="仿宋_GB2312" w:cs="Times New Roman"/>
          <w:color w:val="auto"/>
          <w:spacing w:val="0"/>
        </w:rPr>
        <w:t>中期评估工作，制定本方案。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</w:rPr>
        <w:t>一、总体要求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坚持以习近平新时代中国特色社会主义思想为指导，全面贯彻党的二十大精神，深入落实习近平总书记对天津工作“三个着力”重要要求和一系列重要指示批示精神，完整、准确、全面贯彻新发展理念，积极服务和融入构建新发展格局，聚焦</w:t>
      </w:r>
      <w:r>
        <w:rPr>
          <w:rFonts w:hint="eastAsia" w:eastAsia="仿宋_GB2312" w:cs="Times New Roman"/>
          <w:color w:val="auto"/>
          <w:sz w:val="32"/>
          <w:szCs w:val="22"/>
          <w:lang w:eastAsia="zh-CN"/>
        </w:rPr>
        <w:t>滨海新区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高质量发展支撑引领行动“八大工程”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，遵循系统全面、突出重点、远近结合、科学严谨、实事求是的原则，全面评估“十四五”规划实施情况，客观评价规划实施取得的进展成效，精准找出落实“十四五”规划的难点堵点，提出下一步改进规划实施的对策建议，把中期评估成果转化为推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全区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经济社会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高质量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发展的具体思路和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行动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举措，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加快打造“一基地三区”核心区、新时代高质量发展示范区、“四宜”美丽“滨城”，全面提升滨海新区高质量发展支撑力引领力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</w:rPr>
        <w:t>二、评估重点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开展“十四五”规划中期评估，要在全面贯彻党的二十大精神的基础上，坚持问题导向和系统</w:t>
      </w:r>
      <w:r>
        <w:rPr>
          <w:rFonts w:hint="eastAsia" w:eastAsia="仿宋_GB2312" w:cs="Times New Roman"/>
          <w:color w:val="auto"/>
          <w:sz w:val="32"/>
          <w:szCs w:val="22"/>
          <w:lang w:eastAsia="zh-CN"/>
        </w:rPr>
        <w:t>思维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，按照着力推动高质量发展的要求，重点评估完整、准确、全面贯彻新发展理念，转变发展方式、深化改革开放、畅通经济循环，积极服务和融入新发展格局的进展情况，聚焦主要目标指标完成情况，重大战略任务、重大改革举措、重大工程项目推进情况等方面，总结成绩、查找短板、分析原因、提出对策，注重挖掘深层次矛盾和风险隐患，及时发现新情况新问题，研究提出进一步推动规划实施的对策建议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</w:rPr>
        <w:t>三、评估方式方法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2"/>
        </w:rPr>
      </w:pPr>
      <w:r>
        <w:rPr>
          <w:rFonts w:hint="default" w:ascii="Times New Roman" w:hAnsi="Times New Roman" w:eastAsia="仿宋_GB2312" w:cs="Times New Roman"/>
          <w:color w:val="auto"/>
        </w:rPr>
        <w:t>为全面准确掌握“十四五”规划实施进展情况，客观反映社</w:t>
      </w:r>
      <w:r>
        <w:rPr>
          <w:rFonts w:hint="default" w:ascii="Times New Roman" w:hAnsi="Times New Roman" w:eastAsia="仿宋_GB2312" w:cs="Times New Roman"/>
          <w:color w:val="auto"/>
          <w:spacing w:val="-2"/>
        </w:rPr>
        <w:t>会各界对规划实施的意见建议，需要多主体、多维度开展评估，在评估主体、评估形式、评估流程、评估标准等方面加大创新力度。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22"/>
        </w:rPr>
        <w:t>（一）自评估和第三方评估相结合。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坚持以政府系统自评估为主，持续推进评估工作的规范化、科学化、系统化，深入开展实地调研，深化重大问题研究，不断提升自评估的质量。同时，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highlight w:val="none"/>
        </w:rPr>
        <w:t>采取定向委托或公开招标等形式，选择知名研究机构、评估咨询机构、高校等开展第三方评估，将第三方评估结果作为自评估的重要参考。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22"/>
        </w:rPr>
        <w:t>（二）综合评估和</w:t>
      </w:r>
      <w:r>
        <w:rPr>
          <w:rFonts w:hint="default" w:ascii="Times New Roman" w:hAnsi="Times New Roman" w:eastAsia="楷体_GB2312" w:cs="Times New Roman"/>
          <w:color w:val="auto"/>
          <w:sz w:val="32"/>
          <w:szCs w:val="22"/>
          <w:lang w:eastAsia="zh-CN"/>
        </w:rPr>
        <w:t>专项规划、区域规划</w:t>
      </w:r>
      <w:r>
        <w:rPr>
          <w:rFonts w:hint="default" w:ascii="Times New Roman" w:hAnsi="Times New Roman" w:eastAsia="楷体_GB2312" w:cs="Times New Roman"/>
          <w:color w:val="auto"/>
          <w:sz w:val="32"/>
          <w:szCs w:val="22"/>
        </w:rPr>
        <w:t>评估相结合。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着眼于统筹推进“五位一体”总体布局、协调推进“四个全面”战略布局在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新区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的实施情况，深入开展综合性、系统性评估。同时，围绕贯彻落实党的二十大精神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市第十二次党代会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和滨海新区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val="en-US" w:eastAsia="zh-CN"/>
        </w:rPr>
        <w:t>第四次党代会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部署，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highlight w:val="none"/>
          <w:lang w:eastAsia="zh-CN"/>
        </w:rPr>
        <w:t>开展专项规划、开发区和街镇区域规划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highlight w:val="none"/>
        </w:rPr>
        <w:t>评估。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22"/>
          <w:highlight w:val="none"/>
        </w:rPr>
        <w:t>（三）目标导向和问题导向相结合。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highlight w:val="none"/>
        </w:rPr>
        <w:t>从《纲要》确定的目标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任务倒推，逐项对照进度要求，发现问题，提出确保目标实现的对策建议。同时，从迫切需要解决的各领域各环节问题顺推，明确破解难题的路径和办法，防范化解风险隐患。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22"/>
        </w:rPr>
        <w:t>（四）过程评估和效果评估相结合。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既要综合运用文献梳理、调研访谈等方式，评估围绕主要目标、重点任务以及重大工程项目实施所开展的主要工作、采取的具体措施及落实情况；更要强化前后情景对照，加强对规划实施所取得的实际成效、人民满意程度以及中长期发展影响等的评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22"/>
        </w:rPr>
        <w:t>（五）标准化与个性化相结合。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既对各项工作的进展成效、质量效益、经验做法、存在问题、发展态势进行规范化、格式化评估；又结合不同领域的实际情况，采取个性化评估方法，避免简单套用同一种程序、机械使用同一个标准。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22"/>
        </w:rPr>
        <w:t>（六）客观评价和主观感受相结合。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既要掌握各项目标任务进展，做好定性评价和定量分析，客观反映规划实施情况；又要将人民群众的切身体会作为重要评价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highlight w:val="none"/>
        </w:rPr>
        <w:t>标准，广泛听取社会各方面的意见建议。同时，召开座谈会，听取各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领域专家意见建议。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</w:rPr>
        <w:t>四、分工安排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全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“十四五”规划中期评估工作，由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发展改革委牵头组织协调，会同各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开发区管委会、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有关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、各街镇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按照职能分工共同推进。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楷体_GB2312" w:cs="Times New Roman"/>
          <w:color w:val="auto"/>
        </w:rPr>
        <w:t>（</w:t>
      </w:r>
      <w:r>
        <w:rPr>
          <w:rFonts w:hint="default" w:ascii="Times New Roman" w:hAnsi="Times New Roman" w:eastAsia="楷体_GB2312" w:cs="Times New Roman"/>
          <w:color w:val="auto"/>
          <w:lang w:eastAsia="zh-CN"/>
        </w:rPr>
        <w:t>一</w:t>
      </w:r>
      <w:r>
        <w:rPr>
          <w:rFonts w:hint="default" w:ascii="Times New Roman" w:hAnsi="Times New Roman" w:eastAsia="楷体_GB2312" w:cs="Times New Roman"/>
          <w:color w:val="auto"/>
        </w:rPr>
        <w:t>）全市“十四五”规划纲要</w:t>
      </w:r>
      <w:r>
        <w:rPr>
          <w:rFonts w:hint="default" w:ascii="Times New Roman" w:hAnsi="Times New Roman" w:eastAsia="楷体_GB2312" w:cs="Times New Roman"/>
          <w:color w:val="auto"/>
          <w:lang w:eastAsia="zh-CN"/>
        </w:rPr>
        <w:t>实施进展</w:t>
      </w:r>
      <w:r>
        <w:rPr>
          <w:rFonts w:hint="default" w:ascii="Times New Roman" w:hAnsi="Times New Roman" w:eastAsia="楷体_GB2312" w:cs="Times New Roman"/>
          <w:color w:val="auto"/>
        </w:rPr>
        <w:t>评估。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highlight w:val="none"/>
        </w:rPr>
        <w:t>按照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发展改革委要求，对我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推进落实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天津市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“十四五”规划纲要明确的重大战略任务、重大改革举措、重大工程项目等情况进行全面评估，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发展改革委在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各开发区管委会、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有关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、各街镇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专题报告的基础上，形成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滨海新区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评估报告报送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发展改革委。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2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24"/>
          <w:lang w:val="en-US" w:eastAsia="zh-CN" w:bidi="ar-SA"/>
        </w:rPr>
        <w:t>（二）全区“十四五”规划纲要实施进展评估。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单位按照纲要分工方案明确的既定分工，对各自负责的相关领域目标指标、重点任务、重大工程项目进展情况及工作成效进行全面评估，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2"/>
          <w:lang w:val="en-US" w:eastAsia="zh-CN" w:bidi="ar-SA"/>
        </w:rPr>
        <w:t>其中30个主要指标、15个章节涉及指标及专栏提到的重大工程项目需提供实现进度、预期展望及相关说明，一并形成专题评估报告，送区发展改革委。区发展改革委在专题报告的基础上，起草天津市滨海新区“十四五”规划纲要实施中期评估报告，</w:t>
      </w:r>
      <w:r>
        <w:rPr>
          <w:rFonts w:hint="default" w:ascii="Times New Roman" w:hAnsi="Times New Roman" w:eastAsia="仿宋_GB2312" w:cs="Times New Roman"/>
          <w:color w:val="auto"/>
          <w:spacing w:val="-2"/>
        </w:rPr>
        <w:t>9月</w:t>
      </w:r>
      <w:r>
        <w:rPr>
          <w:rFonts w:hint="default" w:ascii="Times New Roman" w:hAnsi="Times New Roman" w:eastAsia="仿宋_GB2312" w:cs="Times New Roman"/>
          <w:color w:val="auto"/>
          <w:spacing w:val="-2"/>
          <w:lang w:eastAsia="zh-CN"/>
        </w:rPr>
        <w:t>份</w:t>
      </w:r>
      <w:r>
        <w:rPr>
          <w:rFonts w:hint="default" w:ascii="Times New Roman" w:hAnsi="Times New Roman" w:eastAsia="仿宋_GB2312" w:cs="Times New Roman"/>
          <w:color w:val="auto"/>
          <w:spacing w:val="-2"/>
        </w:rPr>
        <w:t>按照程序上报</w:t>
      </w:r>
      <w:r>
        <w:rPr>
          <w:rFonts w:hint="default" w:ascii="Times New Roman" w:hAnsi="Times New Roman" w:eastAsia="仿宋_GB2312" w:cs="Times New Roman"/>
          <w:color w:val="auto"/>
          <w:spacing w:val="-2"/>
          <w:lang w:eastAsia="zh-CN"/>
        </w:rPr>
        <w:t>区人民</w:t>
      </w:r>
      <w:r>
        <w:rPr>
          <w:rFonts w:hint="default" w:ascii="Times New Roman" w:hAnsi="Times New Roman" w:eastAsia="仿宋_GB2312" w:cs="Times New Roman"/>
          <w:color w:val="auto"/>
          <w:spacing w:val="-2"/>
        </w:rPr>
        <w:t>政府审核后，提交</w:t>
      </w:r>
      <w:r>
        <w:rPr>
          <w:rFonts w:hint="default" w:ascii="Times New Roman" w:hAnsi="Times New Roman" w:eastAsia="仿宋_GB2312" w:cs="Times New Roman"/>
          <w:color w:val="auto"/>
          <w:spacing w:val="-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pacing w:val="-2"/>
        </w:rPr>
        <w:t>人大常委会审议。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2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24"/>
          <w:lang w:val="en-US" w:eastAsia="zh-CN" w:bidi="ar-SA"/>
        </w:rPr>
        <w:t>（三）两项市级重点专项规划实施进展评估。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4"/>
          <w:lang w:val="en-US" w:eastAsia="zh-CN" w:bidi="ar-SA"/>
        </w:rPr>
        <w:t>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2"/>
          <w:lang w:val="en-US" w:eastAsia="zh-CN" w:bidi="ar-SA"/>
        </w:rPr>
        <w:t>天津市航空物流发展“十四五”规划》和《天津市海水淡化产业发展“十四五”规划》两项市级重点专项规划，由天津港保税区牵头负责，按照市级专项规划评估工作要求，开展规划实施进展情况评估，区发展改革委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22"/>
          <w:lang w:val="en-US" w:eastAsia="zh-CN" w:bidi="ar-SA"/>
        </w:rPr>
        <w:t>（</w:t>
      </w: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24"/>
          <w:lang w:val="en-US" w:eastAsia="zh-CN" w:bidi="ar-SA"/>
        </w:rPr>
        <w:t>四）区级专项规划实施进展评估。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级专项规划牵头部门要组织对《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天津市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滨海新区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“十四五”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级专项规划编制目录清单》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（以下简称《目录清单》）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内的专项规划、其他由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政府印发的专项规划、经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人民政府批复或同意由部门印发的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级专项规划实施情况进行中期评估，形成评估报告。其中，《目录清单》内的专项规划要研究制定中期评估方案，明确评估方式、主要工作节点及评估成果等，并对全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“十四五”规划纲要相关领域目标任务情况进行重点评估。涉及规划相关内容调整和修订的，须以专门章节对原因和调整方案予以说明。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发展改革委将与牵头部门加强沟通合作，通过联合调研、交流研讨、报送专题信息等方式参与《目录清单》内的专项规划评估工作。其他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级专项规划也要制定切实可行、科学合理的评估方案，深入有序组织开展评估工作。形成评估报告后，应完成征求意见等相关程序，</w:t>
      </w:r>
      <w:r>
        <w:rPr>
          <w:rFonts w:hint="eastAsia" w:eastAsia="仿宋_GB2312" w:cs="Times New Roman"/>
          <w:color w:val="auto"/>
          <w:sz w:val="32"/>
          <w:szCs w:val="22"/>
          <w:lang w:eastAsia="zh-CN"/>
        </w:rPr>
        <w:t>报送区发展改革委统筹衔接，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修改完善后报送分管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领导审定，并抄送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发展改革委。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2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22"/>
          <w:lang w:val="en-US" w:eastAsia="zh-CN" w:bidi="ar-SA"/>
        </w:rPr>
        <w:t>（</w:t>
      </w: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24"/>
          <w:lang w:val="en-US" w:eastAsia="zh-CN" w:bidi="ar-SA"/>
        </w:rPr>
        <w:t>五）各开发区、各街镇“十四五”规划纲要实施进展评估。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2"/>
          <w:lang w:val="en-US" w:eastAsia="zh-CN" w:bidi="ar-SA"/>
        </w:rPr>
        <w:t>各开发区、各街镇组织本区域“十四五”规划中期评估工作，形成本区域“十四五”规划纲要实施中期评估报告。其中，应对全市及全区“十四五”规划纲要涉及的内容进行重点评估。形成评估报告，履行相关程序后，抄送区发展改革委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</w:rPr>
        <w:t>五、规划调整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开发区管委会、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各有关部门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、各街镇</w:t>
      </w:r>
      <w:r>
        <w:rPr>
          <w:rFonts w:hint="eastAsia" w:eastAsia="仿宋_GB2312" w:cs="Times New Roman"/>
          <w:color w:val="auto"/>
          <w:sz w:val="32"/>
          <w:szCs w:val="22"/>
          <w:lang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对标对表党的二十大提出的新目标新部署新要求，深入分析研判国内外形势对“十四五”中后期的影响，</w:t>
      </w:r>
      <w:r>
        <w:rPr>
          <w:rFonts w:hint="eastAsia" w:eastAsia="仿宋_GB2312" w:cs="Times New Roman"/>
          <w:color w:val="auto"/>
          <w:sz w:val="32"/>
          <w:szCs w:val="22"/>
          <w:lang w:eastAsia="zh-CN"/>
        </w:rPr>
        <w:t>根据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党中央</w:t>
      </w:r>
      <w:r>
        <w:rPr>
          <w:rFonts w:hint="eastAsia" w:eastAsia="仿宋_GB2312" w:cs="Times New Roman"/>
          <w:color w:val="auto"/>
          <w:sz w:val="32"/>
          <w:szCs w:val="22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国务院新出台的有关战略、规划和</w:t>
      </w:r>
      <w:r>
        <w:rPr>
          <w:rFonts w:hint="eastAsia" w:eastAsia="仿宋_GB2312" w:cs="Times New Roman"/>
          <w:color w:val="auto"/>
          <w:sz w:val="32"/>
          <w:szCs w:val="22"/>
          <w:lang w:eastAsia="zh-CN"/>
        </w:rPr>
        <w:t>决策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部署以及市委</w:t>
      </w:r>
      <w:r>
        <w:rPr>
          <w:rFonts w:hint="eastAsia" w:eastAsia="仿宋_GB2312" w:cs="Times New Roman"/>
          <w:color w:val="auto"/>
          <w:sz w:val="32"/>
          <w:szCs w:val="2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市政府</w:t>
      </w:r>
      <w:r>
        <w:rPr>
          <w:rFonts w:hint="eastAsia" w:eastAsia="仿宋_GB2312" w:cs="Times New Roman"/>
          <w:color w:val="auto"/>
          <w:sz w:val="32"/>
          <w:szCs w:val="22"/>
          <w:lang w:eastAsia="zh-CN"/>
        </w:rPr>
        <w:t>部署要求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和区委</w:t>
      </w:r>
      <w:r>
        <w:rPr>
          <w:rFonts w:hint="eastAsia" w:eastAsia="仿宋_GB2312" w:cs="Times New Roman"/>
          <w:color w:val="auto"/>
          <w:sz w:val="32"/>
          <w:szCs w:val="2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区政府</w:t>
      </w:r>
      <w:r>
        <w:rPr>
          <w:rFonts w:hint="eastAsia" w:eastAsia="仿宋_GB2312" w:cs="Times New Roman"/>
          <w:color w:val="auto"/>
          <w:sz w:val="32"/>
          <w:szCs w:val="2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要求</w:t>
      </w:r>
      <w:r>
        <w:rPr>
          <w:rFonts w:hint="eastAsia" w:eastAsia="仿宋_GB2312" w:cs="Times New Roman"/>
          <w:color w:val="auto"/>
          <w:sz w:val="32"/>
          <w:szCs w:val="2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结合规划实施进展情况、国内外发展环境新变化，深入研究论证是否需要对规划相关内容进行调整修订。确需调整的，要严格履行报批程序，未经批准的不得随意调整。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级专项规划调整方案由规划编制牵头部门向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人民政府提出调整建议，经分管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领导同意后送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发展改革委备案。各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开发区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highlight w:val="none"/>
          <w:lang w:eastAsia="zh-CN"/>
        </w:rPr>
        <w:t>、各街镇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highlight w:val="none"/>
        </w:rPr>
        <w:t>“十四五”规划《纲要》调整方案按程序提请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highlight w:val="none"/>
          <w:lang w:eastAsia="zh-CN"/>
        </w:rPr>
        <w:t>本级党委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highlight w:val="none"/>
        </w:rPr>
        <w:t>审议批准后，抄送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highlight w:val="none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highlight w:val="none"/>
        </w:rPr>
        <w:t>发展改革委。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22"/>
        </w:rPr>
        <w:t>六、工作要求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（一）各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开发区管委会、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各部门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、各街镇</w:t>
      </w:r>
      <w:r>
        <w:rPr>
          <w:rFonts w:hint="eastAsia" w:eastAsia="仿宋_GB2312" w:cs="Times New Roman"/>
          <w:color w:val="auto"/>
          <w:sz w:val="32"/>
          <w:szCs w:val="22"/>
          <w:lang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高度重视“十四五”规划中期评估工作，加强领导，周密部署，精心组织实施，确保按时完成工作任务。在中期评估过程中，各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开发区管委会、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各部门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、各街镇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要加强上下联动、横向互动，主动</w:t>
      </w:r>
      <w:r>
        <w:rPr>
          <w:rFonts w:hint="eastAsia" w:eastAsia="仿宋_GB2312" w:cs="Times New Roman"/>
          <w:color w:val="auto"/>
          <w:sz w:val="32"/>
          <w:szCs w:val="22"/>
          <w:lang w:eastAsia="zh-CN"/>
        </w:rPr>
        <w:t>对标对表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上级规划、同级相关领域规划实施情况，加强信息资源共享和经验互通。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（二）各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开发区管委会、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各部门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、各街镇</w:t>
      </w:r>
      <w:r>
        <w:rPr>
          <w:rFonts w:hint="eastAsia" w:eastAsia="仿宋_GB2312" w:cs="Times New Roman"/>
          <w:color w:val="auto"/>
          <w:sz w:val="32"/>
          <w:szCs w:val="22"/>
          <w:lang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于4月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中旬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前将</w:t>
      </w:r>
      <w:r>
        <w:rPr>
          <w:rFonts w:hint="eastAsia" w:eastAsia="仿宋_GB2312" w:cs="Times New Roman"/>
          <w:color w:val="auto"/>
          <w:sz w:val="32"/>
          <w:szCs w:val="22"/>
          <w:lang w:eastAsia="zh-CN"/>
        </w:rPr>
        <w:t>中期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评估报告初稿送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发展改革委。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val="en-US" w:eastAsia="zh-CN"/>
        </w:rPr>
        <w:t>5日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前，各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开发区管委会、各街镇</w:t>
      </w:r>
      <w:r>
        <w:rPr>
          <w:rFonts w:hint="eastAsia" w:eastAsia="仿宋_GB2312" w:cs="Times New Roman"/>
          <w:color w:val="auto"/>
          <w:sz w:val="32"/>
          <w:szCs w:val="2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2"/>
          <w:lang w:val="en-US" w:eastAsia="zh-CN" w:bidi="ar-SA"/>
        </w:rPr>
        <w:t>履行相关程序后，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将中期评估报告送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发展改革委；《目录清单》内的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级专项规划牵头部门、其他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级专项规划牵头部门将经分管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领导审定后的中期评估报告送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发展改革委。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（三）中期评估采用数据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，年度数据截止时点为2022年12月31日，月度数据截止时点为2023年6月30日；中期评估涉及的任务进展情况截止时点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2023年6月30日。如无统计数据，可先用预计数据，待正式数据发布后，再行更换。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895" w:leftChars="304" w:hanging="1257" w:hangingChars="39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897" w:leftChars="0" w:hanging="1897" w:hangingChars="59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附件：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天津市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滨海新区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“十四五”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级专项规划编制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897" w:leftChars="0" w:hanging="1897" w:hangingChars="59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目录清单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2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val="en-US" w:eastAsia="zh-CN"/>
        </w:rPr>
        <w:t xml:space="preserve">          2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</w:rPr>
        <w:t>.中期评估报告框架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ordWrap w:val="0"/>
        <w:spacing w:line="480" w:lineRule="exact"/>
        <w:ind w:right="26"/>
        <w:rPr>
          <w:rFonts w:hint="default" w:ascii="Times New Roman" w:hAnsi="Times New Roman" w:eastAsia="黑体" w:cs="Times New Roman"/>
          <w:color w:val="auto"/>
          <w:sz w:val="32"/>
          <w:szCs w:val="22"/>
        </w:rPr>
      </w:pPr>
    </w:p>
    <w:p>
      <w:pPr>
        <w:wordWrap w:val="0"/>
        <w:spacing w:line="480" w:lineRule="exact"/>
        <w:ind w:right="26"/>
        <w:rPr>
          <w:rFonts w:hint="default" w:ascii="Times New Roman" w:hAnsi="Times New Roman" w:eastAsia="黑体" w:cs="Times New Roman"/>
          <w:color w:val="auto"/>
          <w:sz w:val="32"/>
          <w:szCs w:val="2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2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22"/>
          <w:lang w:val="en-US" w:eastAsia="zh-CN"/>
        </w:rPr>
        <w:t>1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color w:val="auto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天津市滨海新区“十四五”区级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专项规划编制目录清单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color w:val="auto"/>
          <w:sz w:val="44"/>
          <w:szCs w:val="44"/>
        </w:rPr>
      </w:pPr>
    </w:p>
    <w:tbl>
      <w:tblPr>
        <w:tblStyle w:val="9"/>
        <w:tblW w:w="9441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6450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专项规划名称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牵头部门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天津市滨海新区战略性新兴产业发展“十四五”规划★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天津市滨海新区服务业发展“十四五”规划★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天津市滨海新区工业经济发展“十四五”规划★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天津市滨海新区文化旅游产业发展“十四五”规划★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天津市滨海新区金融业发展“十四五”规划★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区金融局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天津市滨海新区科技创新“十四五”规划★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天津市滨海新区知识产权发展“十四五”规划★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天津市滨海新区民营经济发展“十四五”规划★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天津市滨海新区人口发展“十四五”规划★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天津市滨海新区农业和农村发展“十四五”规划★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区农业农村委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天津市滨海新区中小企业发展“十四五”规划★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天津市滨海新区生态环境保护“十四五”规划★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天津市滨海新区能源发展“十四五”规划★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天津市滨海新区水资源综合利用“十四五”规划★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天津市滨海新区应急管理“十四五”规划★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天津市滨海新区综合交通运输“十四五”规划★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天津市滨海新区智慧城市建设“十四五”规划★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区委网信办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天津市滨海新区公共服务体系建设“十四五”规划★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天津市滨海新区卫生健康事业发展“十四五”规划★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tabs>
                <w:tab w:val="left" w:pos="1468"/>
              </w:tabs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天津市滨海新区社会治理能力和治理体系现代化“十四五”规划★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区委政法委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天津市滨海新区法治滨海建设“十四五”规划★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区委依法治区办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天津市滨海新区教育事业发展“十四五”规划★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天津市滨海新区社会消防救援事业发展“十四五”规划★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区消防支队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天津市滨海新区民政事业发展“十四五”规划★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天津市滨海新区妇女儿童发展“十四五”规划★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天津市滨海新区人才发展“十四五”规划★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区人才办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天津市滨海新区基础设施高质量发展“十四五”规划★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tabs>
                <w:tab w:val="left" w:pos="1468"/>
              </w:tabs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天津市滨海新区残疾人事业发展“十四五”规划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区残联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天津市滨海新区道路安全环境“十四五”规划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天津市滨海新区体育事业发展“十四五”规划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天津市滨海新区冷链物流产业发展“十四五”规划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区商务和投促局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天津市滨海新区装配式建筑产业发展“十四五”规划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区住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eastAsia="zh-CN"/>
              </w:rPr>
              <w:t>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建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eastAsia="zh-CN"/>
              </w:rPr>
              <w:t>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天津市滨海新区固定资产投资及重大项目“十四五”规划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天津市滨海新区建筑节能和绿色建筑产业发展“十四五”规划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区住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eastAsia="zh-CN"/>
              </w:rPr>
              <w:t>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建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eastAsia="zh-CN"/>
              </w:rPr>
              <w:t>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天津市滨海新区气象灾害防御“十四五”规划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区气象局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注：★为区级重点专项规划。</w:t>
      </w:r>
    </w:p>
    <w:p>
      <w:pPr>
        <w:widowControl/>
        <w:spacing w:line="570" w:lineRule="exact"/>
        <w:jc w:val="center"/>
        <w:rPr>
          <w:rFonts w:hint="default" w:ascii="Times New Roman" w:hAnsi="Times New Roman" w:eastAsia="仿宋_GB2312" w:cs="Times New Roman"/>
          <w:bCs/>
          <w:color w:val="auto"/>
          <w:kern w:val="0"/>
          <w:sz w:val="44"/>
          <w:szCs w:val="32"/>
        </w:rPr>
      </w:pPr>
    </w:p>
    <w:p>
      <w:pPr>
        <w:tabs>
          <w:tab w:val="left" w:pos="1418"/>
        </w:tabs>
        <w:spacing w:line="540" w:lineRule="exact"/>
        <w:ind w:right="26"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ordWrap w:val="0"/>
        <w:spacing w:line="580" w:lineRule="exact"/>
        <w:ind w:right="26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ordWrap w:val="0"/>
        <w:spacing w:line="580" w:lineRule="exact"/>
        <w:ind w:right="26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ordWrap w:val="0"/>
        <w:spacing w:line="580" w:lineRule="exact"/>
        <w:ind w:right="26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ordWrap w:val="0"/>
        <w:spacing w:line="580" w:lineRule="exact"/>
        <w:ind w:right="26"/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wordWrap w:val="0"/>
        <w:spacing w:line="580" w:lineRule="exact"/>
        <w:ind w:right="26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wordWrap w:val="0"/>
        <w:spacing w:line="580" w:lineRule="exact"/>
        <w:ind w:right="26"/>
        <w:jc w:val="center"/>
        <w:rPr>
          <w:rFonts w:hint="default" w:ascii="Times New Roman" w:hAnsi="Times New Roman" w:eastAsia="仿宋_GB2312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中期评估报告框架</w:t>
      </w:r>
    </w:p>
    <w:p>
      <w:pPr>
        <w:wordWrap w:val="0"/>
        <w:spacing w:line="580" w:lineRule="exact"/>
        <w:ind w:right="26"/>
        <w:jc w:val="center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（示例）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一、规划实施总体进展情况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一）主要目标指标进展。本区或本部门承担的主要指标和章节指标的实现进度、预期展望及相关说明等。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二）重大战略任务进展。本区或本部门承担的重大战略、重大任务、重大改革举措的实施进展，取得的主要成绩等。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三）重大工程项目进展。本区或本部门承担的重大工程项目的实现进度、预期展望及相关说明等。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二、规划实施面临的主要问题和风险挑战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一）外部环境变化情况。分析研判国内外形势对本地区或本单位承担任务的影响。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二）完成本区或本部门承担任务面临的主要问题和挑战。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28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三、进一步推进规划实施的对策建议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eastAsia="黑体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auto"/>
    <w:pitch w:val="default"/>
    <w:sig w:usb0="00000000" w:usb1="0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方正仿宋_GBK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1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1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7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1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1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7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9FD"/>
    <w:rsid w:val="00051C4F"/>
    <w:rsid w:val="000A26EC"/>
    <w:rsid w:val="000D59C4"/>
    <w:rsid w:val="001033C4"/>
    <w:rsid w:val="00107961"/>
    <w:rsid w:val="00111B41"/>
    <w:rsid w:val="0012506A"/>
    <w:rsid w:val="00134B23"/>
    <w:rsid w:val="00151D19"/>
    <w:rsid w:val="00162EF5"/>
    <w:rsid w:val="00172A27"/>
    <w:rsid w:val="0018019F"/>
    <w:rsid w:val="001E4A12"/>
    <w:rsid w:val="002253E6"/>
    <w:rsid w:val="00271CE8"/>
    <w:rsid w:val="0027692D"/>
    <w:rsid w:val="002D118B"/>
    <w:rsid w:val="002D26A1"/>
    <w:rsid w:val="003130FF"/>
    <w:rsid w:val="00362B86"/>
    <w:rsid w:val="004F086B"/>
    <w:rsid w:val="004F30AC"/>
    <w:rsid w:val="005020C5"/>
    <w:rsid w:val="00580552"/>
    <w:rsid w:val="005B346E"/>
    <w:rsid w:val="005E283D"/>
    <w:rsid w:val="00621E60"/>
    <w:rsid w:val="00687812"/>
    <w:rsid w:val="006F4402"/>
    <w:rsid w:val="007258DF"/>
    <w:rsid w:val="007500BB"/>
    <w:rsid w:val="007C16E6"/>
    <w:rsid w:val="007F38C0"/>
    <w:rsid w:val="007F4915"/>
    <w:rsid w:val="008E3796"/>
    <w:rsid w:val="00934B20"/>
    <w:rsid w:val="0094586B"/>
    <w:rsid w:val="00951CC8"/>
    <w:rsid w:val="009B76FD"/>
    <w:rsid w:val="009C1BA7"/>
    <w:rsid w:val="009C5E52"/>
    <w:rsid w:val="00A22778"/>
    <w:rsid w:val="00A2636E"/>
    <w:rsid w:val="00A4622E"/>
    <w:rsid w:val="00AA3814"/>
    <w:rsid w:val="00AC113C"/>
    <w:rsid w:val="00AE310E"/>
    <w:rsid w:val="00B2176B"/>
    <w:rsid w:val="00B30173"/>
    <w:rsid w:val="00BA1986"/>
    <w:rsid w:val="00BD1D68"/>
    <w:rsid w:val="00C26C3E"/>
    <w:rsid w:val="00CC1773"/>
    <w:rsid w:val="00D4134E"/>
    <w:rsid w:val="00D54416"/>
    <w:rsid w:val="00D63090"/>
    <w:rsid w:val="00D81C34"/>
    <w:rsid w:val="00DA1BBD"/>
    <w:rsid w:val="00F4775D"/>
    <w:rsid w:val="00FF26CD"/>
    <w:rsid w:val="07CE01A8"/>
    <w:rsid w:val="0FBF548C"/>
    <w:rsid w:val="3AFF848F"/>
    <w:rsid w:val="3DFF7D8A"/>
    <w:rsid w:val="42E47BC4"/>
    <w:rsid w:val="595F9A0D"/>
    <w:rsid w:val="5CDFDA00"/>
    <w:rsid w:val="64D853C2"/>
    <w:rsid w:val="6BFF2BA6"/>
    <w:rsid w:val="717D0AC1"/>
    <w:rsid w:val="72FBF37D"/>
    <w:rsid w:val="7559BF43"/>
    <w:rsid w:val="77BF6538"/>
    <w:rsid w:val="77DDA5ED"/>
    <w:rsid w:val="77EFFE9C"/>
    <w:rsid w:val="7D5F1CE4"/>
    <w:rsid w:val="7EFF4190"/>
    <w:rsid w:val="7F7FF94C"/>
    <w:rsid w:val="7F9E4355"/>
    <w:rsid w:val="7FDD08CC"/>
    <w:rsid w:val="7FFBA144"/>
    <w:rsid w:val="B77D78A6"/>
    <w:rsid w:val="B99F2BB8"/>
    <w:rsid w:val="BDFDBF53"/>
    <w:rsid w:val="BEFFB5C8"/>
    <w:rsid w:val="BFAF08A3"/>
    <w:rsid w:val="BFD32F5F"/>
    <w:rsid w:val="C7C37335"/>
    <w:rsid w:val="DAF82AC4"/>
    <w:rsid w:val="DEDBBDB1"/>
    <w:rsid w:val="E7D74741"/>
    <w:rsid w:val="EA7F87EF"/>
    <w:rsid w:val="EE7D63FE"/>
    <w:rsid w:val="EEAF294F"/>
    <w:rsid w:val="F5FFCFEF"/>
    <w:rsid w:val="F7FFBB0F"/>
    <w:rsid w:val="FF6DC7C9"/>
    <w:rsid w:val="FF9A4DF3"/>
    <w:rsid w:val="FFFE9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ody Text"/>
    <w:basedOn w:val="1"/>
    <w:qFormat/>
    <w:uiPriority w:val="0"/>
    <w:rPr>
      <w:rFonts w:eastAsia="文星仿宋"/>
      <w:sz w:val="32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BodyText"/>
    <w:basedOn w:val="1"/>
    <w:qFormat/>
    <w:uiPriority w:val="0"/>
    <w:pPr>
      <w:spacing w:after="120"/>
      <w:textAlignment w:val="baseline"/>
    </w:pPr>
    <w:rPr>
      <w:rFonts w:ascii="Times New Roman" w:hAnsi="Times New Roman" w:eastAsia="宋体"/>
      <w:szCs w:val="24"/>
    </w:rPr>
  </w:style>
  <w:style w:type="paragraph" w:customStyle="1" w:styleId="13">
    <w:name w:val="_Style 2"/>
    <w:basedOn w:val="1"/>
    <w:qFormat/>
    <w:uiPriority w:val="0"/>
  </w:style>
  <w:style w:type="paragraph" w:customStyle="1" w:styleId="1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5">
    <w:name w:val="NormalCharacter"/>
    <w:qFormat/>
    <w:uiPriority w:val="0"/>
  </w:style>
  <w:style w:type="paragraph" w:customStyle="1" w:styleId="16">
    <w:name w:val="1标题"/>
    <w:qFormat/>
    <w:uiPriority w:val="0"/>
    <w:pPr>
      <w:spacing w:line="570" w:lineRule="exact"/>
      <w:ind w:firstLine="200" w:firstLineChars="200"/>
    </w:pPr>
    <w:rPr>
      <w:rFonts w:ascii="黑体" w:hAnsi="Times New Roman" w:eastAsia="黑体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</Words>
  <Characters>185</Characters>
  <Lines>1</Lines>
  <Paragraphs>1</Paragraphs>
  <TotalTime>2</TotalTime>
  <ScaleCrop>false</ScaleCrop>
  <LinksUpToDate>false</LinksUpToDate>
  <CharactersWithSpaces>216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2022-01-26T00:28:00Z</dcterms:created>
  <dc:creator>张殿武</dc:creator>
  <cp:lastModifiedBy>kylin</cp:lastModifiedBy>
  <cp:lastPrinted>2012-09-04T17:48:00Z</cp:lastPrinted>
  <dcterms:modified xsi:type="dcterms:W3CDTF">2023-04-23T11:01:10Z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